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C21" w:rsidP="00796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CPPACC4013 Contribute effectively to building development teams</w:t>
      </w:r>
      <w:r>
        <w:fldChar w:fldCharType="end"/>
      </w:r>
    </w:p>
    <w:p w:rsidR="00796C21" w:rsidP="00796C21">
      <w:pPr>
        <w:pStyle w:val="Version"/>
        <w:sectPr w:rsidSect="00CD3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6A4" w:rsidP="00CD36A4">
      <w:pPr>
        <w:pStyle w:val="SuperHeading"/>
      </w:pPr>
      <w:r w:rsidRPr="00CD36A4">
        <w:t>Assessment Requirements for CPPACC4013 Contribute effectively to building development teams</w:t>
      </w:r>
    </w:p>
    <w:p w:rsidR="00000000" w:rsidRPr="00CD36A4" w:rsidP="00CD36A4">
      <w:pPr>
        <w:pStyle w:val="Heading1"/>
      </w:pPr>
      <w:bookmarkStart w:id="1" w:name="O_899750"/>
      <w:bookmarkEnd w:id="1"/>
      <w:r w:rsidRPr="00CD36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3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6A4">
            <w:pPr>
              <w:pStyle w:val="BodyText"/>
              <w:rPr>
                <w:lang w:val="en-NZ"/>
              </w:rPr>
            </w:pPr>
            <w:r w:rsidRPr="00CD36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6A4" w:rsidP="00CD36A4">
            <w:pPr>
              <w:pStyle w:val="BodyText"/>
            </w:pPr>
            <w:r w:rsidRPr="00CD36A4">
              <w:t>This unit first released with CPP Property Services Training Package Release 14.0.</w:t>
            </w:r>
          </w:p>
          <w:p w:rsidR="00000000" w:rsidRPr="00CD36A4" w:rsidP="00CD36A4">
            <w:pPr>
              <w:pStyle w:val="BodyText"/>
            </w:pPr>
            <w:r w:rsidRPr="00CD36A4">
              <w:t xml:space="preserve">Supersedes and is equivalent to CPPACC4013A Contribute effectively to building development teams. </w:t>
            </w:r>
          </w:p>
          <w:p w:rsidR="00000000" w:rsidRPr="00CD36A4" w:rsidP="00CD36A4">
            <w:pPr>
              <w:pStyle w:val="BodyText"/>
            </w:pPr>
            <w:r w:rsidRPr="00CD36A4">
              <w:t xml:space="preserve">Unit updated to meet the Standards for Training Packages 2012. </w:t>
            </w:r>
          </w:p>
        </w:tc>
      </w:tr>
    </w:tbl>
    <w:p w:rsidR="00000000" w:rsidRPr="00CD36A4" w:rsidP="00CD36A4">
      <w:pPr>
        <w:pStyle w:val="BodyText"/>
      </w:pPr>
    </w:p>
    <w:p w:rsidR="00000000" w:rsidRPr="00CD36A4" w:rsidP="00CD36A4">
      <w:pPr>
        <w:pStyle w:val="AllowPageBreak"/>
      </w:pPr>
    </w:p>
    <w:p w:rsidR="00000000" w:rsidRPr="00CD36A4" w:rsidP="00CD36A4">
      <w:pPr>
        <w:pStyle w:val="Heading1"/>
      </w:pPr>
      <w:bookmarkStart w:id="2" w:name="O_899753"/>
      <w:bookmarkEnd w:id="2"/>
      <w:r w:rsidRPr="00CD36A4">
        <w:t>Performance Evidence</w:t>
      </w:r>
    </w:p>
    <w:p w:rsidR="00000000" w:rsidRPr="00CD36A4" w:rsidP="00796C21">
      <w:pPr>
        <w:pStyle w:val="BodyText"/>
      </w:pPr>
      <w:r w:rsidRPr="00CD36A4">
        <w:t xml:space="preserve">To demonstrate competency, a candidate must meet the </w:t>
      </w:r>
      <w:r w:rsidRPr="00CD36A4">
        <w:t>elements and performance criteria of this unit by contributing effectively to building development teams for two different projects.</w:t>
      </w:r>
    </w:p>
    <w:p w:rsidR="00000000" w:rsidRPr="00CD36A4" w:rsidP="00CD36A4">
      <w:pPr>
        <w:pStyle w:val="Heading1"/>
      </w:pPr>
      <w:bookmarkStart w:id="3" w:name="O_899752"/>
      <w:bookmarkEnd w:id="3"/>
      <w:r w:rsidRPr="00CD36A4">
        <w:t>Knowledge Evidence</w:t>
      </w:r>
    </w:p>
    <w:p w:rsidR="00000000" w:rsidRPr="00CD36A4" w:rsidP="00796C21">
      <w:pPr>
        <w:pStyle w:val="BodyText"/>
      </w:pPr>
      <w:r w:rsidRPr="00CD36A4">
        <w:t>To be competent in this unit, a candidate must demonstrate knowledge of:</w:t>
      </w:r>
    </w:p>
    <w:p w:rsidR="00000000" w:rsidRPr="00CD36A4" w:rsidP="00CD36A4">
      <w:pPr>
        <w:pStyle w:val="ListBullet"/>
      </w:pPr>
      <w:r w:rsidRPr="00CD36A4">
        <w:t>Commonwealth,</w:t>
      </w:r>
      <w:r w:rsidRPr="00CD36A4">
        <w:t xml:space="preserve"> state and territory legislation, regulations, standards and codes relevant to access consulting activities:</w:t>
      </w:r>
    </w:p>
    <w:p w:rsidR="00000000" w:rsidRPr="00CD36A4" w:rsidP="00CD36A4">
      <w:pPr>
        <w:pStyle w:val="ListBullet2"/>
      </w:pPr>
      <w:r w:rsidRPr="00CD36A4">
        <w:t>anti-discrimination and disability discrimination</w:t>
      </w:r>
    </w:p>
    <w:p w:rsidR="00000000" w:rsidRPr="00CD36A4" w:rsidP="00CD36A4">
      <w:pPr>
        <w:pStyle w:val="ListBullet2"/>
      </w:pPr>
      <w:r w:rsidRPr="00CD36A4">
        <w:t>Disability (Access to Premises –</w:t>
      </w:r>
      <w:r w:rsidRPr="00CD36A4">
        <w:t xml:space="preserve"> Buildings) Standards 2010 and Disability Standards for Accessible Public Transport 2002 under the Disability Discrimination Act 1992 (or their successors) - known as the Access to Premises Standards and Transport Standards</w:t>
      </w:r>
    </w:p>
    <w:p w:rsidR="00000000" w:rsidRPr="00CD36A4" w:rsidP="00CD36A4">
      <w:pPr>
        <w:pStyle w:val="ListBullet2"/>
      </w:pPr>
      <w:r w:rsidRPr="00CD36A4">
        <w:t>National Construction Code (NCC)</w:t>
      </w:r>
      <w:r w:rsidRPr="00CD36A4">
        <w:t xml:space="preserve"> building classifications and access requirements</w:t>
      </w:r>
    </w:p>
    <w:p w:rsidR="00000000" w:rsidRPr="00CD36A4" w:rsidP="00CD36A4">
      <w:pPr>
        <w:pStyle w:val="ListBullet2"/>
      </w:pPr>
      <w:r w:rsidRPr="00CD36A4">
        <w:t>National Disability Insurance Scheme (NDIS) Specialist Disability Accommodation Design Standard (or its successor)</w:t>
      </w:r>
    </w:p>
    <w:p w:rsidR="00000000" w:rsidRPr="00CD36A4" w:rsidP="00CD36A4">
      <w:pPr>
        <w:pStyle w:val="ListBullet2"/>
      </w:pPr>
      <w:r w:rsidRPr="00CD36A4">
        <w:t>Livable Housing Australia Livable Housing Design Guidelines (or its successor)</w:t>
      </w:r>
    </w:p>
    <w:p w:rsidR="00000000" w:rsidRPr="00CD36A4" w:rsidP="00CD36A4">
      <w:pPr>
        <w:pStyle w:val="ListBullet2"/>
      </w:pPr>
      <w:r w:rsidRPr="00CD36A4">
        <w:t>principles o</w:t>
      </w:r>
      <w:r w:rsidRPr="00CD36A4">
        <w:t>f universal design</w:t>
      </w:r>
    </w:p>
    <w:p w:rsidR="00000000" w:rsidRPr="00CD36A4" w:rsidP="00CD36A4">
      <w:pPr>
        <w:pStyle w:val="ListBullet2"/>
      </w:pPr>
      <w:r w:rsidRPr="00CD36A4">
        <w:t xml:space="preserve">privacy and confidentiality </w:t>
      </w:r>
    </w:p>
    <w:p w:rsidR="00000000" w:rsidRPr="00CD36A4" w:rsidP="00CD36A4">
      <w:pPr>
        <w:pStyle w:val="ListBullet"/>
      </w:pPr>
      <w:r w:rsidRPr="00CD36A4">
        <w:t>communication techniques:</w:t>
      </w:r>
    </w:p>
    <w:p w:rsidR="00000000" w:rsidRPr="00CD36A4" w:rsidP="00CD36A4">
      <w:pPr>
        <w:pStyle w:val="ListBullet2"/>
      </w:pPr>
      <w:r w:rsidRPr="00CD36A4">
        <w:t>active listening</w:t>
      </w:r>
    </w:p>
    <w:p w:rsidR="00000000" w:rsidRPr="00CD36A4" w:rsidP="00CD36A4">
      <w:pPr>
        <w:pStyle w:val="ListBullet2"/>
      </w:pPr>
      <w:r w:rsidRPr="00CD36A4">
        <w:t>demonstrating flexibility and willingness to negotiate</w:t>
      </w:r>
    </w:p>
    <w:p w:rsidR="00000000" w:rsidRPr="00CD36A4" w:rsidP="00CD36A4">
      <w:pPr>
        <w:pStyle w:val="ListBullet2"/>
      </w:pPr>
      <w:r w:rsidRPr="00CD36A4">
        <w:t>negotiation to resolve conflict</w:t>
      </w:r>
    </w:p>
    <w:p w:rsidR="00000000" w:rsidRPr="00CD36A4" w:rsidP="00CD36A4">
      <w:pPr>
        <w:pStyle w:val="ListBullet2"/>
      </w:pPr>
      <w:r w:rsidRPr="00CD36A4">
        <w:t>providing opportunities to clarify understanding</w:t>
      </w:r>
    </w:p>
    <w:p w:rsidR="00000000" w:rsidRPr="00CD36A4" w:rsidP="00CD36A4">
      <w:pPr>
        <w:pStyle w:val="ListBullet2"/>
      </w:pPr>
      <w:r w:rsidRPr="00CD36A4">
        <w:t>questioning and seeking fee</w:t>
      </w:r>
      <w:r w:rsidRPr="00CD36A4">
        <w:t>dback</w:t>
      </w:r>
    </w:p>
    <w:p w:rsidR="00000000" w:rsidRPr="00CD36A4" w:rsidP="00CD36A4">
      <w:pPr>
        <w:pStyle w:val="ListBullet2"/>
      </w:pPr>
      <w:r w:rsidRPr="00CD36A4">
        <w:t>summarising and paraphrasing to check understanding</w:t>
      </w:r>
    </w:p>
    <w:p w:rsidR="00000000" w:rsidRPr="00CD36A4" w:rsidP="00CD36A4">
      <w:pPr>
        <w:pStyle w:val="ListBullet2"/>
      </w:pPr>
      <w:r w:rsidRPr="00CD36A4">
        <w:t>using culturally sensitive language and concepts</w:t>
      </w:r>
    </w:p>
    <w:p w:rsidR="00000000" w:rsidRPr="00CD36A4" w:rsidP="00CD36A4">
      <w:pPr>
        <w:pStyle w:val="ListBullet2"/>
      </w:pPr>
      <w:r w:rsidRPr="00CD36A4">
        <w:t>using appropriate body language</w:t>
      </w:r>
    </w:p>
    <w:p w:rsidR="00000000" w:rsidRPr="00CD36A4" w:rsidP="00CD36A4">
      <w:pPr>
        <w:pStyle w:val="ListBullet2"/>
      </w:pPr>
      <w:r w:rsidRPr="00CD36A4">
        <w:t>using effective presentation aids</w:t>
      </w:r>
    </w:p>
    <w:p w:rsidR="00000000" w:rsidRPr="00CD36A4" w:rsidP="00CD36A4">
      <w:pPr>
        <w:pStyle w:val="ListBullet2"/>
      </w:pPr>
      <w:r w:rsidRPr="00CD36A4">
        <w:t>using effective questioning and responding to establish rapport</w:t>
      </w:r>
    </w:p>
    <w:p w:rsidR="00000000" w:rsidRPr="00CD36A4" w:rsidP="00CD36A4">
      <w:pPr>
        <w:pStyle w:val="ListBullet"/>
      </w:pPr>
      <w:r w:rsidRPr="00CD36A4">
        <w:t>group processes and team behaviour:</w:t>
      </w:r>
    </w:p>
    <w:p w:rsidR="00000000" w:rsidRPr="00CD36A4" w:rsidP="00CD36A4">
      <w:pPr>
        <w:pStyle w:val="ListBullet2"/>
      </w:pPr>
      <w:r w:rsidRPr="00CD36A4">
        <w:t>causes of stress or conflict in teams</w:t>
      </w:r>
    </w:p>
    <w:p w:rsidR="00000000" w:rsidRPr="00CD36A4" w:rsidP="00CD36A4">
      <w:pPr>
        <w:pStyle w:val="ListBullet2"/>
      </w:pPr>
      <w:r w:rsidRPr="00CD36A4">
        <w:t>role and function of workplace teams</w:t>
      </w:r>
    </w:p>
    <w:p w:rsidR="00000000" w:rsidRPr="00CD36A4" w:rsidP="00CD36A4">
      <w:pPr>
        <w:pStyle w:val="ListBullet2"/>
      </w:pPr>
      <w:r w:rsidRPr="00CD36A4">
        <w:t>stages of team development</w:t>
      </w:r>
    </w:p>
    <w:p w:rsidR="00000000" w:rsidRPr="00CD36A4" w:rsidP="00CD36A4">
      <w:pPr>
        <w:pStyle w:val="ListBullet2"/>
      </w:pPr>
      <w:r w:rsidRPr="00CD36A4">
        <w:t>strategies for managing or reducing conflict</w:t>
      </w:r>
    </w:p>
    <w:p w:rsidR="00000000" w:rsidRPr="00CD36A4" w:rsidP="00CD36A4">
      <w:pPr>
        <w:pStyle w:val="ListBullet2"/>
      </w:pPr>
      <w:r w:rsidRPr="00CD36A4">
        <w:t>team dynamics</w:t>
      </w:r>
    </w:p>
    <w:p w:rsidR="00000000" w:rsidRPr="00CD36A4" w:rsidP="00CD36A4">
      <w:pPr>
        <w:pStyle w:val="ListBullet"/>
      </w:pPr>
      <w:r w:rsidRPr="00CD36A4">
        <w:t>interpersonal communication strategies used to effectivel</w:t>
      </w:r>
      <w:r w:rsidRPr="00CD36A4">
        <w:t>y relate to people from a range of social, cultural and ethnic backgrounds and with a range of physical and cognitive abilities</w:t>
      </w:r>
    </w:p>
    <w:p w:rsidR="00000000" w:rsidRPr="00CD36A4" w:rsidP="00CD36A4">
      <w:pPr>
        <w:pStyle w:val="ListBullet"/>
      </w:pPr>
      <w:r w:rsidRPr="00CD36A4">
        <w:t>negotiation techniques to present logical arguments when proposing possible solutions for the provision of access</w:t>
      </w:r>
    </w:p>
    <w:p w:rsidR="00000000" w:rsidRPr="00CD36A4" w:rsidP="00CD36A4">
      <w:pPr>
        <w:pStyle w:val="ListBullet"/>
      </w:pPr>
      <w:r w:rsidRPr="00CD36A4">
        <w:t>project docume</w:t>
      </w:r>
      <w:r w:rsidRPr="00CD36A4">
        <w:t>ntation at different stages of the building cycle:</w:t>
      </w:r>
    </w:p>
    <w:p w:rsidR="00000000" w:rsidRPr="00CD36A4" w:rsidP="00CD36A4">
      <w:pPr>
        <w:pStyle w:val="ListBullet2"/>
      </w:pPr>
      <w:r w:rsidRPr="00CD36A4">
        <w:t>design brief</w:t>
      </w:r>
    </w:p>
    <w:p w:rsidR="00000000" w:rsidRPr="00CD36A4" w:rsidP="00CD36A4">
      <w:pPr>
        <w:pStyle w:val="ListBullet2"/>
      </w:pPr>
      <w:r w:rsidRPr="00CD36A4">
        <w:t>concept design</w:t>
      </w:r>
    </w:p>
    <w:p w:rsidR="00000000" w:rsidRPr="00CD36A4" w:rsidP="00CD36A4">
      <w:pPr>
        <w:pStyle w:val="ListBullet2"/>
      </w:pPr>
      <w:r w:rsidRPr="00CD36A4">
        <w:t>working drawings</w:t>
      </w:r>
    </w:p>
    <w:p w:rsidR="00000000" w:rsidRPr="00CD36A4" w:rsidP="00CD36A4">
      <w:pPr>
        <w:pStyle w:val="ListBullet2"/>
      </w:pPr>
      <w:r w:rsidRPr="00CD36A4">
        <w:t>tender documentation and specifications</w:t>
      </w:r>
    </w:p>
    <w:p w:rsidR="00000000" w:rsidRPr="00CD36A4" w:rsidP="00CD36A4">
      <w:pPr>
        <w:pStyle w:val="ListBullet2"/>
      </w:pPr>
      <w:r w:rsidRPr="00CD36A4">
        <w:t>contract documentation</w:t>
      </w:r>
    </w:p>
    <w:p w:rsidR="00000000" w:rsidRPr="00CD36A4" w:rsidP="00CD36A4">
      <w:pPr>
        <w:pStyle w:val="ListBullet2"/>
      </w:pPr>
      <w:r w:rsidRPr="00CD36A4">
        <w:t>administration services</w:t>
      </w:r>
    </w:p>
    <w:p w:rsidR="00000000" w:rsidRPr="00CD36A4" w:rsidP="00CD36A4">
      <w:pPr>
        <w:pStyle w:val="ListBullet"/>
      </w:pPr>
      <w:r w:rsidRPr="00CD36A4">
        <w:t>sources of reliable and current access documentation to meet the requirements of relevant legislation, standards and codes</w:t>
      </w:r>
    </w:p>
    <w:p w:rsidR="00000000" w:rsidRPr="00CD36A4" w:rsidP="00CD36A4">
      <w:pPr>
        <w:pStyle w:val="ListBullet"/>
      </w:pPr>
      <w:r w:rsidRPr="00CD36A4">
        <w:t>processes for interpreting construction plans and drawings to determine provisions for access</w:t>
      </w:r>
    </w:p>
    <w:p w:rsidR="00000000" w:rsidRPr="00CD36A4" w:rsidP="00CD36A4">
      <w:pPr>
        <w:pStyle w:val="ListBullet"/>
      </w:pPr>
      <w:r w:rsidRPr="00CD36A4">
        <w:t>types of disability and limitations tha</w:t>
      </w:r>
      <w:r w:rsidRPr="00CD36A4">
        <w:t>t each disability places on an individual’s ability to access the environment</w:t>
      </w:r>
    </w:p>
    <w:p w:rsidR="00000000" w:rsidRPr="00CD36A4" w:rsidP="00CD36A4">
      <w:pPr>
        <w:pStyle w:val="ListBullet"/>
      </w:pPr>
      <w:r w:rsidRPr="00CD36A4">
        <w:t>workplace requirements for working with building development teams:</w:t>
      </w:r>
    </w:p>
    <w:p w:rsidR="00000000" w:rsidRPr="00CD36A4" w:rsidP="00CD36A4">
      <w:pPr>
        <w:pStyle w:val="ListBullet2"/>
      </w:pPr>
      <w:r w:rsidRPr="00CD36A4">
        <w:t>client service</w:t>
      </w:r>
    </w:p>
    <w:p w:rsidR="00000000" w:rsidRPr="00CD36A4" w:rsidP="00CD36A4">
      <w:pPr>
        <w:pStyle w:val="ListBullet2"/>
      </w:pPr>
      <w:r w:rsidRPr="00CD36A4">
        <w:t>documentation, reports and records administration</w:t>
      </w:r>
    </w:p>
    <w:p w:rsidR="00000000" w:rsidRPr="00CD36A4" w:rsidP="00CD36A4">
      <w:pPr>
        <w:pStyle w:val="ListBullet2"/>
      </w:pPr>
      <w:r w:rsidRPr="00CD36A4">
        <w:t>work role boundaries – responsibilities, lim</w:t>
      </w:r>
      <w:r w:rsidRPr="00CD36A4">
        <w:t>itations and professional abilities.</w:t>
      </w:r>
    </w:p>
    <w:p w:rsidR="00000000" w:rsidRPr="00CD36A4" w:rsidP="00CD36A4">
      <w:pPr>
        <w:pStyle w:val="AllowPageBreak"/>
      </w:pPr>
    </w:p>
    <w:p w:rsidR="00000000" w:rsidRPr="00CD36A4" w:rsidP="00CD36A4">
      <w:pPr>
        <w:pStyle w:val="Heading1"/>
      </w:pPr>
      <w:bookmarkStart w:id="4" w:name="O_899751"/>
      <w:bookmarkEnd w:id="4"/>
      <w:r w:rsidRPr="00CD36A4">
        <w:t>Assessment Conditions</w:t>
      </w:r>
    </w:p>
    <w:p w:rsidR="00000000" w:rsidRPr="00CD36A4" w:rsidP="00796C21">
      <w:pPr>
        <w:pStyle w:val="BodyText"/>
      </w:pPr>
      <w:r w:rsidRPr="00CD36A4">
        <w:t xml:space="preserve">Assessors must meet the requirements for assessors contained in the Standards for Registered Training Organisations. </w:t>
      </w:r>
    </w:p>
    <w:p w:rsidR="00000000" w:rsidRPr="00CD36A4" w:rsidP="00796C21">
      <w:pPr>
        <w:pStyle w:val="BodyText"/>
      </w:pPr>
      <w:r w:rsidRPr="00CD36A4">
        <w:t>Assessment must be conducted in the workplace or a simulated w</w:t>
      </w:r>
      <w:r w:rsidRPr="00CD36A4">
        <w:t>orkplace using realistic conditions, materials, activities, responsibilities, procedures, safety requirements and environmental considerations.</w:t>
      </w:r>
    </w:p>
    <w:p w:rsidR="00000000" w:rsidRPr="00CD36A4" w:rsidP="00796C21">
      <w:pPr>
        <w:pStyle w:val="BodyText"/>
      </w:pPr>
      <w:r w:rsidRPr="00CD36A4">
        <w:t>Candidates must have access to documentation, information and technologies required to achieve the performance c</w:t>
      </w:r>
      <w:r w:rsidRPr="00CD36A4">
        <w:t>riteria and performance evidence.</w:t>
      </w:r>
    </w:p>
    <w:p w:rsidR="00000000" w:rsidRPr="00CD36A4" w:rsidP="00CD36A4">
      <w:pPr>
        <w:pStyle w:val="Heading1"/>
      </w:pPr>
      <w:bookmarkStart w:id="5" w:name="O_899749"/>
      <w:bookmarkEnd w:id="5"/>
      <w:r w:rsidRPr="00CD36A4">
        <w:t>Links</w:t>
      </w:r>
    </w:p>
    <w:p w:rsidR="00000000" w:rsidRPr="00CD36A4" w:rsidP="00796C21">
      <w:pPr>
        <w:pStyle w:val="BodyText"/>
      </w:pPr>
      <w:r w:rsidRPr="00CD3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04B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36A4" w:rsidP="00CD36A4"/>
    <w:sectPr w:rsidSect="00CD3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6A4" w:rsidRPr="00796C21" w:rsidP="00796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21" w:rsidP="00CD3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C21" w:rsidP="00CD3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96C21" w:rsidP="00CD3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6A4" w:rsidRPr="00796C21" w:rsidP="00796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21" w:rsidRPr="002D2AF8" w:rsidP="00CD3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CPPACC4013 Contribute effectively to building development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96C21" w:rsidP="00CD3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2AE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D29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509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6A4"/>
  </w:style>
  <w:style w:type="character" w:customStyle="1" w:styleId="Heading1Char">
    <w:name w:val="Heading 1 Char"/>
    <w:basedOn w:val="DefaultParagraphFont"/>
    <w:link w:val="Heading1"/>
    <w:rsid w:val="00CD3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6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6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6A4"/>
    <w:rPr>
      <w:b/>
      <w:spacing w:val="0"/>
    </w:rPr>
  </w:style>
  <w:style w:type="paragraph" w:customStyle="1" w:styleId="SuperTitle">
    <w:name w:val="SuperTitle"/>
    <w:basedOn w:val="Title"/>
    <w:rsid w:val="00CD3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6A4"/>
    <w:rPr>
      <w:i/>
    </w:rPr>
  </w:style>
  <w:style w:type="paragraph" w:styleId="Caption">
    <w:name w:val="caption"/>
    <w:basedOn w:val="BodyText"/>
    <w:next w:val="Normal"/>
    <w:qFormat/>
    <w:rsid w:val="00CD3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6A4"/>
  </w:style>
  <w:style w:type="paragraph" w:styleId="TableofFigures">
    <w:name w:val="table of figures"/>
    <w:basedOn w:val="Normal"/>
    <w:next w:val="Normal"/>
    <w:semiHidden/>
    <w:rsid w:val="00CD3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6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6A4"/>
    <w:rPr>
      <w:rFonts w:ascii="Wingdings" w:hAnsi="Wingdings"/>
    </w:rPr>
  </w:style>
  <w:style w:type="paragraph" w:customStyle="1" w:styleId="TableHeading">
    <w:name w:val="Table Heading"/>
    <w:basedOn w:val="HeadingBase"/>
    <w:rsid w:val="00CD3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6A4"/>
    <w:rPr>
      <w:color w:val="0033CC"/>
      <w:u w:val="none"/>
    </w:rPr>
  </w:style>
  <w:style w:type="paragraph" w:customStyle="1" w:styleId="BodyTextRight">
    <w:name w:val="Body Text Right"/>
    <w:basedOn w:val="BodyText"/>
    <w:rsid w:val="00CD3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6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6A4"/>
    <w:rPr>
      <w:sz w:val="32"/>
    </w:rPr>
  </w:style>
  <w:style w:type="paragraph" w:customStyle="1" w:styleId="HeadingProcedure">
    <w:name w:val="Heading Procedure"/>
    <w:basedOn w:val="HeadingBase"/>
    <w:next w:val="Normal"/>
    <w:rsid w:val="00CD3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6A4"/>
    <w:pPr>
      <w:spacing w:before="60" w:after="60"/>
    </w:pPr>
  </w:style>
  <w:style w:type="paragraph" w:styleId="ListContinue">
    <w:name w:val="List Continue"/>
    <w:basedOn w:val="List"/>
    <w:rsid w:val="00CD36A4"/>
    <w:pPr>
      <w:ind w:firstLine="0"/>
    </w:pPr>
  </w:style>
  <w:style w:type="paragraph" w:customStyle="1" w:styleId="ListNote">
    <w:name w:val="List Note"/>
    <w:basedOn w:val="List"/>
    <w:rsid w:val="00CD3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6A4"/>
    <w:rPr>
      <w:rFonts w:ascii="Courier New" w:hAnsi="Courier New"/>
    </w:rPr>
  </w:style>
  <w:style w:type="paragraph" w:customStyle="1" w:styleId="NoteBullet">
    <w:name w:val="Note Bullet"/>
    <w:basedOn w:val="Note"/>
    <w:rsid w:val="00CD3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6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6A4"/>
    <w:rPr>
      <w:b/>
      <w:smallCaps/>
    </w:rPr>
  </w:style>
  <w:style w:type="paragraph" w:customStyle="1" w:styleId="TableListNumber">
    <w:name w:val="Table List Number"/>
    <w:basedOn w:val="ListNumber"/>
    <w:rsid w:val="00CD3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6A4"/>
    <w:pPr>
      <w:numPr>
        <w:numId w:val="9"/>
      </w:numPr>
    </w:pPr>
  </w:style>
  <w:style w:type="paragraph" w:customStyle="1" w:styleId="ListAlpha2">
    <w:name w:val="List Alpha 2"/>
    <w:basedOn w:val="List2"/>
    <w:rsid w:val="00CD36A4"/>
    <w:pPr>
      <w:numPr>
        <w:numId w:val="8"/>
      </w:numPr>
    </w:pPr>
  </w:style>
  <w:style w:type="paragraph" w:styleId="List2">
    <w:name w:val="List 2"/>
    <w:basedOn w:val="BodyText"/>
    <w:rsid w:val="00CD3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6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6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6A4"/>
    <w:pPr>
      <w:numPr>
        <w:numId w:val="4"/>
      </w:numPr>
    </w:pPr>
  </w:style>
  <w:style w:type="paragraph" w:styleId="ListContinue2">
    <w:name w:val="List Continue 2"/>
    <w:basedOn w:val="List2"/>
    <w:rsid w:val="00CD36A4"/>
    <w:pPr>
      <w:ind w:firstLine="0"/>
    </w:pPr>
  </w:style>
  <w:style w:type="paragraph" w:styleId="ListContinue3">
    <w:name w:val="List Continue 3"/>
    <w:basedOn w:val="List3"/>
    <w:rsid w:val="00CD36A4"/>
    <w:pPr>
      <w:ind w:left="1021" w:firstLine="0"/>
    </w:pPr>
  </w:style>
  <w:style w:type="paragraph" w:styleId="ListContinue4">
    <w:name w:val="List Continue 4"/>
    <w:basedOn w:val="List4"/>
    <w:rsid w:val="00CD36A4"/>
    <w:pPr>
      <w:ind w:firstLine="0"/>
    </w:pPr>
  </w:style>
  <w:style w:type="paragraph" w:styleId="ListContinue5">
    <w:name w:val="List Continue 5"/>
    <w:basedOn w:val="List5"/>
    <w:rsid w:val="00CD36A4"/>
    <w:pPr>
      <w:ind w:firstLine="0"/>
    </w:pPr>
  </w:style>
  <w:style w:type="paragraph" w:styleId="ListNumber3">
    <w:name w:val="List Number 3"/>
    <w:basedOn w:val="List3"/>
    <w:rsid w:val="00CD36A4"/>
    <w:pPr>
      <w:numPr>
        <w:numId w:val="5"/>
      </w:numPr>
    </w:pPr>
  </w:style>
  <w:style w:type="paragraph" w:styleId="ListNumber4">
    <w:name w:val="List Number 4"/>
    <w:basedOn w:val="List4"/>
    <w:rsid w:val="00CD36A4"/>
    <w:pPr>
      <w:numPr>
        <w:numId w:val="6"/>
      </w:numPr>
    </w:pPr>
  </w:style>
  <w:style w:type="paragraph" w:styleId="ListNumber5">
    <w:name w:val="List Number 5"/>
    <w:basedOn w:val="List5"/>
    <w:rsid w:val="00CD36A4"/>
    <w:pPr>
      <w:numPr>
        <w:numId w:val="7"/>
      </w:numPr>
    </w:pPr>
  </w:style>
  <w:style w:type="paragraph" w:styleId="BlockText">
    <w:name w:val="Block Text"/>
    <w:basedOn w:val="Normal"/>
    <w:rsid w:val="00CD3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6A4"/>
    <w:rPr>
      <w:sz w:val="16"/>
      <w:vertAlign w:val="superscript"/>
    </w:rPr>
  </w:style>
  <w:style w:type="character" w:customStyle="1" w:styleId="Symbols">
    <w:name w:val="Symbols"/>
    <w:basedOn w:val="DefaultParagraphFont"/>
    <w:rsid w:val="00CD36A4"/>
    <w:rPr>
      <w:rFonts w:ascii="Symbol" w:hAnsi="Symbol"/>
    </w:rPr>
  </w:style>
  <w:style w:type="character" w:customStyle="1" w:styleId="MenuOptions">
    <w:name w:val="Menu Options"/>
    <w:basedOn w:val="DefaultParagraphFont"/>
    <w:rsid w:val="00CD3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6A4"/>
    <w:rPr>
      <w:b/>
    </w:rPr>
  </w:style>
  <w:style w:type="character" w:customStyle="1" w:styleId="Underlined">
    <w:name w:val="Underlined"/>
    <w:basedOn w:val="DefaultParagraphFont"/>
    <w:rsid w:val="00CD36A4"/>
    <w:rPr>
      <w:u w:val="single"/>
    </w:rPr>
  </w:style>
  <w:style w:type="paragraph" w:customStyle="1" w:styleId="TableBodyTextRight">
    <w:name w:val="Table Body Text Right"/>
    <w:basedOn w:val="TableBodyText"/>
    <w:rsid w:val="00CD3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6A4"/>
    <w:rPr>
      <w:sz w:val="18"/>
    </w:rPr>
  </w:style>
  <w:style w:type="paragraph" w:customStyle="1" w:styleId="BodySmallRight">
    <w:name w:val="Body Small Right"/>
    <w:basedOn w:val="BodyTextRight"/>
    <w:rsid w:val="00CD36A4"/>
    <w:rPr>
      <w:sz w:val="18"/>
      <w:szCs w:val="18"/>
    </w:rPr>
  </w:style>
  <w:style w:type="paragraph" w:customStyle="1" w:styleId="MarginEdition">
    <w:name w:val="Margin Edition"/>
    <w:basedOn w:val="MarginNote"/>
    <w:rsid w:val="00CD3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6A4"/>
    <w:rPr>
      <w:sz w:val="2"/>
      <w:szCs w:val="2"/>
    </w:rPr>
  </w:style>
  <w:style w:type="character" w:customStyle="1" w:styleId="Small">
    <w:name w:val="Small"/>
    <w:basedOn w:val="DefaultParagraphFont"/>
    <w:rsid w:val="00CD36A4"/>
    <w:rPr>
      <w:sz w:val="16"/>
    </w:rPr>
  </w:style>
  <w:style w:type="paragraph" w:customStyle="1" w:styleId="WideTable">
    <w:name w:val="Wide Table"/>
    <w:basedOn w:val="Normal"/>
    <w:rsid w:val="00CD3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6A4"/>
  </w:style>
  <w:style w:type="paragraph" w:styleId="Quote">
    <w:name w:val="Quote"/>
    <w:basedOn w:val="Heading1"/>
    <w:link w:val="QuoteChar"/>
    <w:qFormat/>
    <w:rsid w:val="00CD3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6A4"/>
    <w:pPr>
      <w:pageBreakBefore/>
    </w:pPr>
  </w:style>
  <w:style w:type="paragraph" w:customStyle="1" w:styleId="Border">
    <w:name w:val="Border"/>
    <w:basedOn w:val="Normal"/>
    <w:qFormat/>
    <w:rsid w:val="00CD3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6A4"/>
    <w:rPr>
      <w:u w:val="single"/>
    </w:rPr>
  </w:style>
  <w:style w:type="character" w:customStyle="1" w:styleId="BoldandItalics">
    <w:name w:val="Bold and Italics"/>
    <w:qFormat/>
    <w:rsid w:val="00CD36A4"/>
    <w:rPr>
      <w:b/>
      <w:i/>
      <w:u w:val="none"/>
    </w:rPr>
  </w:style>
  <w:style w:type="paragraph" w:styleId="BalloonText">
    <w:name w:val="Balloon Text"/>
    <w:basedOn w:val="Normal"/>
    <w:link w:val="BalloonTextChar"/>
    <w:rsid w:val="00CD3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6A4"/>
    <w:pPr>
      <w:spacing w:before="0" w:after="0"/>
    </w:pPr>
  </w:style>
  <w:style w:type="paragraph" w:customStyle="1" w:styleId="BodyTextBold">
    <w:name w:val="Body Text Bold"/>
    <w:basedOn w:val="BodyText"/>
    <w:qFormat/>
    <w:rsid w:val="00CD36A4"/>
    <w:rPr>
      <w:b/>
    </w:rPr>
  </w:style>
  <w:style w:type="character" w:styleId="Hyperlink">
    <w:name w:val="Hyperlink"/>
    <w:basedOn w:val="DefaultParagraphFont"/>
    <w:uiPriority w:val="99"/>
    <w:unhideWhenUsed/>
    <w:rsid w:val="00796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3543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CPPACC4013 Contribute effectively to building development teams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