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D02" w:rsidP="00C60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CPPACC4004 Communicate effectively as an access consultant</w:t>
      </w:r>
      <w:r>
        <w:fldChar w:fldCharType="end"/>
      </w:r>
    </w:p>
    <w:p w:rsidR="00C60D02" w:rsidP="00C60D02">
      <w:pPr>
        <w:pStyle w:val="Version"/>
        <w:sectPr w:rsidSect="00FE60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0D1" w:rsidP="00FE60D1">
      <w:pPr>
        <w:pStyle w:val="SuperHeading"/>
      </w:pPr>
      <w:r w:rsidRPr="00FE60D1">
        <w:t>Assessment Requirements for CPPACC4004 Communicate effectively as an access consultant</w:t>
      </w:r>
    </w:p>
    <w:p w:rsidR="00000000" w:rsidRPr="00FE60D1" w:rsidP="00FE60D1">
      <w:pPr>
        <w:pStyle w:val="Heading1"/>
      </w:pPr>
      <w:bookmarkStart w:id="1" w:name="O_898507"/>
      <w:bookmarkEnd w:id="1"/>
      <w:r w:rsidRPr="00FE60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E60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0D1">
            <w:pPr>
              <w:pStyle w:val="BodyText"/>
              <w:rPr>
                <w:lang w:val="en-NZ"/>
              </w:rPr>
            </w:pPr>
            <w:r w:rsidRPr="00FE60D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0D1" w:rsidP="00FE60D1">
            <w:pPr>
              <w:pStyle w:val="BodyText"/>
            </w:pPr>
            <w:r w:rsidRPr="00FE60D1">
              <w:t>This unit first released with CPP Property Services Training Package Release 14.0.</w:t>
            </w:r>
          </w:p>
          <w:p w:rsidR="00000000" w:rsidRPr="00FE60D1" w:rsidP="00FE60D1">
            <w:pPr>
              <w:pStyle w:val="BodyText"/>
            </w:pPr>
            <w:r w:rsidRPr="00FE60D1">
              <w:t xml:space="preserve">Supersedes and is equivalent to CPPACC4004A Communicate effectively as an access consultant. </w:t>
            </w:r>
          </w:p>
          <w:p w:rsidR="00000000" w:rsidRPr="00FE60D1" w:rsidP="00FE60D1">
            <w:pPr>
              <w:pStyle w:val="BodyText"/>
            </w:pPr>
            <w:r w:rsidRPr="00FE60D1">
              <w:t xml:space="preserve">Unit updated to meet the Standards for Training Packages 2012. </w:t>
            </w:r>
          </w:p>
        </w:tc>
      </w:tr>
    </w:tbl>
    <w:p w:rsidR="00000000" w:rsidRPr="00FE60D1" w:rsidP="00FE60D1">
      <w:pPr>
        <w:pStyle w:val="BodyText"/>
      </w:pPr>
    </w:p>
    <w:p w:rsidR="00000000" w:rsidRPr="00FE60D1" w:rsidP="00FE60D1">
      <w:pPr>
        <w:pStyle w:val="AllowPageBreak"/>
      </w:pPr>
    </w:p>
    <w:p w:rsidR="00000000" w:rsidRPr="00FE60D1" w:rsidP="00FE60D1">
      <w:pPr>
        <w:pStyle w:val="Heading1"/>
      </w:pPr>
      <w:bookmarkStart w:id="2" w:name="O_898510"/>
      <w:bookmarkEnd w:id="2"/>
      <w:r w:rsidRPr="00FE60D1">
        <w:t>Performance Evidence</w:t>
      </w:r>
    </w:p>
    <w:p w:rsidR="00000000" w:rsidRPr="00FE60D1" w:rsidP="00C60D02">
      <w:pPr>
        <w:pStyle w:val="BodyText"/>
      </w:pPr>
      <w:r w:rsidRPr="00FE60D1">
        <w:t>To demonstrate competency, a candidate must meet the eleme</w:t>
      </w:r>
      <w:r w:rsidRPr="00FE60D1">
        <w:t>nts and performance criteria of this unit by communicating effectively to provide access consulting services to two different clients.</w:t>
      </w:r>
    </w:p>
    <w:p w:rsidR="00000000" w:rsidRPr="00FE60D1" w:rsidP="00FE60D1">
      <w:pPr>
        <w:pStyle w:val="Heading1"/>
      </w:pPr>
      <w:bookmarkStart w:id="3" w:name="O_898509"/>
      <w:bookmarkEnd w:id="3"/>
      <w:r w:rsidRPr="00FE60D1">
        <w:t>Knowledge Evidence</w:t>
      </w:r>
    </w:p>
    <w:p w:rsidR="00000000" w:rsidRPr="00FE60D1" w:rsidP="00C60D02">
      <w:pPr>
        <w:pStyle w:val="BodyText"/>
      </w:pPr>
      <w:r w:rsidRPr="00FE60D1">
        <w:t>To be competent in this unit, a candidate must demonstrate knowledge of:</w:t>
      </w:r>
    </w:p>
    <w:p w:rsidR="00000000" w:rsidRPr="00FE60D1" w:rsidP="00FE60D1">
      <w:pPr>
        <w:pStyle w:val="ListBullet"/>
      </w:pPr>
      <w:r w:rsidRPr="00FE60D1">
        <w:t>Commonwealt</w:t>
      </w:r>
      <w:r w:rsidRPr="00FE60D1">
        <w:t>h, state and territory legislation, regulations, standards and codes relevant to access consulting activities:</w:t>
      </w:r>
    </w:p>
    <w:p w:rsidR="00000000" w:rsidRPr="00FE60D1" w:rsidP="00FE60D1">
      <w:pPr>
        <w:pStyle w:val="ListBullet2"/>
      </w:pPr>
      <w:r w:rsidRPr="00FE60D1">
        <w:t>anti-discrimination and disability discrimination</w:t>
      </w:r>
    </w:p>
    <w:p w:rsidR="00000000" w:rsidRPr="00FE60D1" w:rsidP="00FE60D1">
      <w:pPr>
        <w:pStyle w:val="ListBullet2"/>
      </w:pPr>
      <w:r w:rsidRPr="00FE60D1">
        <w:t>Disability (Access to Premises –</w:t>
      </w:r>
      <w:r w:rsidRPr="00FE60D1">
        <w:t xml:space="preserve"> Buildings) Standards 2010 and Disability Standards for Accessible Public Transport 2002 under the Disability Discrimination Act 1992 (or their successors) - known as the Access to Premises Standards and Transport Standards</w:t>
      </w:r>
    </w:p>
    <w:p w:rsidR="00000000" w:rsidRPr="00FE60D1" w:rsidP="00FE60D1">
      <w:pPr>
        <w:pStyle w:val="ListBullet2"/>
      </w:pPr>
      <w:r w:rsidRPr="00FE60D1">
        <w:t>National Construction Code (NCC)</w:t>
      </w:r>
      <w:r w:rsidRPr="00FE60D1">
        <w:t xml:space="preserve"> building classifications and access requirements</w:t>
      </w:r>
    </w:p>
    <w:p w:rsidR="00000000" w:rsidRPr="00FE60D1" w:rsidP="00FE60D1">
      <w:pPr>
        <w:pStyle w:val="ListBullet2"/>
      </w:pPr>
      <w:r w:rsidRPr="00FE60D1">
        <w:t>National Disability Insurance Scheme (NDIS) Specialist Disability Accommodation Design Standard (or its successor)</w:t>
      </w:r>
    </w:p>
    <w:p w:rsidR="00000000" w:rsidRPr="00FE60D1" w:rsidP="00FE60D1">
      <w:pPr>
        <w:pStyle w:val="ListBullet2"/>
      </w:pPr>
      <w:r w:rsidRPr="00FE60D1">
        <w:t>Livable Housing Australia Livable Housing Design Guidelines (or its successor)</w:t>
      </w:r>
    </w:p>
    <w:p w:rsidR="00000000" w:rsidRPr="00FE60D1" w:rsidP="00FE60D1">
      <w:pPr>
        <w:pStyle w:val="ListBullet2"/>
      </w:pPr>
      <w:r w:rsidRPr="00FE60D1">
        <w:t>principles o</w:t>
      </w:r>
      <w:r w:rsidRPr="00FE60D1">
        <w:t>f universal design</w:t>
      </w:r>
    </w:p>
    <w:p w:rsidR="00000000" w:rsidRPr="00FE60D1" w:rsidP="00FE60D1">
      <w:pPr>
        <w:pStyle w:val="ListBullet2"/>
      </w:pPr>
      <w:r w:rsidRPr="00FE60D1">
        <w:t>privacy and confidentiality</w:t>
      </w:r>
    </w:p>
    <w:p w:rsidR="00000000" w:rsidRPr="00FE60D1" w:rsidP="00FE60D1">
      <w:pPr>
        <w:pStyle w:val="ListBullet"/>
      </w:pPr>
      <w:r w:rsidRPr="00FE60D1">
        <w:t>communication techniques:</w:t>
      </w:r>
    </w:p>
    <w:p w:rsidR="00000000" w:rsidRPr="00FE60D1" w:rsidP="00FE60D1">
      <w:pPr>
        <w:pStyle w:val="ListBullet2"/>
      </w:pPr>
      <w:r w:rsidRPr="00FE60D1">
        <w:t>active listening</w:t>
      </w:r>
    </w:p>
    <w:p w:rsidR="00000000" w:rsidRPr="00FE60D1" w:rsidP="00FE60D1">
      <w:pPr>
        <w:pStyle w:val="ListBullet2"/>
      </w:pPr>
      <w:r w:rsidRPr="00FE60D1">
        <w:t>demonstrating flexibility and willingness to negotiate</w:t>
      </w:r>
    </w:p>
    <w:p w:rsidR="00000000" w:rsidRPr="00FE60D1" w:rsidP="00FE60D1">
      <w:pPr>
        <w:pStyle w:val="ListBullet2"/>
      </w:pPr>
      <w:r w:rsidRPr="00FE60D1">
        <w:t>negotiation to resolve conflict</w:t>
      </w:r>
    </w:p>
    <w:p w:rsidR="00000000" w:rsidRPr="00FE60D1" w:rsidP="00FE60D1">
      <w:pPr>
        <w:pStyle w:val="ListBullet2"/>
      </w:pPr>
      <w:r w:rsidRPr="00FE60D1">
        <w:t>providing opportunities to clarify understanding</w:t>
      </w:r>
    </w:p>
    <w:p w:rsidR="00000000" w:rsidRPr="00FE60D1" w:rsidP="00FE60D1">
      <w:pPr>
        <w:pStyle w:val="ListBullet2"/>
      </w:pPr>
      <w:r w:rsidRPr="00FE60D1">
        <w:t>questioning and seeking feed</w:t>
      </w:r>
      <w:r w:rsidRPr="00FE60D1">
        <w:t>back</w:t>
      </w:r>
    </w:p>
    <w:p w:rsidR="00000000" w:rsidRPr="00FE60D1" w:rsidP="00FE60D1">
      <w:pPr>
        <w:pStyle w:val="ListBullet2"/>
      </w:pPr>
      <w:r w:rsidRPr="00FE60D1">
        <w:t>summarising and paraphrasing to check understanding</w:t>
      </w:r>
    </w:p>
    <w:p w:rsidR="00000000" w:rsidRPr="00FE60D1" w:rsidP="00FE60D1">
      <w:pPr>
        <w:pStyle w:val="ListBullet2"/>
      </w:pPr>
      <w:r w:rsidRPr="00FE60D1">
        <w:t>using culturally sensitive language and concepts</w:t>
      </w:r>
    </w:p>
    <w:p w:rsidR="00000000" w:rsidRPr="00FE60D1" w:rsidP="00FE60D1">
      <w:pPr>
        <w:pStyle w:val="ListBullet2"/>
      </w:pPr>
      <w:r w:rsidRPr="00FE60D1">
        <w:t>using appropriate body language</w:t>
      </w:r>
    </w:p>
    <w:p w:rsidR="00000000" w:rsidRPr="00FE60D1" w:rsidP="00FE60D1">
      <w:pPr>
        <w:pStyle w:val="ListBullet2"/>
      </w:pPr>
      <w:r w:rsidRPr="00FE60D1">
        <w:t>using effective presentation aids</w:t>
      </w:r>
    </w:p>
    <w:p w:rsidR="00000000" w:rsidRPr="00FE60D1" w:rsidP="00FE60D1">
      <w:pPr>
        <w:pStyle w:val="ListBullet2"/>
      </w:pPr>
      <w:r w:rsidRPr="00FE60D1">
        <w:t>using effective questioning and responding to establish rapport</w:t>
      </w:r>
    </w:p>
    <w:p w:rsidR="00000000" w:rsidRPr="00FE60D1" w:rsidP="00FE60D1">
      <w:pPr>
        <w:pStyle w:val="ListBullet"/>
      </w:pPr>
      <w:r w:rsidRPr="00FE60D1">
        <w:t>interpersonal communication strategies used to effectively relate to people from a range of social, cultural and ethnic backgrounds and with a range of physical and cognitive abilities</w:t>
      </w:r>
    </w:p>
    <w:p w:rsidR="00000000" w:rsidRPr="00FE60D1" w:rsidP="00FE60D1">
      <w:pPr>
        <w:pStyle w:val="ListBullet"/>
      </w:pPr>
      <w:r w:rsidRPr="00FE60D1">
        <w:t>methods for facilitating meetings with clients, colleagues and other st</w:t>
      </w:r>
      <w:r w:rsidRPr="00FE60D1">
        <w:t>akeholders to exchange information</w:t>
      </w:r>
    </w:p>
    <w:p w:rsidR="00000000" w:rsidRPr="00FE60D1" w:rsidP="00FE60D1">
      <w:pPr>
        <w:pStyle w:val="ListBullet"/>
      </w:pPr>
      <w:r w:rsidRPr="00FE60D1">
        <w:t>principles of the communication process</w:t>
      </w:r>
    </w:p>
    <w:p w:rsidR="00000000" w:rsidRPr="00FE60D1" w:rsidP="00FE60D1">
      <w:pPr>
        <w:pStyle w:val="ListBullet"/>
      </w:pPr>
      <w:r w:rsidRPr="00FE60D1">
        <w:t>sources of reliable and current access documentation to meet the requirements of relevant legislation, standards and codes</w:t>
      </w:r>
    </w:p>
    <w:p w:rsidR="00000000" w:rsidRPr="00FE60D1" w:rsidP="00FE60D1">
      <w:pPr>
        <w:pStyle w:val="ListBullet"/>
      </w:pPr>
      <w:r w:rsidRPr="00FE60D1">
        <w:t>types of disability and limitations that each disability p</w:t>
      </w:r>
      <w:r w:rsidRPr="00FE60D1">
        <w:t>laces on an individual’s ability to access the environment</w:t>
      </w:r>
    </w:p>
    <w:p w:rsidR="00000000" w:rsidRPr="00FE60D1" w:rsidP="00FE60D1">
      <w:pPr>
        <w:pStyle w:val="ListBullet"/>
      </w:pPr>
      <w:r w:rsidRPr="00FE60D1">
        <w:t>workplace requirements for communicating with clients and other stakeholders:</w:t>
      </w:r>
    </w:p>
    <w:p w:rsidR="00000000" w:rsidRPr="00FE60D1" w:rsidP="00FE60D1">
      <w:pPr>
        <w:pStyle w:val="ListBullet2"/>
      </w:pPr>
      <w:r w:rsidRPr="00FE60D1">
        <w:t>client service</w:t>
      </w:r>
    </w:p>
    <w:p w:rsidR="00000000" w:rsidRPr="00FE60D1" w:rsidP="00FE60D1">
      <w:pPr>
        <w:pStyle w:val="ListBullet2"/>
      </w:pPr>
      <w:r w:rsidRPr="00FE60D1">
        <w:t>documentation, reports and records administration</w:t>
      </w:r>
    </w:p>
    <w:p w:rsidR="00000000" w:rsidRPr="00FE60D1" w:rsidP="00FE60D1">
      <w:pPr>
        <w:pStyle w:val="ListBullet2"/>
      </w:pPr>
      <w:r w:rsidRPr="00FE60D1">
        <w:t xml:space="preserve">work role boundaries - responsibilities, limitations </w:t>
      </w:r>
      <w:r w:rsidRPr="00FE60D1">
        <w:t>and professional abilities.</w:t>
      </w:r>
    </w:p>
    <w:p w:rsidR="00000000" w:rsidRPr="00FE60D1" w:rsidP="00FE60D1">
      <w:pPr>
        <w:pStyle w:val="AllowPageBreak"/>
      </w:pPr>
    </w:p>
    <w:p w:rsidR="00000000" w:rsidRPr="00FE60D1" w:rsidP="00FE60D1">
      <w:pPr>
        <w:pStyle w:val="Heading1"/>
      </w:pPr>
      <w:bookmarkStart w:id="4" w:name="O_898508"/>
      <w:bookmarkEnd w:id="4"/>
      <w:r w:rsidRPr="00FE60D1">
        <w:t>Assessment Conditions</w:t>
      </w:r>
    </w:p>
    <w:p w:rsidR="00000000" w:rsidRPr="00FE60D1" w:rsidP="00C60D02">
      <w:pPr>
        <w:pStyle w:val="BodyText"/>
      </w:pPr>
      <w:r w:rsidRPr="00FE60D1">
        <w:t xml:space="preserve">Assessors must meet the requirements for assessors contained in the Standards for Registered Training Organisations. </w:t>
      </w:r>
    </w:p>
    <w:p w:rsidR="00000000" w:rsidRPr="00FE60D1" w:rsidP="00C60D02">
      <w:pPr>
        <w:pStyle w:val="BodyText"/>
      </w:pPr>
      <w:r w:rsidRPr="00FE60D1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FE60D1" w:rsidP="00C60D02">
      <w:pPr>
        <w:pStyle w:val="BodyText"/>
      </w:pPr>
      <w:r w:rsidRPr="00FE60D1">
        <w:t>Candidates must have access to documentation, info</w:t>
      </w:r>
      <w:r w:rsidRPr="00FE60D1">
        <w:t>rmation and technologies required to achieve the performance criteria and performance evidence.</w:t>
      </w:r>
    </w:p>
    <w:p w:rsidR="00000000" w:rsidRPr="00FE60D1" w:rsidP="00FE60D1">
      <w:pPr>
        <w:pStyle w:val="Heading1"/>
      </w:pPr>
      <w:bookmarkStart w:id="5" w:name="O_898506"/>
      <w:bookmarkEnd w:id="5"/>
      <w:r w:rsidRPr="00FE60D1">
        <w:t>Links</w:t>
      </w:r>
    </w:p>
    <w:p w:rsidR="00000000" w:rsidRPr="00FE60D1" w:rsidP="00C60D02">
      <w:pPr>
        <w:pStyle w:val="BodyText"/>
      </w:pPr>
      <w:r w:rsidRPr="00FE60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73A8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E60D1" w:rsidP="00FE60D1"/>
    <w:sectPr w:rsidSect="00FE60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D1" w:rsidRPr="00C60D02" w:rsidP="00C60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D02" w:rsidP="00FE60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0D02" w:rsidP="00FE60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60D02" w:rsidP="00FE60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0D1" w:rsidRPr="00C60D02" w:rsidP="00C60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D02" w:rsidRPr="002D2AF8" w:rsidP="00FE60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CPPACC4004 Communicate effectively as an access consultant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60D02" w:rsidP="00FE60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D69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16A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042C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0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0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0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0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0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0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0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0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0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0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0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0D1"/>
  </w:style>
  <w:style w:type="character" w:customStyle="1" w:styleId="Heading1Char">
    <w:name w:val="Heading 1 Char"/>
    <w:basedOn w:val="DefaultParagraphFont"/>
    <w:link w:val="Heading1"/>
    <w:rsid w:val="00FE60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0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0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0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60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60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0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0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0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0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0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0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0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0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0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0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0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0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0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0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0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0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0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60D1"/>
    <w:rPr>
      <w:b/>
      <w:spacing w:val="0"/>
    </w:rPr>
  </w:style>
  <w:style w:type="paragraph" w:customStyle="1" w:styleId="SuperTitle">
    <w:name w:val="SuperTitle"/>
    <w:basedOn w:val="Title"/>
    <w:rsid w:val="00FE60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0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0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0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0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0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0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0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0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0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0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0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0D1"/>
    <w:rPr>
      <w:i/>
    </w:rPr>
  </w:style>
  <w:style w:type="paragraph" w:styleId="Caption">
    <w:name w:val="caption"/>
    <w:basedOn w:val="BodyText"/>
    <w:next w:val="Normal"/>
    <w:qFormat/>
    <w:rsid w:val="00FE60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0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0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0D1"/>
  </w:style>
  <w:style w:type="paragraph" w:styleId="TableofFigures">
    <w:name w:val="table of figures"/>
    <w:basedOn w:val="Normal"/>
    <w:next w:val="Normal"/>
    <w:semiHidden/>
    <w:rsid w:val="00FE60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0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60D1"/>
    <w:rPr>
      <w:rFonts w:ascii="Wingdings" w:hAnsi="Wingdings"/>
    </w:rPr>
  </w:style>
  <w:style w:type="paragraph" w:customStyle="1" w:styleId="TableHeading">
    <w:name w:val="Table Heading"/>
    <w:basedOn w:val="HeadingBase"/>
    <w:rsid w:val="00FE60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0D1"/>
    <w:rPr>
      <w:color w:val="0033CC"/>
      <w:u w:val="none"/>
    </w:rPr>
  </w:style>
  <w:style w:type="paragraph" w:customStyle="1" w:styleId="BodyTextRight">
    <w:name w:val="Body Text Right"/>
    <w:basedOn w:val="BodyText"/>
    <w:rsid w:val="00FE60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0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0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0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0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0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0D1"/>
    <w:rPr>
      <w:sz w:val="32"/>
    </w:rPr>
  </w:style>
  <w:style w:type="paragraph" w:customStyle="1" w:styleId="HeadingProcedure">
    <w:name w:val="Heading Procedure"/>
    <w:basedOn w:val="HeadingBase"/>
    <w:next w:val="Normal"/>
    <w:rsid w:val="00FE60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0D1"/>
    <w:pPr>
      <w:spacing w:before="60" w:after="60"/>
    </w:pPr>
  </w:style>
  <w:style w:type="paragraph" w:styleId="ListContinue">
    <w:name w:val="List Continue"/>
    <w:basedOn w:val="List"/>
    <w:rsid w:val="00FE60D1"/>
    <w:pPr>
      <w:ind w:firstLine="0"/>
    </w:pPr>
  </w:style>
  <w:style w:type="paragraph" w:customStyle="1" w:styleId="ListNote">
    <w:name w:val="List Note"/>
    <w:basedOn w:val="List"/>
    <w:rsid w:val="00FE60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0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0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0D1"/>
    <w:rPr>
      <w:rFonts w:ascii="Courier New" w:hAnsi="Courier New"/>
    </w:rPr>
  </w:style>
  <w:style w:type="paragraph" w:customStyle="1" w:styleId="NoteBullet">
    <w:name w:val="Note Bullet"/>
    <w:basedOn w:val="Note"/>
    <w:rsid w:val="00FE60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0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0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0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0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60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0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0D1"/>
    <w:rPr>
      <w:b/>
      <w:smallCaps/>
    </w:rPr>
  </w:style>
  <w:style w:type="paragraph" w:customStyle="1" w:styleId="TableListNumber">
    <w:name w:val="Table List Number"/>
    <w:basedOn w:val="ListNumber"/>
    <w:rsid w:val="00FE60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0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0D1"/>
    <w:pPr>
      <w:numPr>
        <w:numId w:val="9"/>
      </w:numPr>
    </w:pPr>
  </w:style>
  <w:style w:type="paragraph" w:customStyle="1" w:styleId="ListAlpha2">
    <w:name w:val="List Alpha 2"/>
    <w:basedOn w:val="List2"/>
    <w:rsid w:val="00FE60D1"/>
    <w:pPr>
      <w:numPr>
        <w:numId w:val="8"/>
      </w:numPr>
    </w:pPr>
  </w:style>
  <w:style w:type="paragraph" w:styleId="List2">
    <w:name w:val="List 2"/>
    <w:basedOn w:val="BodyText"/>
    <w:rsid w:val="00FE60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0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0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0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0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0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60D1"/>
    <w:pPr>
      <w:numPr>
        <w:numId w:val="4"/>
      </w:numPr>
    </w:pPr>
  </w:style>
  <w:style w:type="paragraph" w:styleId="ListContinue2">
    <w:name w:val="List Continue 2"/>
    <w:basedOn w:val="List2"/>
    <w:rsid w:val="00FE60D1"/>
    <w:pPr>
      <w:ind w:firstLine="0"/>
    </w:pPr>
  </w:style>
  <w:style w:type="paragraph" w:styleId="ListContinue3">
    <w:name w:val="List Continue 3"/>
    <w:basedOn w:val="List3"/>
    <w:rsid w:val="00FE60D1"/>
    <w:pPr>
      <w:ind w:left="1021" w:firstLine="0"/>
    </w:pPr>
  </w:style>
  <w:style w:type="paragraph" w:styleId="ListContinue4">
    <w:name w:val="List Continue 4"/>
    <w:basedOn w:val="List4"/>
    <w:rsid w:val="00FE60D1"/>
    <w:pPr>
      <w:ind w:firstLine="0"/>
    </w:pPr>
  </w:style>
  <w:style w:type="paragraph" w:styleId="ListContinue5">
    <w:name w:val="List Continue 5"/>
    <w:basedOn w:val="List5"/>
    <w:rsid w:val="00FE60D1"/>
    <w:pPr>
      <w:ind w:firstLine="0"/>
    </w:pPr>
  </w:style>
  <w:style w:type="paragraph" w:styleId="ListNumber3">
    <w:name w:val="List Number 3"/>
    <w:basedOn w:val="List3"/>
    <w:rsid w:val="00FE60D1"/>
    <w:pPr>
      <w:numPr>
        <w:numId w:val="5"/>
      </w:numPr>
    </w:pPr>
  </w:style>
  <w:style w:type="paragraph" w:styleId="ListNumber4">
    <w:name w:val="List Number 4"/>
    <w:basedOn w:val="List4"/>
    <w:rsid w:val="00FE60D1"/>
    <w:pPr>
      <w:numPr>
        <w:numId w:val="6"/>
      </w:numPr>
    </w:pPr>
  </w:style>
  <w:style w:type="paragraph" w:styleId="ListNumber5">
    <w:name w:val="List Number 5"/>
    <w:basedOn w:val="List5"/>
    <w:rsid w:val="00FE60D1"/>
    <w:pPr>
      <w:numPr>
        <w:numId w:val="7"/>
      </w:numPr>
    </w:pPr>
  </w:style>
  <w:style w:type="paragraph" w:styleId="BlockText">
    <w:name w:val="Block Text"/>
    <w:basedOn w:val="Normal"/>
    <w:rsid w:val="00FE60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0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0D1"/>
    <w:rPr>
      <w:sz w:val="16"/>
      <w:vertAlign w:val="superscript"/>
    </w:rPr>
  </w:style>
  <w:style w:type="character" w:customStyle="1" w:styleId="Symbols">
    <w:name w:val="Symbols"/>
    <w:basedOn w:val="DefaultParagraphFont"/>
    <w:rsid w:val="00FE60D1"/>
    <w:rPr>
      <w:rFonts w:ascii="Symbol" w:hAnsi="Symbol"/>
    </w:rPr>
  </w:style>
  <w:style w:type="character" w:customStyle="1" w:styleId="MenuOptions">
    <w:name w:val="Menu Options"/>
    <w:basedOn w:val="DefaultParagraphFont"/>
    <w:rsid w:val="00FE60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0D1"/>
    <w:rPr>
      <w:b/>
    </w:rPr>
  </w:style>
  <w:style w:type="character" w:customStyle="1" w:styleId="Underlined">
    <w:name w:val="Underlined"/>
    <w:basedOn w:val="DefaultParagraphFont"/>
    <w:rsid w:val="00FE60D1"/>
    <w:rPr>
      <w:u w:val="single"/>
    </w:rPr>
  </w:style>
  <w:style w:type="paragraph" w:customStyle="1" w:styleId="TableBodyTextRight">
    <w:name w:val="Table Body Text Right"/>
    <w:basedOn w:val="TableBodyText"/>
    <w:rsid w:val="00FE60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0D1"/>
    <w:rPr>
      <w:sz w:val="18"/>
    </w:rPr>
  </w:style>
  <w:style w:type="paragraph" w:customStyle="1" w:styleId="BodySmallRight">
    <w:name w:val="Body Small Right"/>
    <w:basedOn w:val="BodyTextRight"/>
    <w:rsid w:val="00FE60D1"/>
    <w:rPr>
      <w:sz w:val="18"/>
      <w:szCs w:val="18"/>
    </w:rPr>
  </w:style>
  <w:style w:type="paragraph" w:customStyle="1" w:styleId="MarginEdition">
    <w:name w:val="Margin Edition"/>
    <w:basedOn w:val="MarginNote"/>
    <w:rsid w:val="00FE60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0D1"/>
    <w:rPr>
      <w:sz w:val="2"/>
      <w:szCs w:val="2"/>
    </w:rPr>
  </w:style>
  <w:style w:type="character" w:customStyle="1" w:styleId="Small">
    <w:name w:val="Small"/>
    <w:basedOn w:val="DefaultParagraphFont"/>
    <w:rsid w:val="00FE60D1"/>
    <w:rPr>
      <w:sz w:val="16"/>
    </w:rPr>
  </w:style>
  <w:style w:type="paragraph" w:customStyle="1" w:styleId="WideTable">
    <w:name w:val="Wide Table"/>
    <w:basedOn w:val="Normal"/>
    <w:rsid w:val="00FE60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0D1"/>
  </w:style>
  <w:style w:type="paragraph" w:styleId="Quote">
    <w:name w:val="Quote"/>
    <w:basedOn w:val="Heading1"/>
    <w:link w:val="QuoteChar"/>
    <w:qFormat/>
    <w:rsid w:val="00FE60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0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0D1"/>
    <w:pPr>
      <w:pageBreakBefore/>
    </w:pPr>
  </w:style>
  <w:style w:type="paragraph" w:customStyle="1" w:styleId="Border">
    <w:name w:val="Border"/>
    <w:basedOn w:val="Normal"/>
    <w:qFormat/>
    <w:rsid w:val="00FE60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0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0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0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0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0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0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0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0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0D1"/>
    <w:rPr>
      <w:u w:val="single"/>
    </w:rPr>
  </w:style>
  <w:style w:type="character" w:customStyle="1" w:styleId="BoldandItalics">
    <w:name w:val="Bold and Italics"/>
    <w:qFormat/>
    <w:rsid w:val="00FE60D1"/>
    <w:rPr>
      <w:b/>
      <w:i/>
      <w:u w:val="none"/>
    </w:rPr>
  </w:style>
  <w:style w:type="paragraph" w:styleId="BalloonText">
    <w:name w:val="Balloon Text"/>
    <w:basedOn w:val="Normal"/>
    <w:link w:val="BalloonTextChar"/>
    <w:rsid w:val="00FE60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0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0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0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0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0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0D1"/>
    <w:pPr>
      <w:spacing w:before="0" w:after="0"/>
    </w:pPr>
  </w:style>
  <w:style w:type="paragraph" w:customStyle="1" w:styleId="BodyTextBold">
    <w:name w:val="Body Text Bold"/>
    <w:basedOn w:val="BodyText"/>
    <w:qFormat/>
    <w:rsid w:val="00FE60D1"/>
    <w:rPr>
      <w:b/>
    </w:rPr>
  </w:style>
  <w:style w:type="character" w:styleId="Hyperlink">
    <w:name w:val="Hyperlink"/>
    <w:basedOn w:val="DefaultParagraphFont"/>
    <w:uiPriority w:val="99"/>
    <w:unhideWhenUsed/>
    <w:rsid w:val="00C60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3146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CPPACC4004 Communicate effectively as an access consultant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