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5EA" w:rsidP="007225EA">
      <w:pPr>
        <w:pStyle w:val="Title"/>
      </w:pPr>
      <w:r>
        <w:fldChar w:fldCharType="begin"/>
      </w:r>
      <w:r>
        <w:instrText xml:space="preserve"> TITLE   \* MERGEFORMAT </w:instrText>
      </w:r>
      <w:r>
        <w:fldChar w:fldCharType="separate"/>
      </w:r>
      <w:r>
        <w:t>CPPACC4002 Apply building control legislation to accessibility assessment of small-scale buildings</w:t>
      </w:r>
      <w:r>
        <w:fldChar w:fldCharType="end"/>
      </w:r>
    </w:p>
    <w:p w:rsidR="007225EA" w:rsidP="007225EA">
      <w:pPr>
        <w:pStyle w:val="Version"/>
        <w:sectPr w:rsidSect="003B10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019" w:rsidP="003B1019">
      <w:pPr>
        <w:pStyle w:val="SuperHeading"/>
      </w:pPr>
      <w:r w:rsidRPr="003B1019">
        <w:t>CPPACC4002 Apply building control legislation to accessibility assessment of small-scale buildings</w:t>
      </w:r>
    </w:p>
    <w:p w:rsidR="00000000" w:rsidRPr="003B1019" w:rsidP="003B1019">
      <w:pPr>
        <w:pStyle w:val="Heading1"/>
      </w:pPr>
      <w:bookmarkStart w:id="1" w:name="O_898226"/>
      <w:bookmarkEnd w:id="1"/>
      <w:r w:rsidRPr="003B1019">
        <w:t>Modification History</w:t>
      </w:r>
    </w:p>
    <w:tbl>
      <w:tblPr>
        <w:tblW w:w="0" w:type="auto"/>
        <w:tblLayout w:type="fixed"/>
        <w:tblCellMar>
          <w:left w:w="62" w:type="dxa"/>
          <w:right w:w="62" w:type="dxa"/>
        </w:tblCellMar>
        <w:tblLook w:val="0000"/>
      </w:tblPr>
      <w:tblGrid>
        <w:gridCol w:w="1128"/>
        <w:gridCol w:w="7944"/>
      </w:tblGrid>
      <w:tr w:rsidTr="003B101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Release 1</w:t>
            </w:r>
          </w:p>
        </w:tc>
        <w:tc>
          <w:tcPr>
            <w:tcW w:w="7944" w:type="dxa"/>
            <w:tcBorders>
              <w:top w:val="nil"/>
              <w:left w:val="nil"/>
              <w:bottom w:val="nil"/>
              <w:right w:val="nil"/>
            </w:tcBorders>
            <w:tcMar>
              <w:top w:w="0" w:type="dxa"/>
              <w:left w:w="62" w:type="dxa"/>
              <w:bottom w:w="0" w:type="dxa"/>
              <w:right w:w="62" w:type="dxa"/>
            </w:tcMar>
          </w:tcPr>
          <w:p w:rsidR="00000000" w:rsidRPr="003B1019" w:rsidP="003B1019">
            <w:pPr>
              <w:pStyle w:val="BodyText"/>
            </w:pPr>
            <w:r w:rsidRPr="003B1019">
              <w:t>This unit first released with CPP Property Services Training Package Release 14.0.</w:t>
            </w:r>
          </w:p>
          <w:p w:rsidR="00000000" w:rsidRPr="003B1019" w:rsidP="003B1019">
            <w:pPr>
              <w:pStyle w:val="BodyText"/>
            </w:pPr>
            <w:r w:rsidRPr="003B1019">
              <w:t>Supersedes and is equivalent to CPPACC4002A Apply building control legislation to assess small-scale buildings for access. Minor change to unit title to clarify outcome.</w:t>
            </w:r>
          </w:p>
          <w:p w:rsidR="00000000" w:rsidRPr="003B1019" w:rsidP="003B1019">
            <w:pPr>
              <w:pStyle w:val="BodyText"/>
            </w:pPr>
            <w:r w:rsidRPr="003B1019">
              <w:t xml:space="preserve">Unit updated to meet the Standards for Training Packages 2012. </w:t>
            </w:r>
          </w:p>
        </w:tc>
      </w:tr>
    </w:tbl>
    <w:p w:rsidR="00000000" w:rsidRPr="003B1019" w:rsidP="003B1019">
      <w:pPr>
        <w:pStyle w:val="BodyText"/>
      </w:pPr>
    </w:p>
    <w:p w:rsidR="00000000" w:rsidRPr="003B1019" w:rsidP="003B1019">
      <w:pPr>
        <w:pStyle w:val="AllowPageBreak"/>
      </w:pPr>
    </w:p>
    <w:p w:rsidR="00000000" w:rsidRPr="003B1019" w:rsidP="003B1019">
      <w:pPr>
        <w:pStyle w:val="Heading1"/>
      </w:pPr>
      <w:bookmarkStart w:id="2" w:name="O_898234"/>
      <w:bookmarkEnd w:id="2"/>
      <w:r w:rsidRPr="003B1019">
        <w:t>App</w:t>
      </w:r>
      <w:r w:rsidRPr="003B1019">
        <w:t>lication</w:t>
      </w:r>
    </w:p>
    <w:p w:rsidR="00000000" w:rsidRPr="003B1019" w:rsidP="007225EA">
      <w:pPr>
        <w:pStyle w:val="BodyText"/>
      </w:pPr>
      <w:r w:rsidRPr="003B1019">
        <w:t>This unit of competency specifies the skills and knowledge required to apply building control legislation to assess the accessibility of small-scale buildings. Small-scale buildings are buildings of any Class as defined in the National Constructio</w:t>
      </w:r>
      <w:r w:rsidRPr="003B1019">
        <w:t>n Code (NCC), but which do not exceed 2,000 square metres in floor area. The unit includes understanding the Australian common law system and the various sources of law applicable to the accessibility of small-scale building developments and identifying an</w:t>
      </w:r>
      <w:r w:rsidRPr="003B1019">
        <w:t xml:space="preserve">d applying the relevant professional code of practice required for the assessment and inspection of buildings. </w:t>
      </w:r>
    </w:p>
    <w:p w:rsidR="00000000" w:rsidRPr="003B1019" w:rsidP="007225EA">
      <w:pPr>
        <w:pStyle w:val="BodyText"/>
      </w:pPr>
      <w:r w:rsidRPr="003B1019">
        <w:t>This unit is for individuals who work independently using specialised knowledge to conduct a range of access consulting services.</w:t>
      </w:r>
    </w:p>
    <w:p w:rsidR="00000000" w:rsidRPr="003B1019" w:rsidP="007225EA">
      <w:pPr>
        <w:pStyle w:val="BodyText"/>
      </w:pPr>
      <w:r w:rsidRPr="003B1019">
        <w:t xml:space="preserve">No licensing, </w:t>
      </w:r>
      <w:r w:rsidRPr="003B1019">
        <w:t>legislative or certification requirements apply to this unit at the time of publication.</w:t>
      </w:r>
    </w:p>
    <w:p w:rsidR="00000000" w:rsidRPr="003B1019" w:rsidP="003B1019">
      <w:pPr>
        <w:pStyle w:val="Heading1"/>
      </w:pPr>
      <w:bookmarkStart w:id="3" w:name="O_898233"/>
      <w:bookmarkEnd w:id="3"/>
      <w:r w:rsidRPr="003B1019">
        <w:t>Pre-requisite Unit</w:t>
      </w:r>
    </w:p>
    <w:p w:rsidR="00000000" w:rsidRPr="003B1019" w:rsidP="007225EA">
      <w:pPr>
        <w:pStyle w:val="BodyText"/>
      </w:pPr>
      <w:r w:rsidRPr="003B1019">
        <w:t>Nil.</w:t>
      </w:r>
    </w:p>
    <w:p w:rsidR="00000000" w:rsidRPr="003B1019" w:rsidP="003B1019">
      <w:pPr>
        <w:pStyle w:val="Heading1"/>
      </w:pPr>
      <w:bookmarkStart w:id="4" w:name="O_898231"/>
      <w:bookmarkEnd w:id="4"/>
      <w:r w:rsidRPr="003B1019">
        <w:t>Unit Sector</w:t>
      </w:r>
    </w:p>
    <w:p w:rsidR="00000000" w:rsidRPr="003B1019" w:rsidP="007225EA">
      <w:pPr>
        <w:pStyle w:val="BodyText"/>
      </w:pPr>
      <w:r w:rsidRPr="003B1019">
        <w:t>Access Consulting.</w:t>
      </w:r>
    </w:p>
    <w:p w:rsidR="00000000" w:rsidRPr="003B1019" w:rsidP="003B1019">
      <w:pPr>
        <w:pStyle w:val="Heading1"/>
      </w:pPr>
      <w:bookmarkStart w:id="5" w:name="O_898230"/>
      <w:bookmarkEnd w:id="5"/>
      <w:r w:rsidRPr="003B101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B101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Performance criteria describe what needs to be done to demonstrate achievement of the element.</w:t>
            </w:r>
          </w:p>
        </w:tc>
      </w:tr>
      <w:tr w:rsidTr="003B10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1</w:t>
            </w:r>
          </w:p>
        </w:tc>
        <w:tc>
          <w:tcPr>
            <w:tcW w:w="2357" w:type="dxa"/>
            <w:vMerge w:val="restart"/>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 xml:space="preserve">Identify legal </w:t>
            </w:r>
            <w:r w:rsidRPr="003B1019">
              <w:t>requirements relating to small-scale buildings.</w:t>
            </w:r>
          </w:p>
        </w:tc>
        <w:tc>
          <w:tcPr>
            <w:tcW w:w="804"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1.1</w:t>
            </w:r>
          </w:p>
        </w:tc>
        <w:tc>
          <w:tcPr>
            <w:tcW w:w="5659"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Identify legal requirements associated with the</w:t>
            </w:r>
            <w:r w:rsidRPr="003B1019">
              <w:t xml:space="preserve"> provision </w:t>
            </w:r>
            <w:r w:rsidRPr="003B1019">
              <w:t>of access to small-scale buildings from relevant building control and anti-discrimination legislation.</w:t>
            </w:r>
          </w:p>
        </w:tc>
      </w:tr>
      <w:tr w:rsidTr="003B10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1.2</w:t>
            </w:r>
          </w:p>
        </w:tc>
        <w:tc>
          <w:tcPr>
            <w:tcW w:w="5659"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Identify and document legislative benefits and building accessibility enforcement strategies.</w:t>
            </w:r>
          </w:p>
        </w:tc>
      </w:tr>
      <w:tr w:rsidTr="003B10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1.3</w:t>
            </w:r>
          </w:p>
        </w:tc>
        <w:tc>
          <w:tcPr>
            <w:tcW w:w="5659"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Identify processes for addressing regulatory non-compliance issues and prepare related working documentation in a format suitable for review by a building certifier.</w:t>
            </w:r>
          </w:p>
        </w:tc>
      </w:tr>
      <w:tr w:rsidTr="003B10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B1019">
            <w:pPr>
              <w:pStyle w:val="BodyText"/>
              <w:rPr>
                <w:lang w:val="en-NZ"/>
              </w:rPr>
            </w:pPr>
          </w:p>
        </w:tc>
      </w:tr>
      <w:tr w:rsidTr="003B10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2</w:t>
            </w:r>
          </w:p>
        </w:tc>
        <w:tc>
          <w:tcPr>
            <w:tcW w:w="2357" w:type="dxa"/>
            <w:vMerge w:val="restart"/>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Identify and implement professional code of practice.</w:t>
            </w:r>
          </w:p>
        </w:tc>
        <w:tc>
          <w:tcPr>
            <w:tcW w:w="804"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2.1</w:t>
            </w:r>
          </w:p>
        </w:tc>
        <w:tc>
          <w:tcPr>
            <w:tcW w:w="5659"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Identify and interpret p</w:t>
            </w:r>
            <w:r w:rsidRPr="003B1019">
              <w:t>rofessional code of practice applicable to assessment activities.</w:t>
            </w:r>
          </w:p>
        </w:tc>
      </w:tr>
      <w:tr w:rsidTr="003B10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2.2</w:t>
            </w:r>
          </w:p>
        </w:tc>
        <w:tc>
          <w:tcPr>
            <w:tcW w:w="5659"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Identify and document duty of care obligations associated with assessment activities to meet common law requirements.</w:t>
            </w:r>
          </w:p>
        </w:tc>
      </w:tr>
      <w:tr w:rsidTr="003B10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2.3</w:t>
            </w:r>
          </w:p>
        </w:tc>
        <w:tc>
          <w:tcPr>
            <w:tcW w:w="5659"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Identify potential conflicts of interest associated with assessment activities and seek guidance from relevant persons as required.</w:t>
            </w:r>
          </w:p>
        </w:tc>
      </w:tr>
      <w:tr w:rsidTr="003B10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2.4</w:t>
            </w:r>
          </w:p>
        </w:tc>
        <w:tc>
          <w:tcPr>
            <w:tcW w:w="5659"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Implement strategies to develop and maintain effective working relationships with building certifiers.</w:t>
            </w:r>
          </w:p>
        </w:tc>
      </w:tr>
      <w:tr w:rsidTr="003B10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B1019">
            <w:pPr>
              <w:pStyle w:val="BodyText"/>
              <w:rPr>
                <w:lang w:val="en-NZ"/>
              </w:rPr>
            </w:pPr>
          </w:p>
        </w:tc>
      </w:tr>
      <w:tr w:rsidTr="003B10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3</w:t>
            </w:r>
          </w:p>
        </w:tc>
        <w:tc>
          <w:tcPr>
            <w:tcW w:w="2357" w:type="dxa"/>
            <w:vMerge w:val="restart"/>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Apply legal requirements to accessibility assessment of small-scale building.</w:t>
            </w:r>
          </w:p>
        </w:tc>
        <w:tc>
          <w:tcPr>
            <w:tcW w:w="804"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3.1</w:t>
            </w:r>
          </w:p>
        </w:tc>
        <w:tc>
          <w:tcPr>
            <w:tcW w:w="5659"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Interpret relevant documentation to assess compliance of small-scale building accessibility with relevant legislation.</w:t>
            </w:r>
          </w:p>
        </w:tc>
      </w:tr>
      <w:tr w:rsidTr="003B10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3.2</w:t>
            </w:r>
          </w:p>
        </w:tc>
        <w:tc>
          <w:tcPr>
            <w:tcW w:w="5659"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Consult with relevant persons to discuss accessibility of small-scale building and any identified regulatory non-compliances.</w:t>
            </w:r>
          </w:p>
        </w:tc>
      </w:tr>
      <w:tr w:rsidTr="003B10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3.3</w:t>
            </w:r>
          </w:p>
        </w:tc>
        <w:tc>
          <w:tcPr>
            <w:tcW w:w="5659" w:type="dxa"/>
            <w:tcBorders>
              <w:top w:val="nil"/>
              <w:left w:val="nil"/>
              <w:bottom w:val="nil"/>
              <w:right w:val="nil"/>
            </w:tcBorders>
            <w:tcMar>
              <w:top w:w="0" w:type="dxa"/>
              <w:left w:w="62" w:type="dxa"/>
              <w:bottom w:w="0" w:type="dxa"/>
              <w:right w:w="62" w:type="dxa"/>
            </w:tcMar>
          </w:tcPr>
          <w:p w:rsidR="00000000" w:rsidRPr="003B1019" w:rsidP="003B1019">
            <w:pPr>
              <w:pStyle w:val="BodyText"/>
            </w:pPr>
            <w:r w:rsidRPr="003B1019">
              <w:t>Record outcomes and retain all documentation for future reference according to regulatory and workplace requirements.</w:t>
            </w:r>
          </w:p>
        </w:tc>
      </w:tr>
    </w:tbl>
    <w:p w:rsidR="00000000" w:rsidRPr="003B1019" w:rsidP="003B1019">
      <w:pPr>
        <w:pStyle w:val="BodyText"/>
      </w:pPr>
    </w:p>
    <w:p w:rsidR="00000000" w:rsidRPr="003B1019" w:rsidP="003B1019">
      <w:pPr>
        <w:pStyle w:val="AllowPageBreak"/>
      </w:pPr>
    </w:p>
    <w:p w:rsidR="00000000" w:rsidRPr="003B1019" w:rsidP="003B1019">
      <w:pPr>
        <w:pStyle w:val="Heading1"/>
      </w:pPr>
      <w:bookmarkStart w:id="6" w:name="O_898229"/>
      <w:bookmarkEnd w:id="6"/>
      <w:r w:rsidRPr="003B1019">
        <w:t>Foundation Skills</w:t>
      </w:r>
    </w:p>
    <w:p w:rsidR="00000000" w:rsidRPr="003B1019" w:rsidP="007225EA">
      <w:pPr>
        <w:pStyle w:val="BodyText"/>
      </w:pPr>
      <w:r w:rsidRPr="003B1019">
        <w:t>Foundation skills essential to performance are explicit in the performance criteria of this unit of competency.</w:t>
      </w:r>
    </w:p>
    <w:p w:rsidR="00000000" w:rsidRPr="003B1019" w:rsidP="003B1019">
      <w:pPr>
        <w:pStyle w:val="Heading1"/>
      </w:pPr>
      <w:bookmarkStart w:id="7" w:name="O_898227"/>
      <w:bookmarkEnd w:id="7"/>
      <w:r w:rsidRPr="003B1019">
        <w:t>Unit Mapping Information</w:t>
      </w:r>
    </w:p>
    <w:p w:rsidR="00000000" w:rsidRPr="003B1019" w:rsidP="007225EA">
      <w:pPr>
        <w:pStyle w:val="BodyText"/>
      </w:pPr>
      <w:r w:rsidRPr="003B1019">
        <w:t>Supersedes and is equivalent to CPPACC4002A Apply building control legislation to assess small-scale buildings for access.</w:t>
      </w:r>
    </w:p>
    <w:p w:rsidR="00000000" w:rsidRPr="003B1019" w:rsidP="003B1019">
      <w:pPr>
        <w:pStyle w:val="Heading1"/>
      </w:pPr>
      <w:bookmarkStart w:id="8" w:name="O_898220"/>
      <w:bookmarkEnd w:id="8"/>
      <w:r w:rsidRPr="003B1019">
        <w:t>Links</w:t>
      </w:r>
    </w:p>
    <w:p w:rsidR="00000000" w:rsidRPr="003B1019" w:rsidP="007225EA">
      <w:pPr>
        <w:pStyle w:val="BodyText"/>
      </w:pPr>
      <w:r w:rsidRPr="003B101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F5162">
        <w:rPr>
          <w:rStyle w:val="Hyperlink"/>
        </w:rPr>
        <w:t>https://vetnet.gov.au/Pages/TrainingDocs.aspx?q=6f3f9672-30e8-4835-b348-205dfcf13d9b</w:t>
      </w:r>
      <w:r>
        <w:fldChar w:fldCharType="end"/>
      </w:r>
    </w:p>
    <w:p w:rsidR="00000000" w:rsidRPr="003B1019" w:rsidP="007225EA">
      <w:pPr>
        <w:pStyle w:val="BodyText"/>
        <w:sectPr w:rsidSect="003B1019">
          <w:headerReference w:type="default" r:id="rId10"/>
          <w:footerReference w:type="default" r:id="rId11"/>
          <w:pgSz w:w="11908" w:h="16833"/>
          <w:pgMar w:top="1702" w:right="1418" w:bottom="1702" w:left="1418" w:header="992" w:footer="992" w:gutter="0"/>
          <w:cols w:space="720"/>
          <w:noEndnote/>
          <w:docGrid w:linePitch="299"/>
        </w:sectPr>
      </w:pPr>
    </w:p>
    <w:p w:rsidR="00000000" w:rsidRPr="003B1019" w:rsidP="003B1019">
      <w:pPr>
        <w:pStyle w:val="SuperHeading"/>
      </w:pPr>
      <w:r w:rsidRPr="003B1019">
        <w:t>Assessment Requirements for CPPACC4002 Apply building control legislation to accessibility assessment of small-scale buildings</w:t>
      </w:r>
    </w:p>
    <w:p w:rsidR="00000000" w:rsidRPr="003B1019" w:rsidP="003B1019">
      <w:pPr>
        <w:pStyle w:val="Heading1"/>
      </w:pPr>
      <w:bookmarkStart w:id="9" w:name="O_898222"/>
      <w:bookmarkEnd w:id="9"/>
      <w:r w:rsidRPr="003B1019">
        <w:t>Modification History</w:t>
      </w:r>
    </w:p>
    <w:tbl>
      <w:tblPr>
        <w:tblW w:w="0" w:type="auto"/>
        <w:tblLayout w:type="fixed"/>
        <w:tblCellMar>
          <w:left w:w="62" w:type="dxa"/>
          <w:right w:w="62" w:type="dxa"/>
        </w:tblCellMar>
        <w:tblLook w:val="0000"/>
      </w:tblPr>
      <w:tblGrid>
        <w:gridCol w:w="1128"/>
        <w:gridCol w:w="7944"/>
      </w:tblGrid>
      <w:tr w:rsidTr="003B101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B1019">
            <w:pPr>
              <w:pStyle w:val="BodyText"/>
              <w:rPr>
                <w:lang w:val="en-NZ"/>
              </w:rPr>
            </w:pPr>
            <w:r w:rsidRPr="003B1019">
              <w:t>Release 1</w:t>
            </w:r>
          </w:p>
        </w:tc>
        <w:tc>
          <w:tcPr>
            <w:tcW w:w="7944" w:type="dxa"/>
            <w:tcBorders>
              <w:top w:val="nil"/>
              <w:left w:val="nil"/>
              <w:bottom w:val="nil"/>
              <w:right w:val="nil"/>
            </w:tcBorders>
            <w:tcMar>
              <w:top w:w="0" w:type="dxa"/>
              <w:left w:w="62" w:type="dxa"/>
              <w:bottom w:w="0" w:type="dxa"/>
              <w:right w:w="62" w:type="dxa"/>
            </w:tcMar>
          </w:tcPr>
          <w:p w:rsidR="00000000" w:rsidRPr="003B1019" w:rsidP="003B1019">
            <w:pPr>
              <w:pStyle w:val="BodyText"/>
            </w:pPr>
            <w:r w:rsidRPr="003B1019">
              <w:t>This unit first released with CPP Property Services Training Package Release 14.0.</w:t>
            </w:r>
          </w:p>
          <w:p w:rsidR="00000000" w:rsidRPr="003B1019" w:rsidP="003B1019">
            <w:pPr>
              <w:pStyle w:val="BodyText"/>
            </w:pPr>
            <w:r w:rsidRPr="003B1019">
              <w:t>Supersedes and is equivalent to CPPACC4002A Apply building control legislation to assess small-scale buildings for access. Minor change to unit title to clarify outcome.</w:t>
            </w:r>
          </w:p>
          <w:p w:rsidR="00000000" w:rsidRPr="003B1019" w:rsidP="003B1019">
            <w:pPr>
              <w:pStyle w:val="BodyText"/>
            </w:pPr>
            <w:r w:rsidRPr="003B1019">
              <w:t>Un</w:t>
            </w:r>
            <w:r w:rsidRPr="003B1019">
              <w:t xml:space="preserve">it updated to meet the Standards for Training Packages 2012. </w:t>
            </w:r>
          </w:p>
        </w:tc>
      </w:tr>
    </w:tbl>
    <w:p w:rsidR="00000000" w:rsidRPr="003B1019" w:rsidP="003B1019">
      <w:pPr>
        <w:pStyle w:val="BodyText"/>
      </w:pPr>
    </w:p>
    <w:p w:rsidR="00000000" w:rsidRPr="003B1019" w:rsidP="003B1019">
      <w:pPr>
        <w:pStyle w:val="AllowPageBreak"/>
      </w:pPr>
    </w:p>
    <w:p w:rsidR="00000000" w:rsidRPr="003B1019" w:rsidP="003B1019">
      <w:pPr>
        <w:pStyle w:val="Heading1"/>
      </w:pPr>
      <w:bookmarkStart w:id="10" w:name="O_898225"/>
      <w:bookmarkEnd w:id="10"/>
      <w:r w:rsidRPr="003B1019">
        <w:t>Performance Evidence</w:t>
      </w:r>
    </w:p>
    <w:p w:rsidR="00000000" w:rsidRPr="003B1019" w:rsidP="007225EA">
      <w:pPr>
        <w:pStyle w:val="BodyText"/>
      </w:pPr>
      <w:r w:rsidRPr="003B1019">
        <w:t>To demonstrate</w:t>
      </w:r>
      <w:r w:rsidRPr="003B1019">
        <w:t xml:space="preserve"> competency, a candidate must meet the elements and performance criteria of this unit by applying building control legislation to accessibility assessments for two small-scale buildings in the following Classes as defined by the National Construction Code </w:t>
      </w:r>
      <w:r w:rsidRPr="003B1019">
        <w:t>(NCC):</w:t>
      </w:r>
    </w:p>
    <w:p w:rsidR="00000000" w:rsidRPr="003B1019" w:rsidP="003B1019">
      <w:pPr>
        <w:pStyle w:val="ListBullet"/>
      </w:pPr>
      <w:r w:rsidRPr="003B1019">
        <w:t>one building in Class 1</w:t>
      </w:r>
    </w:p>
    <w:p w:rsidR="00000000" w:rsidRPr="003B1019" w:rsidP="003B1019">
      <w:pPr>
        <w:pStyle w:val="ListBullet"/>
      </w:pPr>
      <w:r w:rsidRPr="003B1019">
        <w:t>one building included in Classes 2-9.</w:t>
      </w:r>
    </w:p>
    <w:p w:rsidR="00000000" w:rsidRPr="003B1019" w:rsidP="003B1019">
      <w:pPr>
        <w:pStyle w:val="AllowPageBreak"/>
      </w:pPr>
    </w:p>
    <w:p w:rsidR="00000000" w:rsidRPr="003B1019" w:rsidP="003B1019">
      <w:pPr>
        <w:pStyle w:val="Heading1"/>
      </w:pPr>
      <w:bookmarkStart w:id="11" w:name="O_898224"/>
      <w:bookmarkEnd w:id="11"/>
      <w:r w:rsidRPr="003B1019">
        <w:t>Knowledge Evidence</w:t>
      </w:r>
    </w:p>
    <w:p w:rsidR="00000000" w:rsidRPr="003B1019" w:rsidP="007225EA">
      <w:pPr>
        <w:pStyle w:val="BodyText"/>
      </w:pPr>
      <w:r w:rsidRPr="003B1019">
        <w:t>To be competent in this unit, a candidate must demonstrate knowledge of:</w:t>
      </w:r>
    </w:p>
    <w:p w:rsidR="00000000" w:rsidRPr="003B1019" w:rsidP="003B1019">
      <w:pPr>
        <w:pStyle w:val="ListBullet"/>
      </w:pPr>
      <w:r w:rsidRPr="003B1019">
        <w:t>Australian administrative law system applicable to the accessibility of smal</w:t>
      </w:r>
      <w:r w:rsidRPr="003B1019">
        <w:t>l-scale buildings</w:t>
      </w:r>
    </w:p>
    <w:p w:rsidR="00000000" w:rsidRPr="003B1019" w:rsidP="003B1019">
      <w:pPr>
        <w:pStyle w:val="ListBullet"/>
      </w:pPr>
      <w:r w:rsidRPr="003B1019">
        <w:t>building and construction terminology and definitions relevant to accessibility assessments of small-scale buildings</w:t>
      </w:r>
    </w:p>
    <w:p w:rsidR="00000000" w:rsidRPr="003B1019" w:rsidP="003B1019">
      <w:pPr>
        <w:pStyle w:val="ListBullet"/>
      </w:pPr>
      <w:r w:rsidRPr="003B1019">
        <w:t>Commonwealth, state and territory legislation, regulations, standards and codes relevant to access consulting activities:</w:t>
      </w:r>
    </w:p>
    <w:p w:rsidR="00000000" w:rsidRPr="003B1019" w:rsidP="003B1019">
      <w:pPr>
        <w:pStyle w:val="ListBullet2"/>
      </w:pPr>
      <w:r w:rsidRPr="003B1019">
        <w:t>anti-discrimination and disability discrimination</w:t>
      </w:r>
    </w:p>
    <w:p w:rsidR="00000000" w:rsidRPr="003B1019" w:rsidP="003B1019">
      <w:pPr>
        <w:pStyle w:val="ListBullet2"/>
      </w:pPr>
      <w:r w:rsidRPr="003B1019">
        <w:t>building control including local government regulations and by-laws</w:t>
      </w:r>
    </w:p>
    <w:p w:rsidR="00000000" w:rsidRPr="003B1019" w:rsidP="003B1019">
      <w:pPr>
        <w:pStyle w:val="ListBullet2"/>
      </w:pPr>
      <w:r w:rsidRPr="003B1019">
        <w:t>NCC building classifications and access requirements</w:t>
      </w:r>
    </w:p>
    <w:p w:rsidR="00000000" w:rsidRPr="003B1019" w:rsidP="003B1019">
      <w:pPr>
        <w:pStyle w:val="ListBullet2"/>
      </w:pPr>
      <w:r w:rsidRPr="003B1019">
        <w:t>Disability (Access to Premises –</w:t>
      </w:r>
      <w:r w:rsidRPr="003B1019">
        <w:t xml:space="preserve"> Buildings) Standards 2010 under the Disability Discrimination Act 1992 (or their successors) – known as the Access to Premises Standards</w:t>
      </w:r>
    </w:p>
    <w:p w:rsidR="00000000" w:rsidRPr="003B1019" w:rsidP="003B1019">
      <w:pPr>
        <w:pStyle w:val="ListBullet2"/>
      </w:pPr>
      <w:r w:rsidRPr="003B1019">
        <w:t>National Disability Insurance Scheme (NDIS) Specialist Disability Accommodation Design Standard (or its successor)</w:t>
      </w:r>
    </w:p>
    <w:p w:rsidR="00000000" w:rsidRPr="003B1019" w:rsidP="003B1019">
      <w:pPr>
        <w:pStyle w:val="ListBullet2"/>
      </w:pPr>
      <w:r w:rsidRPr="003B1019">
        <w:t>Liv</w:t>
      </w:r>
      <w:r w:rsidRPr="003B1019">
        <w:t>able Housing Australia Livable Housing Design Guidelines (or its successor)</w:t>
      </w:r>
    </w:p>
    <w:p w:rsidR="00000000" w:rsidRPr="003B1019" w:rsidP="003B1019">
      <w:pPr>
        <w:pStyle w:val="ListBullet2"/>
      </w:pPr>
      <w:r w:rsidRPr="003B1019">
        <w:t>principles of universal design</w:t>
      </w:r>
    </w:p>
    <w:p w:rsidR="00000000" w:rsidRPr="003B1019" w:rsidP="003B1019">
      <w:pPr>
        <w:pStyle w:val="ListBullet2"/>
      </w:pPr>
      <w:r w:rsidRPr="003B1019">
        <w:t>privacy and confidentiality</w:t>
      </w:r>
    </w:p>
    <w:p w:rsidR="00000000" w:rsidRPr="003B1019" w:rsidP="003B1019">
      <w:pPr>
        <w:pStyle w:val="ListBullet"/>
      </w:pPr>
      <w:r w:rsidRPr="003B1019">
        <w:t>industry codes of practice and ethics relevant to access consulting and definitions of:</w:t>
      </w:r>
    </w:p>
    <w:p w:rsidR="00000000" w:rsidRPr="003B1019" w:rsidP="003B1019">
      <w:pPr>
        <w:pStyle w:val="ListBullet2"/>
      </w:pPr>
      <w:r w:rsidRPr="003B1019">
        <w:t>duty of care as it relates to c</w:t>
      </w:r>
      <w:r w:rsidRPr="003B1019">
        <w:t>ommon law</w:t>
      </w:r>
    </w:p>
    <w:p w:rsidR="00000000" w:rsidRPr="003B1019" w:rsidP="003B1019">
      <w:pPr>
        <w:pStyle w:val="ListBullet2"/>
      </w:pPr>
      <w:r w:rsidRPr="003B1019">
        <w:t>conflict of interest</w:t>
      </w:r>
    </w:p>
    <w:p w:rsidR="00000000" w:rsidRPr="003B1019" w:rsidP="003B1019">
      <w:pPr>
        <w:pStyle w:val="ListBullet"/>
      </w:pPr>
      <w:r w:rsidRPr="003B1019">
        <w:t>legal terminology, definitions, processes and procedures used in standard court operations</w:t>
      </w:r>
    </w:p>
    <w:p w:rsidR="00000000" w:rsidRPr="003B1019" w:rsidP="003B1019">
      <w:pPr>
        <w:pStyle w:val="ListBullet"/>
      </w:pPr>
      <w:r w:rsidRPr="003B1019">
        <w:t>responsibilities and statutory duties of building certifiers</w:t>
      </w:r>
    </w:p>
    <w:p w:rsidR="00000000" w:rsidRPr="003B1019" w:rsidP="003B1019">
      <w:pPr>
        <w:pStyle w:val="ListBullet"/>
      </w:pPr>
      <w:r w:rsidRPr="003B1019">
        <w:t>types of disability and limitations that each disability places on an in</w:t>
      </w:r>
      <w:r w:rsidRPr="003B1019">
        <w:t>dividual’s ability to access the environment</w:t>
      </w:r>
    </w:p>
    <w:p w:rsidR="00000000" w:rsidRPr="003B1019" w:rsidP="003B1019">
      <w:pPr>
        <w:pStyle w:val="ListBullet"/>
      </w:pPr>
      <w:r w:rsidRPr="003B1019">
        <w:t>workplace requirements for applying building control legislation to accessibility assessments of small-scale buildings:</w:t>
      </w:r>
    </w:p>
    <w:p w:rsidR="00000000" w:rsidRPr="003B1019" w:rsidP="003B1019">
      <w:pPr>
        <w:pStyle w:val="ListBullet2"/>
      </w:pPr>
      <w:r w:rsidRPr="003B1019">
        <w:t>documentation and records administration</w:t>
      </w:r>
    </w:p>
    <w:p w:rsidR="00000000" w:rsidRPr="003B1019" w:rsidP="003B1019">
      <w:pPr>
        <w:pStyle w:val="ListBullet2"/>
      </w:pPr>
      <w:r w:rsidRPr="003B1019">
        <w:t>quality</w:t>
      </w:r>
    </w:p>
    <w:p w:rsidR="00000000" w:rsidRPr="003B1019" w:rsidP="003B1019">
      <w:pPr>
        <w:pStyle w:val="ListBullet2"/>
      </w:pPr>
      <w:r w:rsidRPr="003B1019">
        <w:t>work role boundaries - responsibilities,</w:t>
      </w:r>
      <w:r w:rsidRPr="003B1019">
        <w:t xml:space="preserve"> limitations and professional abilities.</w:t>
      </w:r>
    </w:p>
    <w:p w:rsidR="00000000" w:rsidRPr="003B1019" w:rsidP="003B1019">
      <w:pPr>
        <w:pStyle w:val="AllowPageBreak"/>
      </w:pPr>
    </w:p>
    <w:p w:rsidR="00000000" w:rsidRPr="003B1019" w:rsidP="003B1019">
      <w:pPr>
        <w:pStyle w:val="Heading1"/>
      </w:pPr>
      <w:bookmarkStart w:id="12" w:name="O_898223"/>
      <w:bookmarkEnd w:id="12"/>
      <w:r w:rsidRPr="003B1019">
        <w:t>Assessment Conditions</w:t>
      </w:r>
    </w:p>
    <w:p w:rsidR="00000000" w:rsidRPr="003B1019" w:rsidP="007225EA">
      <w:pPr>
        <w:pStyle w:val="BodyText"/>
      </w:pPr>
      <w:r w:rsidRPr="003B1019">
        <w:t xml:space="preserve">Assessors must meet the requirements for assessors contained in the Standards for Registered Training Organisations. </w:t>
      </w:r>
    </w:p>
    <w:p w:rsidR="00000000" w:rsidRPr="003B1019" w:rsidP="007225EA">
      <w:pPr>
        <w:pStyle w:val="BodyText"/>
      </w:pPr>
      <w:r w:rsidRPr="003B1019">
        <w:t>Assessment must be conducted in the workplace or a simulat</w:t>
      </w:r>
      <w:r w:rsidRPr="003B1019">
        <w:t>ed workplace using realistic conditions, materials, activities, responsibilities, procedures, safety requirements and environmental considerations.</w:t>
      </w:r>
    </w:p>
    <w:p w:rsidR="00000000" w:rsidRPr="003B1019" w:rsidP="007225EA">
      <w:pPr>
        <w:pStyle w:val="BodyText"/>
      </w:pPr>
      <w:r w:rsidRPr="003B1019">
        <w:t>Candidates must have access to documentation, information and technologies required to achieve the performan</w:t>
      </w:r>
      <w:r w:rsidRPr="003B1019">
        <w:t>ce criteria and performance evidence.</w:t>
      </w:r>
    </w:p>
    <w:p w:rsidR="00000000" w:rsidRPr="003B1019" w:rsidP="003B1019">
      <w:pPr>
        <w:pStyle w:val="Heading1"/>
      </w:pPr>
      <w:bookmarkStart w:id="13" w:name="O_898221"/>
      <w:bookmarkEnd w:id="13"/>
      <w:r w:rsidRPr="003B1019">
        <w:t>Links</w:t>
      </w:r>
    </w:p>
    <w:p w:rsidR="00000000" w:rsidRPr="003B1019" w:rsidP="007225EA">
      <w:pPr>
        <w:pStyle w:val="BodyText"/>
      </w:pPr>
      <w:r w:rsidRPr="003B101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F5162">
        <w:rPr>
          <w:rStyle w:val="Hyperlink"/>
        </w:rPr>
        <w:t>https://vetnet.gov.au/Pages/TrainingDocs.aspx?q=6f3f9672-30e8-4835-b348-205dfcf13d9b</w:t>
      </w:r>
      <w:r>
        <w:fldChar w:fldCharType="end"/>
      </w:r>
    </w:p>
    <w:p w:rsidR="00000000" w:rsidRPr="003B1019" w:rsidP="003B1019"/>
    <w:sectPr w:rsidSect="003B10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19" w:rsidRPr="007225EA" w:rsidP="007225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EA" w:rsidP="003B10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25EA" w:rsidP="003B10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225EA" w:rsidP="003B10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19" w:rsidP="003B1019">
    <w:pPr>
      <w:pStyle w:val="Footer"/>
      <w:framePr w:wrap="around"/>
    </w:pPr>
    <w:r>
      <w:fldChar w:fldCharType="begin"/>
    </w:r>
    <w:r>
      <w:instrText xml:space="preserve"> DOCPROPERTY  Subject  \* MERGEFORMAT </w:instrText>
    </w:r>
    <w:r>
      <w:fldChar w:fldCharType="separate"/>
    </w:r>
    <w:r w:rsidR="007225EA">
      <w:t>Approved</w:t>
    </w:r>
    <w:r w:rsidR="007225EA">
      <w:fldChar w:fldCharType="end"/>
    </w:r>
    <w:r>
      <w:tab/>
      <w:t xml:space="preserve">Page </w:t>
    </w:r>
    <w:r>
      <w:fldChar w:fldCharType="begin"/>
    </w:r>
    <w:r>
      <w:instrText xml:space="preserve"> PAGE  \* Arabic  \* MERGEFORMAT </w:instrText>
    </w:r>
    <w:r>
      <w:fldChar w:fldCharType="separate"/>
    </w:r>
    <w:r w:rsidR="007225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25EA">
      <w:rPr>
        <w:noProof/>
      </w:rPr>
      <w:t>5</w:t>
    </w:r>
    <w:r>
      <w:rPr>
        <w:noProof/>
      </w:rPr>
      <w:fldChar w:fldCharType="end"/>
    </w:r>
  </w:p>
  <w:p w:rsidR="003B1019" w:rsidP="003B1019">
    <w:pPr>
      <w:pStyle w:val="Footer"/>
      <w:framePr w:wrap="around"/>
    </w:pPr>
    <w:r>
      <w:t xml:space="preserve">© Commonwealth of Australia, </w:t>
    </w:r>
    <w:r>
      <w:fldChar w:fldCharType="begin"/>
    </w:r>
    <w:r>
      <w:instrText xml:space="preserve"> DATE  \@ "yyyy"  \* MERGEFORMAT </w:instrText>
    </w:r>
    <w:r>
      <w:fldChar w:fldCharType="separate"/>
    </w:r>
    <w:r w:rsidR="007225EA">
      <w:rPr>
        <w:noProof/>
      </w:rPr>
      <w:t>2025</w:t>
    </w:r>
    <w:r>
      <w:fldChar w:fldCharType="end"/>
    </w:r>
    <w:r>
      <w:tab/>
    </w:r>
    <w:r>
      <w:fldChar w:fldCharType="begin"/>
    </w:r>
    <w:r>
      <w:instrText xml:space="preserve"> DOCPROPERTY  Author  \* MERGEFORMAT </w:instrText>
    </w:r>
    <w:r>
      <w:fldChar w:fldCharType="separate"/>
    </w:r>
    <w:r w:rsidR="007225EA">
      <w:t>BuildSkills Australia</w:t>
    </w:r>
    <w:r w:rsidR="007225EA">
      <w:fldChar w:fldCharType="end"/>
    </w:r>
  </w:p>
  <w:p w:rsidR="003B1019" w:rsidP="003B10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1019" w:rsidRPr="007225EA" w:rsidP="007225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EA" w:rsidRPr="002D2AF8" w:rsidP="003B1019">
    <w:pPr>
      <w:pStyle w:val="Header"/>
      <w:framePr w:wrap="around"/>
    </w:pPr>
    <w:r>
      <w:fldChar w:fldCharType="begin"/>
    </w:r>
    <w:r>
      <w:instrText xml:space="preserve"> TITLE   \* MERGEFORMAT </w:instrText>
    </w:r>
    <w:r>
      <w:fldChar w:fldCharType="separate"/>
    </w:r>
    <w:r>
      <w:t>CPPACC4002 Apply building control legislation to accessibility assessment of small-scale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225EA" w:rsidP="003B10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19" w:rsidRPr="002D2AF8" w:rsidP="003B1019">
    <w:pPr>
      <w:pStyle w:val="Header"/>
      <w:framePr w:wrap="around"/>
    </w:pPr>
    <w:r>
      <w:fldChar w:fldCharType="begin"/>
    </w:r>
    <w:r>
      <w:instrText xml:space="preserve"> TITLE   \* MERGEFORMAT </w:instrText>
    </w:r>
    <w:r>
      <w:fldChar w:fldCharType="separate"/>
    </w:r>
    <w:r w:rsidR="007225EA">
      <w:t>CPPACC4002 Apply building control legislation to accessibility assessment of small-scale buildings</w:t>
    </w:r>
    <w:r w:rsidR="007225EA">
      <w:fldChar w:fldCharType="end"/>
    </w:r>
    <w:r>
      <w:tab/>
      <w:t xml:space="preserve">Date this document was generated: </w:t>
    </w:r>
    <w:r>
      <w:fldChar w:fldCharType="begin"/>
    </w:r>
    <w:r>
      <w:instrText xml:space="preserve"> CREATEDATE  \@ "d MMMM yyyy"  \* MERGEFORMAT </w:instrText>
    </w:r>
    <w:r>
      <w:fldChar w:fldCharType="separate"/>
    </w:r>
    <w:r w:rsidR="007225EA">
      <w:rPr>
        <w:noProof/>
      </w:rPr>
      <w:t>1 March 2025</w:t>
    </w:r>
    <w:r>
      <w:fldChar w:fldCharType="end"/>
    </w:r>
  </w:p>
  <w:p w:rsidR="003B1019" w:rsidP="003B10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0A9E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0EC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525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0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019"/>
    <w:pPr>
      <w:spacing w:before="360" w:after="60"/>
      <w:outlineLvl w:val="0"/>
    </w:pPr>
    <w:rPr>
      <w:sz w:val="32"/>
    </w:rPr>
  </w:style>
  <w:style w:type="paragraph" w:styleId="Heading2">
    <w:name w:val="heading 2"/>
    <w:basedOn w:val="HeadingBase"/>
    <w:next w:val="BodyText"/>
    <w:link w:val="Heading2Char"/>
    <w:qFormat/>
    <w:rsid w:val="003B1019"/>
    <w:pPr>
      <w:keepLines/>
      <w:spacing w:before="240" w:after="120"/>
      <w:outlineLvl w:val="1"/>
    </w:pPr>
    <w:rPr>
      <w:sz w:val="28"/>
      <w:szCs w:val="40"/>
    </w:rPr>
  </w:style>
  <w:style w:type="paragraph" w:styleId="Heading3">
    <w:name w:val="heading 3"/>
    <w:basedOn w:val="HeadingBase"/>
    <w:next w:val="BodyText"/>
    <w:link w:val="Heading3Char"/>
    <w:qFormat/>
    <w:rsid w:val="003B1019"/>
    <w:pPr>
      <w:spacing w:before="180" w:after="120"/>
      <w:outlineLvl w:val="2"/>
    </w:pPr>
    <w:rPr>
      <w:spacing w:val="-10"/>
      <w:kern w:val="32"/>
    </w:rPr>
  </w:style>
  <w:style w:type="paragraph" w:styleId="Heading4">
    <w:name w:val="heading 4"/>
    <w:basedOn w:val="HeadingBase"/>
    <w:next w:val="BodyText"/>
    <w:link w:val="Heading4Char"/>
    <w:qFormat/>
    <w:rsid w:val="003B1019"/>
    <w:pPr>
      <w:spacing w:before="160" w:after="120"/>
      <w:outlineLvl w:val="3"/>
    </w:pPr>
    <w:rPr>
      <w:sz w:val="22"/>
    </w:rPr>
  </w:style>
  <w:style w:type="paragraph" w:styleId="Heading5">
    <w:name w:val="heading 5"/>
    <w:basedOn w:val="HeadingBase"/>
    <w:next w:val="Normal"/>
    <w:link w:val="Heading5Char"/>
    <w:qFormat/>
    <w:rsid w:val="003B1019"/>
    <w:pPr>
      <w:spacing w:before="80"/>
      <w:outlineLvl w:val="4"/>
    </w:pPr>
    <w:rPr>
      <w:color w:val="918585"/>
      <w:sz w:val="20"/>
    </w:rPr>
  </w:style>
  <w:style w:type="paragraph" w:styleId="Heading6">
    <w:name w:val="heading 6"/>
    <w:basedOn w:val="HeadingBase"/>
    <w:next w:val="Normal"/>
    <w:link w:val="Heading6Char"/>
    <w:qFormat/>
    <w:rsid w:val="003B1019"/>
    <w:pPr>
      <w:spacing w:before="60"/>
      <w:outlineLvl w:val="5"/>
    </w:pPr>
    <w:rPr>
      <w:color w:val="918585"/>
      <w:sz w:val="20"/>
    </w:rPr>
  </w:style>
  <w:style w:type="paragraph" w:styleId="Heading7">
    <w:name w:val="heading 7"/>
    <w:basedOn w:val="Normal"/>
    <w:next w:val="Normal"/>
    <w:link w:val="Heading7Char"/>
    <w:qFormat/>
    <w:rsid w:val="003B1019"/>
    <w:pPr>
      <w:ind w:left="720"/>
      <w:outlineLvl w:val="6"/>
    </w:pPr>
    <w:rPr>
      <w:i/>
    </w:rPr>
  </w:style>
  <w:style w:type="paragraph" w:styleId="Heading8">
    <w:name w:val="heading 8"/>
    <w:basedOn w:val="Normal"/>
    <w:next w:val="Normal"/>
    <w:link w:val="Heading8Char"/>
    <w:qFormat/>
    <w:rsid w:val="003B1019"/>
    <w:pPr>
      <w:ind w:left="720"/>
      <w:outlineLvl w:val="7"/>
    </w:pPr>
    <w:rPr>
      <w:i/>
    </w:rPr>
  </w:style>
  <w:style w:type="paragraph" w:styleId="Heading9">
    <w:name w:val="heading 9"/>
    <w:basedOn w:val="Normal"/>
    <w:next w:val="Normal"/>
    <w:link w:val="Heading9Char"/>
    <w:qFormat/>
    <w:rsid w:val="003B1019"/>
    <w:pPr>
      <w:ind w:left="720"/>
      <w:outlineLvl w:val="8"/>
    </w:pPr>
    <w:rPr>
      <w:i/>
    </w:rPr>
  </w:style>
  <w:style w:type="character" w:default="1" w:styleId="DefaultParagraphFont">
    <w:name w:val="Default Paragraph Font"/>
    <w:uiPriority w:val="1"/>
    <w:unhideWhenUsed/>
    <w:rsid w:val="003B10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019"/>
  </w:style>
  <w:style w:type="character" w:customStyle="1" w:styleId="Heading1Char">
    <w:name w:val="Heading 1 Char"/>
    <w:basedOn w:val="DefaultParagraphFont"/>
    <w:link w:val="Heading1"/>
    <w:rsid w:val="003B1019"/>
    <w:rPr>
      <w:rFonts w:ascii="Times New Roman" w:eastAsia="Times New Roman" w:hAnsi="Times New Roman" w:cs="Times New Roman"/>
      <w:b/>
      <w:sz w:val="32"/>
      <w:szCs w:val="20"/>
      <w:lang w:eastAsia="en-US"/>
    </w:rPr>
  </w:style>
  <w:style w:type="paragraph" w:styleId="BodyText">
    <w:name w:val="Body Text"/>
    <w:basedOn w:val="Normal"/>
    <w:link w:val="BodyTextChar"/>
    <w:rsid w:val="003B10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1019"/>
    <w:rPr>
      <w:rFonts w:ascii="Times New Roman" w:eastAsia="Times New Roman" w:hAnsi="Times New Roman" w:cs="Times New Roman"/>
      <w:sz w:val="24"/>
      <w:lang w:eastAsia="en-US"/>
    </w:rPr>
  </w:style>
  <w:style w:type="paragraph" w:styleId="ListBullet">
    <w:name w:val="List Bullet"/>
    <w:basedOn w:val="List"/>
    <w:rsid w:val="003B1019"/>
    <w:pPr>
      <w:numPr>
        <w:numId w:val="12"/>
      </w:numPr>
      <w:tabs>
        <w:tab w:val="clear" w:pos="340"/>
      </w:tabs>
      <w:spacing w:before="40" w:after="40"/>
    </w:pPr>
  </w:style>
  <w:style w:type="paragraph" w:styleId="ListBullet2">
    <w:name w:val="List Bullet 2"/>
    <w:basedOn w:val="List2"/>
    <w:rsid w:val="003B1019"/>
    <w:pPr>
      <w:numPr>
        <w:numId w:val="13"/>
      </w:numPr>
      <w:tabs>
        <w:tab w:val="clear" w:pos="680"/>
      </w:tabs>
    </w:pPr>
  </w:style>
  <w:style w:type="paragraph" w:customStyle="1" w:styleId="SuperHeading">
    <w:name w:val="SuperHeading"/>
    <w:basedOn w:val="Normal"/>
    <w:rsid w:val="003B1019"/>
    <w:pPr>
      <w:spacing w:before="240" w:after="120"/>
      <w:outlineLvl w:val="0"/>
    </w:pPr>
    <w:rPr>
      <w:rFonts w:ascii="Times New Roman" w:hAnsi="Times New Roman"/>
      <w:b/>
      <w:sz w:val="32"/>
    </w:rPr>
  </w:style>
  <w:style w:type="paragraph" w:customStyle="1" w:styleId="AllowPageBreak">
    <w:name w:val="AllowPageBreak"/>
    <w:rsid w:val="003B10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10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0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0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0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0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0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0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019"/>
    <w:rPr>
      <w:rFonts w:ascii="Courier New" w:eastAsia="Times New Roman" w:hAnsi="Courier New" w:cs="Times New Roman"/>
      <w:i/>
      <w:szCs w:val="20"/>
      <w:lang w:eastAsia="en-US"/>
    </w:rPr>
  </w:style>
  <w:style w:type="paragraph" w:customStyle="1" w:styleId="HeadingBase">
    <w:name w:val="Heading Base"/>
    <w:rsid w:val="003B10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019"/>
    <w:pPr>
      <w:tabs>
        <w:tab w:val="right" w:leader="dot" w:pos="9072"/>
      </w:tabs>
      <w:ind w:left="567"/>
    </w:pPr>
    <w:rPr>
      <w:szCs w:val="22"/>
    </w:rPr>
  </w:style>
  <w:style w:type="paragraph" w:customStyle="1" w:styleId="TOCBase">
    <w:name w:val="TOC Base"/>
    <w:rsid w:val="003B10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019"/>
    <w:pPr>
      <w:tabs>
        <w:tab w:val="right" w:leader="dot" w:pos="9072"/>
      </w:tabs>
      <w:spacing w:before="40" w:after="40"/>
      <w:ind w:left="284"/>
    </w:pPr>
    <w:rPr>
      <w:rFonts w:ascii="Times New Roman" w:hAnsi="Times New Roman"/>
    </w:rPr>
  </w:style>
  <w:style w:type="paragraph" w:styleId="TOC1">
    <w:name w:val="toc 1"/>
    <w:basedOn w:val="TOCBase"/>
    <w:next w:val="Normal"/>
    <w:rsid w:val="003B10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0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019"/>
    <w:rPr>
      <w:rFonts w:ascii="Times New Roman" w:eastAsia="Times New Roman" w:hAnsi="Times New Roman" w:cs="Times New Roman"/>
      <w:sz w:val="16"/>
      <w:lang w:eastAsia="en-US"/>
    </w:rPr>
  </w:style>
  <w:style w:type="paragraph" w:styleId="Title">
    <w:name w:val="Title"/>
    <w:basedOn w:val="HeadingBase"/>
    <w:link w:val="TitleChar"/>
    <w:qFormat/>
    <w:rsid w:val="003B1019"/>
    <w:pPr>
      <w:spacing w:before="5040"/>
      <w:jc w:val="center"/>
    </w:pPr>
    <w:rPr>
      <w:sz w:val="48"/>
      <w:szCs w:val="72"/>
      <w:lang w:val="en-US"/>
    </w:rPr>
  </w:style>
  <w:style w:type="character" w:customStyle="1" w:styleId="TitleChar">
    <w:name w:val="Title Char"/>
    <w:basedOn w:val="DefaultParagraphFont"/>
    <w:link w:val="Title"/>
    <w:rsid w:val="003B10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019"/>
    <w:pPr>
      <w:tabs>
        <w:tab w:val="left" w:pos="3600"/>
        <w:tab w:val="left" w:pos="3958"/>
      </w:tabs>
    </w:pPr>
  </w:style>
  <w:style w:type="paragraph" w:styleId="List">
    <w:name w:val="List"/>
    <w:basedOn w:val="BodyText"/>
    <w:next w:val="BodyText"/>
    <w:rsid w:val="003B1019"/>
    <w:pPr>
      <w:tabs>
        <w:tab w:val="left" w:pos="340"/>
      </w:tabs>
      <w:spacing w:before="60" w:after="60"/>
      <w:ind w:left="340" w:hanging="340"/>
    </w:pPr>
  </w:style>
  <w:style w:type="paragraph" w:customStyle="1" w:styleId="Note">
    <w:name w:val="Note"/>
    <w:basedOn w:val="BodyText"/>
    <w:rsid w:val="003B10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1019"/>
    <w:rPr>
      <w:b/>
      <w:spacing w:val="0"/>
    </w:rPr>
  </w:style>
  <w:style w:type="paragraph" w:customStyle="1" w:styleId="SuperTitle">
    <w:name w:val="SuperTitle"/>
    <w:basedOn w:val="Title"/>
    <w:rsid w:val="003B1019"/>
    <w:pPr>
      <w:framePr w:wrap="auto" w:hAnchor="text" w:y="6049"/>
    </w:pPr>
    <w:rPr>
      <w:color w:val="000000"/>
      <w:sz w:val="40"/>
    </w:rPr>
  </w:style>
  <w:style w:type="paragraph" w:customStyle="1" w:styleId="TOCTitle">
    <w:name w:val="TOCTitle"/>
    <w:basedOn w:val="Heading1"/>
    <w:rsid w:val="003B1019"/>
    <w:pPr>
      <w:spacing w:after="240"/>
      <w:jc w:val="center"/>
      <w:outlineLvl w:val="9"/>
    </w:pPr>
    <w:rPr>
      <w:caps/>
    </w:rPr>
  </w:style>
  <w:style w:type="paragraph" w:customStyle="1" w:styleId="Version">
    <w:name w:val="Version"/>
    <w:rsid w:val="003B10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019"/>
    <w:pPr>
      <w:keepNext w:val="0"/>
      <w:tabs>
        <w:tab w:val="right" w:pos="4176"/>
      </w:tabs>
      <w:ind w:left="198" w:hanging="198"/>
    </w:pPr>
    <w:rPr>
      <w:rFonts w:ascii="Garamond" w:hAnsi="Garamond"/>
    </w:rPr>
  </w:style>
  <w:style w:type="paragraph" w:styleId="IndexHeading">
    <w:name w:val="index heading"/>
    <w:basedOn w:val="Normal"/>
    <w:next w:val="Index1"/>
    <w:semiHidden/>
    <w:rsid w:val="003B1019"/>
    <w:pPr>
      <w:spacing w:before="120" w:after="120"/>
    </w:pPr>
    <w:rPr>
      <w:rFonts w:ascii="Arial" w:hAnsi="Arial"/>
      <w:b/>
      <w:color w:val="918585"/>
      <w:sz w:val="24"/>
    </w:rPr>
  </w:style>
  <w:style w:type="paragraph" w:styleId="Header">
    <w:name w:val="header"/>
    <w:basedOn w:val="Normal"/>
    <w:link w:val="HeaderChar"/>
    <w:rsid w:val="003B10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019"/>
    <w:rPr>
      <w:rFonts w:ascii="Times New Roman" w:eastAsia="Times New Roman" w:hAnsi="Times New Roman" w:cs="Times New Roman"/>
      <w:sz w:val="16"/>
      <w:szCs w:val="20"/>
      <w:lang w:val="en-GB" w:eastAsia="en-US"/>
    </w:rPr>
  </w:style>
  <w:style w:type="paragraph" w:customStyle="1" w:styleId="Chapter">
    <w:name w:val="Chapter"/>
    <w:basedOn w:val="Normal"/>
    <w:rsid w:val="003B1019"/>
    <w:pPr>
      <w:spacing w:before="240"/>
    </w:pPr>
    <w:rPr>
      <w:rFonts w:ascii="Times New Roman" w:hAnsi="Times New Roman"/>
      <w:smallCaps/>
      <w:spacing w:val="80"/>
      <w:sz w:val="28"/>
    </w:rPr>
  </w:style>
  <w:style w:type="paragraph" w:customStyle="1" w:styleId="InChapter">
    <w:name w:val="InChapter"/>
    <w:basedOn w:val="Heading3"/>
    <w:rsid w:val="003B1019"/>
    <w:pPr>
      <w:spacing w:after="240"/>
      <w:outlineLvl w:val="9"/>
    </w:pPr>
    <w:rPr>
      <w:noProof/>
    </w:rPr>
  </w:style>
  <w:style w:type="paragraph" w:styleId="Index2">
    <w:name w:val="index 2"/>
    <w:basedOn w:val="Normal"/>
    <w:next w:val="Normal"/>
    <w:semiHidden/>
    <w:rsid w:val="003B1019"/>
    <w:pPr>
      <w:tabs>
        <w:tab w:val="right" w:pos="4176"/>
      </w:tabs>
      <w:ind w:left="568" w:hanging="284"/>
    </w:pPr>
    <w:rPr>
      <w:rFonts w:ascii="Garamond" w:hAnsi="Garamond"/>
    </w:rPr>
  </w:style>
  <w:style w:type="paragraph" w:customStyle="1" w:styleId="Byline">
    <w:name w:val="Byline"/>
    <w:rsid w:val="003B10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019"/>
    <w:pPr>
      <w:tabs>
        <w:tab w:val="clear" w:pos="3600"/>
        <w:tab w:val="clear" w:pos="3958"/>
      </w:tabs>
      <w:jc w:val="right"/>
    </w:pPr>
  </w:style>
  <w:style w:type="character" w:styleId="Emphasis">
    <w:name w:val="Emphasis"/>
    <w:basedOn w:val="DefaultParagraphFont"/>
    <w:qFormat/>
    <w:rsid w:val="003B1019"/>
    <w:rPr>
      <w:i/>
    </w:rPr>
  </w:style>
  <w:style w:type="paragraph" w:styleId="Caption">
    <w:name w:val="caption"/>
    <w:basedOn w:val="BodyText"/>
    <w:next w:val="Normal"/>
    <w:qFormat/>
    <w:rsid w:val="003B1019"/>
    <w:pPr>
      <w:framePr w:w="2268" w:hSpace="181" w:vSpace="181" w:wrap="around" w:vAnchor="text" w:hAnchor="page" w:x="1135" w:y="285" w:anchorLock="1"/>
    </w:pPr>
    <w:rPr>
      <w:i/>
    </w:rPr>
  </w:style>
  <w:style w:type="paragraph" w:customStyle="1" w:styleId="MiniTOCTitle">
    <w:name w:val="MiniTOCTitle"/>
    <w:basedOn w:val="Heading4"/>
    <w:rsid w:val="003B1019"/>
    <w:pPr>
      <w:spacing w:before="240"/>
      <w:outlineLvl w:val="9"/>
    </w:pPr>
    <w:rPr>
      <w:noProof/>
      <w:sz w:val="24"/>
    </w:rPr>
  </w:style>
  <w:style w:type="paragraph" w:customStyle="1" w:styleId="MiniTOCItem">
    <w:name w:val="MiniTOCItem"/>
    <w:basedOn w:val="ListBullet"/>
    <w:rsid w:val="003B1019"/>
    <w:pPr>
      <w:numPr>
        <w:numId w:val="0"/>
      </w:numPr>
      <w:tabs>
        <w:tab w:val="right" w:leader="dot" w:pos="6521"/>
      </w:tabs>
      <w:spacing w:before="0" w:after="0"/>
    </w:pPr>
  </w:style>
  <w:style w:type="paragraph" w:customStyle="1" w:styleId="TOFTitle">
    <w:name w:val="TOFTitle"/>
    <w:basedOn w:val="TOCTitle"/>
    <w:rsid w:val="003B1019"/>
  </w:style>
  <w:style w:type="paragraph" w:styleId="TableofFigures">
    <w:name w:val="table of figures"/>
    <w:basedOn w:val="Normal"/>
    <w:next w:val="Normal"/>
    <w:semiHidden/>
    <w:rsid w:val="003B1019"/>
    <w:pPr>
      <w:tabs>
        <w:tab w:val="right" w:leader="dot" w:pos="9072"/>
      </w:tabs>
      <w:ind w:left="970" w:hanging="403"/>
    </w:pPr>
    <w:rPr>
      <w:rFonts w:ascii="Times New Roman" w:hAnsi="Times New Roman"/>
      <w:b/>
    </w:rPr>
  </w:style>
  <w:style w:type="paragraph" w:styleId="ListNumber">
    <w:name w:val="List Number"/>
    <w:basedOn w:val="List"/>
    <w:rsid w:val="003B1019"/>
    <w:pPr>
      <w:numPr>
        <w:numId w:val="15"/>
      </w:numPr>
      <w:tabs>
        <w:tab w:val="clear" w:pos="340"/>
      </w:tabs>
    </w:pPr>
  </w:style>
  <w:style w:type="character" w:customStyle="1" w:styleId="WingdingSymbols">
    <w:name w:val="Wingding Symbols"/>
    <w:rsid w:val="003B1019"/>
    <w:rPr>
      <w:rFonts w:ascii="Wingdings" w:hAnsi="Wingdings"/>
    </w:rPr>
  </w:style>
  <w:style w:type="paragraph" w:customStyle="1" w:styleId="TableHeading">
    <w:name w:val="Table Heading"/>
    <w:basedOn w:val="HeadingBase"/>
    <w:rsid w:val="003B1019"/>
    <w:pPr>
      <w:keepLines/>
      <w:pBdr>
        <w:bottom w:val="single" w:sz="6" w:space="1" w:color="918585"/>
      </w:pBdr>
      <w:spacing w:before="240"/>
    </w:pPr>
  </w:style>
  <w:style w:type="character" w:customStyle="1" w:styleId="HotSpot">
    <w:name w:val="HotSpot"/>
    <w:rsid w:val="003B1019"/>
    <w:rPr>
      <w:color w:val="0033CC"/>
      <w:u w:val="none"/>
    </w:rPr>
  </w:style>
  <w:style w:type="paragraph" w:customStyle="1" w:styleId="BodyTextRight">
    <w:name w:val="Body Text Right"/>
    <w:basedOn w:val="BodyText"/>
    <w:rsid w:val="003B1019"/>
    <w:pPr>
      <w:spacing w:before="0" w:after="0"/>
      <w:jc w:val="right"/>
    </w:pPr>
  </w:style>
  <w:style w:type="paragraph" w:styleId="Index3">
    <w:name w:val="index 3"/>
    <w:basedOn w:val="ListNumber2"/>
    <w:next w:val="Normal"/>
    <w:semiHidden/>
    <w:rsid w:val="003B1019"/>
    <w:pPr>
      <w:numPr>
        <w:numId w:val="0"/>
      </w:numPr>
      <w:tabs>
        <w:tab w:val="right" w:leader="dot" w:pos="4176"/>
      </w:tabs>
    </w:pPr>
  </w:style>
  <w:style w:type="paragraph" w:styleId="ListNumber2">
    <w:name w:val="List Number 2"/>
    <w:basedOn w:val="List2"/>
    <w:rsid w:val="003B1019"/>
    <w:pPr>
      <w:numPr>
        <w:numId w:val="10"/>
      </w:numPr>
      <w:tabs>
        <w:tab w:val="clear" w:pos="1060"/>
      </w:tabs>
    </w:pPr>
  </w:style>
  <w:style w:type="paragraph" w:customStyle="1" w:styleId="MarginNote">
    <w:name w:val="Margin Note"/>
    <w:basedOn w:val="BodyText"/>
    <w:rsid w:val="003B10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0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0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019"/>
    <w:rPr>
      <w:sz w:val="32"/>
    </w:rPr>
  </w:style>
  <w:style w:type="paragraph" w:customStyle="1" w:styleId="HeadingProcedure">
    <w:name w:val="Heading Procedure"/>
    <w:basedOn w:val="HeadingBase"/>
    <w:next w:val="Normal"/>
    <w:rsid w:val="003B1019"/>
    <w:pPr>
      <w:tabs>
        <w:tab w:val="left" w:pos="0"/>
      </w:tabs>
      <w:spacing w:before="120" w:after="60"/>
    </w:pPr>
    <w:rPr>
      <w:i/>
      <w:color w:val="918585"/>
      <w:sz w:val="22"/>
    </w:rPr>
  </w:style>
  <w:style w:type="paragraph" w:customStyle="1" w:styleId="TableBodyText">
    <w:name w:val="Table Body Text"/>
    <w:basedOn w:val="BodyText"/>
    <w:rsid w:val="003B1019"/>
    <w:pPr>
      <w:spacing w:before="60" w:after="60"/>
    </w:pPr>
  </w:style>
  <w:style w:type="paragraph" w:styleId="ListContinue">
    <w:name w:val="List Continue"/>
    <w:basedOn w:val="List"/>
    <w:rsid w:val="003B1019"/>
    <w:pPr>
      <w:ind w:firstLine="0"/>
    </w:pPr>
  </w:style>
  <w:style w:type="paragraph" w:customStyle="1" w:styleId="ListNote">
    <w:name w:val="List Note"/>
    <w:basedOn w:val="List"/>
    <w:rsid w:val="003B1019"/>
    <w:pPr>
      <w:pBdr>
        <w:top w:val="single" w:sz="6" w:space="2" w:color="918585"/>
        <w:bottom w:val="single" w:sz="6" w:space="2" w:color="918585"/>
      </w:pBdr>
      <w:tabs>
        <w:tab w:val="left" w:pos="1021"/>
      </w:tabs>
      <w:ind w:firstLine="0"/>
    </w:pPr>
  </w:style>
  <w:style w:type="paragraph" w:customStyle="1" w:styleId="Warning">
    <w:name w:val="Warning"/>
    <w:basedOn w:val="BodyText"/>
    <w:rsid w:val="003B1019"/>
    <w:pPr>
      <w:shd w:val="clear" w:color="auto" w:fill="D9D9D9"/>
      <w:tabs>
        <w:tab w:val="left" w:pos="992"/>
      </w:tabs>
      <w:ind w:left="119" w:right="119"/>
    </w:pPr>
    <w:rPr>
      <w:sz w:val="20"/>
    </w:rPr>
  </w:style>
  <w:style w:type="paragraph" w:customStyle="1" w:styleId="MarginIcons">
    <w:name w:val="Margin Icons"/>
    <w:basedOn w:val="BodyText"/>
    <w:rsid w:val="003B10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019"/>
    <w:rPr>
      <w:rFonts w:ascii="Courier New" w:hAnsi="Courier New"/>
    </w:rPr>
  </w:style>
  <w:style w:type="paragraph" w:customStyle="1" w:styleId="NoteBullet">
    <w:name w:val="Note Bullet"/>
    <w:basedOn w:val="Note"/>
    <w:rsid w:val="003B1019"/>
    <w:pPr>
      <w:tabs>
        <w:tab w:val="clear" w:pos="680"/>
      </w:tabs>
      <w:spacing w:before="60" w:after="60"/>
    </w:pPr>
  </w:style>
  <w:style w:type="paragraph" w:customStyle="1" w:styleId="SubHeading2">
    <w:name w:val="SubHeading2"/>
    <w:basedOn w:val="HeadingBase"/>
    <w:rsid w:val="003B1019"/>
    <w:pPr>
      <w:spacing w:before="240" w:after="60"/>
    </w:pPr>
    <w:rPr>
      <w:sz w:val="20"/>
    </w:rPr>
  </w:style>
  <w:style w:type="paragraph" w:customStyle="1" w:styleId="SubHeading1">
    <w:name w:val="SubHeading1"/>
    <w:basedOn w:val="HeadingBase"/>
    <w:rsid w:val="003B1019"/>
    <w:pPr>
      <w:spacing w:before="240" w:after="60"/>
    </w:pPr>
    <w:rPr>
      <w:color w:val="918585"/>
      <w:sz w:val="22"/>
    </w:rPr>
  </w:style>
  <w:style w:type="paragraph" w:customStyle="1" w:styleId="SideHeading">
    <w:name w:val="Side Heading"/>
    <w:basedOn w:val="HeadingBase"/>
    <w:rsid w:val="003B10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019"/>
    <w:pPr>
      <w:tabs>
        <w:tab w:val="num" w:pos="360"/>
      </w:tabs>
    </w:pPr>
  </w:style>
  <w:style w:type="paragraph" w:styleId="PlainText">
    <w:name w:val="Plain Text"/>
    <w:basedOn w:val="Normal"/>
    <w:link w:val="PlainTextChar"/>
    <w:rsid w:val="003B1019"/>
    <w:rPr>
      <w:sz w:val="20"/>
    </w:rPr>
  </w:style>
  <w:style w:type="character" w:customStyle="1" w:styleId="PlainTextChar">
    <w:name w:val="Plain Text Char"/>
    <w:basedOn w:val="DefaultParagraphFont"/>
    <w:link w:val="PlainText"/>
    <w:rsid w:val="003B1019"/>
    <w:rPr>
      <w:rFonts w:ascii="Courier New" w:eastAsia="Times New Roman" w:hAnsi="Courier New" w:cs="Times New Roman"/>
      <w:sz w:val="20"/>
      <w:szCs w:val="20"/>
      <w:lang w:eastAsia="en-US"/>
    </w:rPr>
  </w:style>
  <w:style w:type="character" w:customStyle="1" w:styleId="MenuOption">
    <w:name w:val="Menu Option"/>
    <w:basedOn w:val="DefaultParagraphFont"/>
    <w:rsid w:val="003B1019"/>
    <w:rPr>
      <w:b/>
      <w:smallCaps/>
    </w:rPr>
  </w:style>
  <w:style w:type="paragraph" w:customStyle="1" w:styleId="TableListNumber">
    <w:name w:val="Table List Number"/>
    <w:basedOn w:val="ListNumber"/>
    <w:rsid w:val="003B1019"/>
    <w:pPr>
      <w:numPr>
        <w:numId w:val="0"/>
      </w:numPr>
    </w:pPr>
  </w:style>
  <w:style w:type="paragraph" w:styleId="TOC4">
    <w:name w:val="toc 4"/>
    <w:basedOn w:val="TOCBase"/>
    <w:next w:val="Normal"/>
    <w:semiHidden/>
    <w:rsid w:val="003B1019"/>
    <w:pPr>
      <w:tabs>
        <w:tab w:val="right" w:leader="dot" w:pos="9071"/>
      </w:tabs>
      <w:ind w:left="1701"/>
    </w:pPr>
  </w:style>
  <w:style w:type="paragraph" w:customStyle="1" w:styleId="ListAlpha">
    <w:name w:val="List Alpha"/>
    <w:basedOn w:val="List"/>
    <w:rsid w:val="003B1019"/>
    <w:pPr>
      <w:numPr>
        <w:numId w:val="9"/>
      </w:numPr>
    </w:pPr>
  </w:style>
  <w:style w:type="paragraph" w:customStyle="1" w:styleId="ListAlpha2">
    <w:name w:val="List Alpha 2"/>
    <w:basedOn w:val="List2"/>
    <w:rsid w:val="003B1019"/>
    <w:pPr>
      <w:numPr>
        <w:numId w:val="8"/>
      </w:numPr>
    </w:pPr>
  </w:style>
  <w:style w:type="paragraph" w:styleId="List2">
    <w:name w:val="List 2"/>
    <w:basedOn w:val="BodyText"/>
    <w:rsid w:val="003B1019"/>
    <w:pPr>
      <w:tabs>
        <w:tab w:val="left" w:pos="680"/>
      </w:tabs>
      <w:spacing w:before="60" w:after="60"/>
      <w:ind w:left="680" w:hanging="340"/>
    </w:pPr>
  </w:style>
  <w:style w:type="paragraph" w:styleId="List3">
    <w:name w:val="List 3"/>
    <w:basedOn w:val="BodyText"/>
    <w:rsid w:val="003B1019"/>
    <w:pPr>
      <w:tabs>
        <w:tab w:val="left" w:pos="1021"/>
      </w:tabs>
      <w:spacing w:before="60" w:after="60"/>
      <w:ind w:left="1020" w:hanging="340"/>
    </w:pPr>
  </w:style>
  <w:style w:type="paragraph" w:styleId="List4">
    <w:name w:val="List 4"/>
    <w:basedOn w:val="BodyText"/>
    <w:rsid w:val="003B1019"/>
    <w:pPr>
      <w:tabs>
        <w:tab w:val="left" w:pos="1361"/>
      </w:tabs>
      <w:spacing w:before="60" w:after="60"/>
      <w:ind w:left="1361" w:hanging="340"/>
    </w:pPr>
  </w:style>
  <w:style w:type="paragraph" w:styleId="List5">
    <w:name w:val="List 5"/>
    <w:basedOn w:val="BodyText"/>
    <w:rsid w:val="003B1019"/>
    <w:pPr>
      <w:tabs>
        <w:tab w:val="left" w:pos="1701"/>
      </w:tabs>
      <w:spacing w:before="60" w:after="60"/>
      <w:ind w:left="1701" w:hanging="340"/>
    </w:pPr>
  </w:style>
  <w:style w:type="paragraph" w:styleId="ListBullet3">
    <w:name w:val="List Bullet 3"/>
    <w:basedOn w:val="List3"/>
    <w:rsid w:val="003B1019"/>
    <w:pPr>
      <w:numPr>
        <w:numId w:val="14"/>
      </w:numPr>
      <w:tabs>
        <w:tab w:val="clear" w:pos="1021"/>
      </w:tabs>
      <w:ind w:left="1037" w:hanging="357"/>
    </w:pPr>
  </w:style>
  <w:style w:type="paragraph" w:styleId="ListBullet4">
    <w:name w:val="List Bullet 4"/>
    <w:basedOn w:val="List4"/>
    <w:rsid w:val="003B1019"/>
    <w:pPr>
      <w:numPr>
        <w:numId w:val="3"/>
      </w:numPr>
      <w:tabs>
        <w:tab w:val="clear" w:pos="1361"/>
      </w:tabs>
    </w:pPr>
  </w:style>
  <w:style w:type="paragraph" w:styleId="ListBullet5">
    <w:name w:val="List Bullet 5"/>
    <w:basedOn w:val="List5"/>
    <w:rsid w:val="003B1019"/>
    <w:pPr>
      <w:numPr>
        <w:numId w:val="4"/>
      </w:numPr>
    </w:pPr>
  </w:style>
  <w:style w:type="paragraph" w:styleId="ListContinue2">
    <w:name w:val="List Continue 2"/>
    <w:basedOn w:val="List2"/>
    <w:rsid w:val="003B1019"/>
    <w:pPr>
      <w:ind w:firstLine="0"/>
    </w:pPr>
  </w:style>
  <w:style w:type="paragraph" w:styleId="ListContinue3">
    <w:name w:val="List Continue 3"/>
    <w:basedOn w:val="List3"/>
    <w:rsid w:val="003B1019"/>
    <w:pPr>
      <w:ind w:left="1021" w:firstLine="0"/>
    </w:pPr>
  </w:style>
  <w:style w:type="paragraph" w:styleId="ListContinue4">
    <w:name w:val="List Continue 4"/>
    <w:basedOn w:val="List4"/>
    <w:rsid w:val="003B1019"/>
    <w:pPr>
      <w:ind w:firstLine="0"/>
    </w:pPr>
  </w:style>
  <w:style w:type="paragraph" w:styleId="ListContinue5">
    <w:name w:val="List Continue 5"/>
    <w:basedOn w:val="List5"/>
    <w:rsid w:val="003B1019"/>
    <w:pPr>
      <w:ind w:firstLine="0"/>
    </w:pPr>
  </w:style>
  <w:style w:type="paragraph" w:styleId="ListNumber3">
    <w:name w:val="List Number 3"/>
    <w:basedOn w:val="List3"/>
    <w:rsid w:val="003B1019"/>
    <w:pPr>
      <w:numPr>
        <w:numId w:val="5"/>
      </w:numPr>
    </w:pPr>
  </w:style>
  <w:style w:type="paragraph" w:styleId="ListNumber4">
    <w:name w:val="List Number 4"/>
    <w:basedOn w:val="List4"/>
    <w:rsid w:val="003B1019"/>
    <w:pPr>
      <w:numPr>
        <w:numId w:val="6"/>
      </w:numPr>
    </w:pPr>
  </w:style>
  <w:style w:type="paragraph" w:styleId="ListNumber5">
    <w:name w:val="List Number 5"/>
    <w:basedOn w:val="List5"/>
    <w:rsid w:val="003B1019"/>
    <w:pPr>
      <w:numPr>
        <w:numId w:val="7"/>
      </w:numPr>
    </w:pPr>
  </w:style>
  <w:style w:type="paragraph" w:styleId="BlockText">
    <w:name w:val="Block Text"/>
    <w:basedOn w:val="Normal"/>
    <w:rsid w:val="003B1019"/>
    <w:pPr>
      <w:spacing w:after="120"/>
      <w:ind w:left="1440" w:right="1440"/>
    </w:pPr>
  </w:style>
  <w:style w:type="character" w:customStyle="1" w:styleId="Subscript">
    <w:name w:val="Subscript"/>
    <w:basedOn w:val="DefaultParagraphFont"/>
    <w:rsid w:val="003B1019"/>
    <w:rPr>
      <w:sz w:val="16"/>
      <w:vertAlign w:val="subscript"/>
    </w:rPr>
  </w:style>
  <w:style w:type="character" w:customStyle="1" w:styleId="Superscript">
    <w:name w:val="Superscript"/>
    <w:basedOn w:val="DefaultParagraphFont"/>
    <w:rsid w:val="003B1019"/>
    <w:rPr>
      <w:sz w:val="16"/>
      <w:vertAlign w:val="superscript"/>
    </w:rPr>
  </w:style>
  <w:style w:type="character" w:customStyle="1" w:styleId="Symbols">
    <w:name w:val="Symbols"/>
    <w:basedOn w:val="DefaultParagraphFont"/>
    <w:rsid w:val="003B1019"/>
    <w:rPr>
      <w:rFonts w:ascii="Symbol" w:hAnsi="Symbol"/>
    </w:rPr>
  </w:style>
  <w:style w:type="character" w:customStyle="1" w:styleId="MenuOptions">
    <w:name w:val="Menu Options"/>
    <w:basedOn w:val="DefaultParagraphFont"/>
    <w:rsid w:val="003B1019"/>
    <w:rPr>
      <w:rFonts w:ascii="Arial Narrow" w:hAnsi="Arial Narrow"/>
      <w:smallCaps/>
    </w:rPr>
  </w:style>
  <w:style w:type="character" w:customStyle="1" w:styleId="Buttons">
    <w:name w:val="Buttons"/>
    <w:basedOn w:val="DefaultParagraphFont"/>
    <w:rsid w:val="003B1019"/>
    <w:rPr>
      <w:b/>
    </w:rPr>
  </w:style>
  <w:style w:type="character" w:customStyle="1" w:styleId="Underlined">
    <w:name w:val="Underlined"/>
    <w:basedOn w:val="DefaultParagraphFont"/>
    <w:rsid w:val="003B1019"/>
    <w:rPr>
      <w:u w:val="single"/>
    </w:rPr>
  </w:style>
  <w:style w:type="paragraph" w:customStyle="1" w:styleId="TableBodyTextRight">
    <w:name w:val="Table Body Text Right"/>
    <w:basedOn w:val="TableBodyText"/>
    <w:rsid w:val="003B1019"/>
    <w:pPr>
      <w:widowControl w:val="0"/>
      <w:autoSpaceDE w:val="0"/>
      <w:autoSpaceDN w:val="0"/>
      <w:adjustRightInd w:val="0"/>
      <w:jc w:val="right"/>
    </w:pPr>
    <w:rPr>
      <w:rFonts w:cs="Arial"/>
      <w:szCs w:val="18"/>
    </w:rPr>
  </w:style>
  <w:style w:type="paragraph" w:customStyle="1" w:styleId="CopyrightText">
    <w:name w:val="Copyright Text"/>
    <w:basedOn w:val="BodyText"/>
    <w:rsid w:val="003B1019"/>
    <w:rPr>
      <w:sz w:val="18"/>
    </w:rPr>
  </w:style>
  <w:style w:type="paragraph" w:customStyle="1" w:styleId="BodySmallRight">
    <w:name w:val="Body Small Right"/>
    <w:basedOn w:val="BodyTextRight"/>
    <w:rsid w:val="003B1019"/>
    <w:rPr>
      <w:sz w:val="18"/>
      <w:szCs w:val="18"/>
    </w:rPr>
  </w:style>
  <w:style w:type="paragraph" w:customStyle="1" w:styleId="MarginEdition">
    <w:name w:val="Margin Edition"/>
    <w:basedOn w:val="MarginNote"/>
    <w:rsid w:val="003B1019"/>
    <w:pPr>
      <w:spacing w:before="0" w:after="0"/>
    </w:pPr>
    <w:rPr>
      <w:rFonts w:ascii="Times New Roman" w:hAnsi="Times New Roman"/>
      <w:color w:val="999999"/>
    </w:rPr>
  </w:style>
  <w:style w:type="paragraph" w:customStyle="1" w:styleId="Spacer">
    <w:name w:val="Spacer"/>
    <w:basedOn w:val="Normal"/>
    <w:rsid w:val="003B1019"/>
    <w:rPr>
      <w:sz w:val="2"/>
      <w:szCs w:val="2"/>
    </w:rPr>
  </w:style>
  <w:style w:type="character" w:customStyle="1" w:styleId="Small">
    <w:name w:val="Small"/>
    <w:basedOn w:val="DefaultParagraphFont"/>
    <w:rsid w:val="003B1019"/>
    <w:rPr>
      <w:sz w:val="16"/>
    </w:rPr>
  </w:style>
  <w:style w:type="paragraph" w:customStyle="1" w:styleId="WideTable">
    <w:name w:val="Wide Table"/>
    <w:basedOn w:val="Normal"/>
    <w:rsid w:val="003B1019"/>
    <w:pPr>
      <w:ind w:left="-1418"/>
    </w:pPr>
    <w:rPr>
      <w:sz w:val="2"/>
      <w:szCs w:val="2"/>
    </w:rPr>
  </w:style>
  <w:style w:type="character" w:styleId="PageNumber">
    <w:name w:val="page number"/>
    <w:basedOn w:val="DefaultParagraphFont"/>
    <w:rsid w:val="003B1019"/>
  </w:style>
  <w:style w:type="paragraph" w:styleId="Quote">
    <w:name w:val="Quote"/>
    <w:basedOn w:val="Heading1"/>
    <w:link w:val="QuoteChar"/>
    <w:qFormat/>
    <w:rsid w:val="003B1019"/>
    <w:rPr>
      <w:b w:val="0"/>
      <w:sz w:val="72"/>
      <w:szCs w:val="72"/>
      <w:lang w:val="en-NZ"/>
    </w:rPr>
  </w:style>
  <w:style w:type="character" w:customStyle="1" w:styleId="QuoteChar">
    <w:name w:val="Quote Char"/>
    <w:basedOn w:val="DefaultParagraphFont"/>
    <w:link w:val="Quote"/>
    <w:rsid w:val="003B10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019"/>
    <w:pPr>
      <w:pageBreakBefore/>
    </w:pPr>
  </w:style>
  <w:style w:type="paragraph" w:customStyle="1" w:styleId="Border">
    <w:name w:val="Border"/>
    <w:basedOn w:val="Normal"/>
    <w:qFormat/>
    <w:rsid w:val="003B10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019"/>
    <w:rPr>
      <w:b/>
      <w:bCs/>
      <w:i/>
      <w:iCs/>
      <w:color w:val="auto"/>
    </w:rPr>
  </w:style>
  <w:style w:type="paragraph" w:styleId="IntenseQuote">
    <w:name w:val="Intense Quote"/>
    <w:basedOn w:val="Normal"/>
    <w:next w:val="Normal"/>
    <w:link w:val="IntenseQuoteChar"/>
    <w:uiPriority w:val="30"/>
    <w:qFormat/>
    <w:rsid w:val="003B10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0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019"/>
    <w:rPr>
      <w:smallCaps/>
      <w:color w:val="auto"/>
      <w:u w:val="single"/>
    </w:rPr>
  </w:style>
  <w:style w:type="character" w:styleId="IntenseReference">
    <w:name w:val="Intense Reference"/>
    <w:basedOn w:val="DefaultParagraphFont"/>
    <w:uiPriority w:val="32"/>
    <w:qFormat/>
    <w:rsid w:val="003B1019"/>
    <w:rPr>
      <w:b/>
      <w:bCs/>
      <w:smallCaps/>
      <w:color w:val="auto"/>
      <w:spacing w:val="5"/>
      <w:u w:val="single"/>
    </w:rPr>
  </w:style>
  <w:style w:type="paragraph" w:customStyle="1" w:styleId="2ColumnHeading">
    <w:name w:val="2Column Heading"/>
    <w:basedOn w:val="BodyText"/>
    <w:qFormat/>
    <w:rsid w:val="003B1019"/>
    <w:pPr>
      <w:spacing w:after="60"/>
      <w:ind w:left="-2268"/>
    </w:pPr>
    <w:rPr>
      <w:b/>
    </w:rPr>
  </w:style>
  <w:style w:type="paragraph" w:customStyle="1" w:styleId="Heading1TOC">
    <w:name w:val="Heading1 TOC"/>
    <w:basedOn w:val="Normal"/>
    <w:qFormat/>
    <w:rsid w:val="003B1019"/>
    <w:pPr>
      <w:spacing w:before="240" w:after="120"/>
    </w:pPr>
    <w:rPr>
      <w:rFonts w:ascii="Times New Roman" w:hAnsi="Times New Roman"/>
      <w:b/>
      <w:sz w:val="32"/>
    </w:rPr>
  </w:style>
  <w:style w:type="paragraph" w:customStyle="1" w:styleId="Heading2TOC">
    <w:name w:val="Heading2 TOC"/>
    <w:basedOn w:val="Normal"/>
    <w:qFormat/>
    <w:rsid w:val="003B1019"/>
    <w:pPr>
      <w:spacing w:before="240" w:after="60"/>
    </w:pPr>
    <w:rPr>
      <w:rFonts w:ascii="Times New Roman" w:hAnsi="Times New Roman"/>
      <w:b/>
      <w:sz w:val="28"/>
    </w:rPr>
  </w:style>
  <w:style w:type="character" w:customStyle="1" w:styleId="Underline">
    <w:name w:val="Underline"/>
    <w:basedOn w:val="DefaultParagraphFont"/>
    <w:qFormat/>
    <w:rsid w:val="003B1019"/>
    <w:rPr>
      <w:u w:val="single"/>
    </w:rPr>
  </w:style>
  <w:style w:type="character" w:customStyle="1" w:styleId="BoldandItalics">
    <w:name w:val="Bold and Italics"/>
    <w:qFormat/>
    <w:rsid w:val="003B1019"/>
    <w:rPr>
      <w:b/>
      <w:i/>
      <w:u w:val="none"/>
    </w:rPr>
  </w:style>
  <w:style w:type="paragraph" w:styleId="BalloonText">
    <w:name w:val="Balloon Text"/>
    <w:basedOn w:val="Normal"/>
    <w:link w:val="BalloonTextChar"/>
    <w:rsid w:val="003B1019"/>
    <w:rPr>
      <w:rFonts w:ascii="Tahoma" w:hAnsi="Tahoma" w:cs="Tahoma"/>
      <w:sz w:val="16"/>
      <w:szCs w:val="16"/>
    </w:rPr>
  </w:style>
  <w:style w:type="character" w:customStyle="1" w:styleId="BalloonTextChar">
    <w:name w:val="Balloon Text Char"/>
    <w:basedOn w:val="DefaultParagraphFont"/>
    <w:link w:val="BalloonText"/>
    <w:rsid w:val="003B10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0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10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019"/>
    <w:rPr>
      <w:b/>
      <w:color w:val="660033"/>
      <w:spacing w:val="0"/>
    </w:rPr>
  </w:style>
  <w:style w:type="paragraph" w:customStyle="1" w:styleId="Nameditemlist">
    <w:name w:val="Named item list"/>
    <w:basedOn w:val="BodyText"/>
    <w:qFormat/>
    <w:rsid w:val="003B1019"/>
    <w:pPr>
      <w:tabs>
        <w:tab w:val="left" w:pos="2835"/>
      </w:tabs>
      <w:ind w:left="2835" w:hanging="2835"/>
    </w:pPr>
  </w:style>
  <w:style w:type="paragraph" w:customStyle="1" w:styleId="BodyTextnopadding">
    <w:name w:val="Body Text no padding"/>
    <w:basedOn w:val="BodyText"/>
    <w:qFormat/>
    <w:rsid w:val="003B1019"/>
    <w:pPr>
      <w:spacing w:before="0" w:after="0"/>
    </w:pPr>
  </w:style>
  <w:style w:type="paragraph" w:customStyle="1" w:styleId="BodyTextBold">
    <w:name w:val="Body Text Bold"/>
    <w:basedOn w:val="BodyText"/>
    <w:qFormat/>
    <w:rsid w:val="003B1019"/>
    <w:rPr>
      <w:b/>
    </w:rPr>
  </w:style>
  <w:style w:type="character" w:styleId="Hyperlink">
    <w:name w:val="Hyperlink"/>
    <w:basedOn w:val="DefaultParagraphFont"/>
    <w:uiPriority w:val="99"/>
    <w:unhideWhenUsed/>
    <w:rsid w:val="007225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895</Words>
  <Characters>6125</Characters>
  <Application>Microsoft Office Word</Application>
  <DocSecurity>0</DocSecurity>
  <Lines>204</Lines>
  <Paragraphs>106</Paragraphs>
  <ScaleCrop>false</ScaleCrop>
  <Company>Author-it Software Corporation Ltd.</Company>
  <LinksUpToDate>false</LinksUpToDate>
  <CharactersWithSpaces>6914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CPPACC4002 Apply building control legislation to accessibility assessment of small-scale buildings</dc:title>
  <dc:subject>Approved</dc:subject>
  <dc:creator>BuildSkills Australia</dc:creator>
  <cp:keywords>Release: 1</cp:keywords>
  <dc:description>Review Date: 12 April 2008</dc:description>
  <cp:lastModifiedBy>HSD_TPCMSd.prod</cp:lastModifiedBy>
  <cp:revision>3</cp:revision>
  <dcterms:created xsi:type="dcterms:W3CDTF">2025-03-01T10:45:00Z</dcterms:created>
  <dcterms:modified xsi:type="dcterms:W3CDTF">2025-03-01T10:46:00Z</dcterms:modified>
</cp:coreProperties>
</file>