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643" w:rsidP="00D46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CPPACC4002 Apply building control legislation to accessibility assessment of small-scale buildings</w:t>
      </w:r>
      <w:r>
        <w:fldChar w:fldCharType="end"/>
      </w:r>
    </w:p>
    <w:p w:rsidR="00D46643" w:rsidP="00D46643">
      <w:pPr>
        <w:pStyle w:val="Version"/>
        <w:sectPr w:rsidSect="00815B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BC1" w:rsidP="00815BC1">
      <w:pPr>
        <w:pStyle w:val="SuperHeading"/>
      </w:pPr>
      <w:r w:rsidRPr="00815BC1">
        <w:t>Assessment Requirements for CPPACC4002 Apply building control legislation to accessibility assessment of small-scale buildings</w:t>
      </w:r>
    </w:p>
    <w:p w:rsidR="00000000" w:rsidRPr="00815BC1" w:rsidP="00815BC1">
      <w:pPr>
        <w:pStyle w:val="Heading1"/>
      </w:pPr>
      <w:bookmarkStart w:id="1" w:name="O_898222"/>
      <w:bookmarkEnd w:id="1"/>
      <w:r w:rsidRPr="00815B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5B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BC1">
            <w:pPr>
              <w:pStyle w:val="BodyText"/>
              <w:rPr>
                <w:lang w:val="en-NZ"/>
              </w:rPr>
            </w:pPr>
            <w:r w:rsidRPr="00815BC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BC1" w:rsidP="00815BC1">
            <w:pPr>
              <w:pStyle w:val="BodyText"/>
            </w:pPr>
            <w:r w:rsidRPr="00815BC1">
              <w:t>This unit first released with CPP Property Services Training Package Release 14.0.</w:t>
            </w:r>
          </w:p>
          <w:p w:rsidR="00000000" w:rsidRPr="00815BC1" w:rsidP="00815BC1">
            <w:pPr>
              <w:pStyle w:val="BodyText"/>
            </w:pPr>
            <w:r w:rsidRPr="00815BC1">
              <w:t>Supersedes and is equivalent to CPPACC4002A Apply building control legislation to assess small-scale buildings for access. Minor change to unit title to clarify outcome.</w:t>
            </w:r>
          </w:p>
          <w:p w:rsidR="00000000" w:rsidRPr="00815BC1" w:rsidP="00815BC1">
            <w:pPr>
              <w:pStyle w:val="BodyText"/>
            </w:pPr>
            <w:r w:rsidRPr="00815BC1">
              <w:t>Uni</w:t>
            </w:r>
            <w:r w:rsidRPr="00815BC1">
              <w:t xml:space="preserve">t updated to meet the Standards for Training Packages 2012. </w:t>
            </w:r>
          </w:p>
        </w:tc>
      </w:tr>
    </w:tbl>
    <w:p w:rsidR="00000000" w:rsidRPr="00815BC1" w:rsidP="00815BC1">
      <w:pPr>
        <w:pStyle w:val="BodyText"/>
      </w:pPr>
    </w:p>
    <w:p w:rsidR="00000000" w:rsidRPr="00815BC1" w:rsidP="00815BC1">
      <w:pPr>
        <w:pStyle w:val="AllowPageBreak"/>
      </w:pPr>
    </w:p>
    <w:p w:rsidR="00000000" w:rsidRPr="00815BC1" w:rsidP="00815BC1">
      <w:pPr>
        <w:pStyle w:val="Heading1"/>
      </w:pPr>
      <w:bookmarkStart w:id="2" w:name="O_898225"/>
      <w:bookmarkEnd w:id="2"/>
      <w:r w:rsidRPr="00815BC1">
        <w:t>Performance Evidence</w:t>
      </w:r>
    </w:p>
    <w:p w:rsidR="00000000" w:rsidRPr="00815BC1" w:rsidP="00D46643">
      <w:pPr>
        <w:pStyle w:val="BodyText"/>
      </w:pPr>
      <w:r w:rsidRPr="00815BC1">
        <w:t>To demonstrate competency, a candidate must meet the elements and performance criteria of this unit by applying building control legislation to accessibili</w:t>
      </w:r>
      <w:r w:rsidRPr="00815BC1">
        <w:t>ty assessments for two small-scale buildings in the following Classes as defined by the National Construction Code (NCC):</w:t>
      </w:r>
    </w:p>
    <w:p w:rsidR="00000000" w:rsidRPr="00815BC1" w:rsidP="00815BC1">
      <w:pPr>
        <w:pStyle w:val="ListBullet"/>
      </w:pPr>
      <w:r w:rsidRPr="00815BC1">
        <w:t>one building in Class 1</w:t>
      </w:r>
    </w:p>
    <w:p w:rsidR="00000000" w:rsidRPr="00815BC1" w:rsidP="00815BC1">
      <w:pPr>
        <w:pStyle w:val="ListBullet"/>
      </w:pPr>
      <w:r w:rsidRPr="00815BC1">
        <w:t>one building included in Classes 2-9.</w:t>
      </w:r>
    </w:p>
    <w:p w:rsidR="00000000" w:rsidRPr="00815BC1" w:rsidP="00815BC1">
      <w:pPr>
        <w:pStyle w:val="AllowPageBreak"/>
      </w:pPr>
    </w:p>
    <w:p w:rsidR="00000000" w:rsidRPr="00815BC1" w:rsidP="00815BC1">
      <w:pPr>
        <w:pStyle w:val="Heading1"/>
      </w:pPr>
      <w:bookmarkStart w:id="3" w:name="O_898224"/>
      <w:bookmarkEnd w:id="3"/>
      <w:r w:rsidRPr="00815BC1">
        <w:t>Knowledge Evidence</w:t>
      </w:r>
    </w:p>
    <w:p w:rsidR="00000000" w:rsidRPr="00815BC1" w:rsidP="00D46643">
      <w:pPr>
        <w:pStyle w:val="BodyText"/>
      </w:pPr>
      <w:r w:rsidRPr="00815BC1">
        <w:t>To be competent in this unit, a can</w:t>
      </w:r>
      <w:r w:rsidRPr="00815BC1">
        <w:t>didate must demonstrate knowledge of:</w:t>
      </w:r>
    </w:p>
    <w:p w:rsidR="00000000" w:rsidRPr="00815BC1" w:rsidP="00815BC1">
      <w:pPr>
        <w:pStyle w:val="ListBullet"/>
      </w:pPr>
      <w:r w:rsidRPr="00815BC1">
        <w:t>Australian administrative law system applicable to the accessibility of small-scale buildings</w:t>
      </w:r>
    </w:p>
    <w:p w:rsidR="00000000" w:rsidRPr="00815BC1" w:rsidP="00815BC1">
      <w:pPr>
        <w:pStyle w:val="ListBullet"/>
      </w:pPr>
      <w:r w:rsidRPr="00815BC1">
        <w:t>building and construction terminology and definitions relevant to accessibility assessments of small-scale buildings</w:t>
      </w:r>
    </w:p>
    <w:p w:rsidR="00000000" w:rsidRPr="00815BC1" w:rsidP="00815BC1">
      <w:pPr>
        <w:pStyle w:val="ListBullet"/>
      </w:pPr>
      <w:r w:rsidRPr="00815BC1">
        <w:t>Commonwealth, state and territory legislation, regulations, standards and codes relevant to access consulting activities:</w:t>
      </w:r>
    </w:p>
    <w:p w:rsidR="00000000" w:rsidRPr="00815BC1" w:rsidP="00815BC1">
      <w:pPr>
        <w:pStyle w:val="ListBullet2"/>
      </w:pPr>
      <w:r w:rsidRPr="00815BC1">
        <w:t>anti-discrimination and disability discrimination</w:t>
      </w:r>
    </w:p>
    <w:p w:rsidR="00000000" w:rsidRPr="00815BC1" w:rsidP="00815BC1">
      <w:pPr>
        <w:pStyle w:val="ListBullet2"/>
      </w:pPr>
      <w:r w:rsidRPr="00815BC1">
        <w:t>building control including local government regulations and by-laws</w:t>
      </w:r>
    </w:p>
    <w:p w:rsidR="00000000" w:rsidRPr="00815BC1" w:rsidP="00815BC1">
      <w:pPr>
        <w:pStyle w:val="ListBullet2"/>
      </w:pPr>
      <w:r w:rsidRPr="00815BC1">
        <w:t>NCC building cl</w:t>
      </w:r>
      <w:r w:rsidRPr="00815BC1">
        <w:t>assifications and access requirements</w:t>
      </w:r>
    </w:p>
    <w:p w:rsidR="00000000" w:rsidRPr="00815BC1" w:rsidP="00815BC1">
      <w:pPr>
        <w:pStyle w:val="ListBullet2"/>
      </w:pPr>
      <w:r w:rsidRPr="00815BC1">
        <w:t>Disability (Access to Premises – Buildings) Standards 2010 under the Disability Discrimination Act 1992 (or their successors) – known as the Access to Premises Standards</w:t>
      </w:r>
    </w:p>
    <w:p w:rsidR="00000000" w:rsidRPr="00815BC1" w:rsidP="00815BC1">
      <w:pPr>
        <w:pStyle w:val="ListBullet2"/>
      </w:pPr>
      <w:r w:rsidRPr="00815BC1">
        <w:t>National Disability Insurance Scheme (NDIS) Spec</w:t>
      </w:r>
      <w:r w:rsidRPr="00815BC1">
        <w:t>ialist Disability Accommodation Design Standard (or its successor)</w:t>
      </w:r>
    </w:p>
    <w:p w:rsidR="00000000" w:rsidRPr="00815BC1" w:rsidP="00815BC1">
      <w:pPr>
        <w:pStyle w:val="ListBullet2"/>
      </w:pPr>
      <w:r w:rsidRPr="00815BC1">
        <w:t>Livable Housing Australia Livable Housing Design Guidelines (or its successor)</w:t>
      </w:r>
    </w:p>
    <w:p w:rsidR="00000000" w:rsidRPr="00815BC1" w:rsidP="00815BC1">
      <w:pPr>
        <w:pStyle w:val="ListBullet2"/>
      </w:pPr>
      <w:r w:rsidRPr="00815BC1">
        <w:t>principles of universal design</w:t>
      </w:r>
    </w:p>
    <w:p w:rsidR="00000000" w:rsidRPr="00815BC1" w:rsidP="00815BC1">
      <w:pPr>
        <w:pStyle w:val="ListBullet2"/>
      </w:pPr>
      <w:r w:rsidRPr="00815BC1">
        <w:t>privacy and confidentiality</w:t>
      </w:r>
    </w:p>
    <w:p w:rsidR="00000000" w:rsidRPr="00815BC1" w:rsidP="00815BC1">
      <w:pPr>
        <w:pStyle w:val="ListBullet"/>
      </w:pPr>
      <w:r w:rsidRPr="00815BC1">
        <w:t xml:space="preserve">industry codes of practice and ethics relevant to </w:t>
      </w:r>
      <w:r w:rsidRPr="00815BC1">
        <w:t>access consulting and definitions of:</w:t>
      </w:r>
    </w:p>
    <w:p w:rsidR="00000000" w:rsidRPr="00815BC1" w:rsidP="00815BC1">
      <w:pPr>
        <w:pStyle w:val="ListBullet2"/>
      </w:pPr>
      <w:r w:rsidRPr="00815BC1">
        <w:t>duty of care as it relates to common law</w:t>
      </w:r>
    </w:p>
    <w:p w:rsidR="00000000" w:rsidRPr="00815BC1" w:rsidP="00815BC1">
      <w:pPr>
        <w:pStyle w:val="ListBullet2"/>
      </w:pPr>
      <w:r w:rsidRPr="00815BC1">
        <w:t>conflict of interest</w:t>
      </w:r>
    </w:p>
    <w:p w:rsidR="00000000" w:rsidRPr="00815BC1" w:rsidP="00815BC1">
      <w:pPr>
        <w:pStyle w:val="ListBullet"/>
      </w:pPr>
      <w:r w:rsidRPr="00815BC1">
        <w:t>legal terminology, definitions, processes and procedures used in standard court operations</w:t>
      </w:r>
    </w:p>
    <w:p w:rsidR="00000000" w:rsidRPr="00815BC1" w:rsidP="00815BC1">
      <w:pPr>
        <w:pStyle w:val="ListBullet"/>
      </w:pPr>
      <w:r w:rsidRPr="00815BC1">
        <w:t>responsibilities and statutory duties of building certifiers</w:t>
      </w:r>
    </w:p>
    <w:p w:rsidR="00000000" w:rsidRPr="00815BC1" w:rsidP="00815BC1">
      <w:pPr>
        <w:pStyle w:val="ListBullet"/>
      </w:pPr>
      <w:r w:rsidRPr="00815BC1">
        <w:t>types of disability and limitations that each disability places on an individual’s ability to access the environment</w:t>
      </w:r>
    </w:p>
    <w:p w:rsidR="00000000" w:rsidRPr="00815BC1" w:rsidP="00815BC1">
      <w:pPr>
        <w:pStyle w:val="ListBullet"/>
      </w:pPr>
      <w:r w:rsidRPr="00815BC1">
        <w:t>workplace requirements for applying building control legislation to accessibility assessments of small-scale buildings:</w:t>
      </w:r>
    </w:p>
    <w:p w:rsidR="00000000" w:rsidRPr="00815BC1" w:rsidP="00815BC1">
      <w:pPr>
        <w:pStyle w:val="ListBullet2"/>
      </w:pPr>
      <w:r w:rsidRPr="00815BC1">
        <w:t xml:space="preserve">documentation and </w:t>
      </w:r>
      <w:r w:rsidRPr="00815BC1">
        <w:t>records administration</w:t>
      </w:r>
    </w:p>
    <w:p w:rsidR="00000000" w:rsidRPr="00815BC1" w:rsidP="00815BC1">
      <w:pPr>
        <w:pStyle w:val="ListBullet2"/>
      </w:pPr>
      <w:r w:rsidRPr="00815BC1">
        <w:t>quality</w:t>
      </w:r>
    </w:p>
    <w:p w:rsidR="00000000" w:rsidRPr="00815BC1" w:rsidP="00815BC1">
      <w:pPr>
        <w:pStyle w:val="ListBullet2"/>
      </w:pPr>
      <w:r w:rsidRPr="00815BC1">
        <w:t>work role boundaries - responsibilities, limitations and professional abilities.</w:t>
      </w:r>
    </w:p>
    <w:p w:rsidR="00000000" w:rsidRPr="00815BC1" w:rsidP="00815BC1">
      <w:pPr>
        <w:pStyle w:val="AllowPageBreak"/>
      </w:pPr>
    </w:p>
    <w:p w:rsidR="00000000" w:rsidRPr="00815BC1" w:rsidP="00815BC1">
      <w:pPr>
        <w:pStyle w:val="Heading1"/>
      </w:pPr>
      <w:bookmarkStart w:id="4" w:name="O_898223"/>
      <w:bookmarkEnd w:id="4"/>
      <w:r w:rsidRPr="00815BC1">
        <w:t>Assessment Conditions</w:t>
      </w:r>
    </w:p>
    <w:p w:rsidR="00000000" w:rsidRPr="00815BC1" w:rsidP="00D46643">
      <w:pPr>
        <w:pStyle w:val="BodyText"/>
      </w:pPr>
      <w:r w:rsidRPr="00815BC1">
        <w:t>Assessors must meet the requirements for assessors contained in the Standards for Registered Training Org</w:t>
      </w:r>
      <w:r w:rsidRPr="00815BC1">
        <w:t xml:space="preserve">anisations. </w:t>
      </w:r>
    </w:p>
    <w:p w:rsidR="00000000" w:rsidRPr="00815BC1" w:rsidP="00D46643">
      <w:pPr>
        <w:pStyle w:val="BodyText"/>
      </w:pPr>
      <w:r w:rsidRPr="00815BC1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815BC1" w:rsidP="00D46643">
      <w:pPr>
        <w:pStyle w:val="BodyText"/>
      </w:pPr>
      <w:r w:rsidRPr="00815BC1">
        <w:t>Candidates must have access to docume</w:t>
      </w:r>
      <w:r w:rsidRPr="00815BC1">
        <w:t>ntation, information and technologies required to achieve the performance criteria and performance evidence.</w:t>
      </w:r>
    </w:p>
    <w:p w:rsidR="00000000" w:rsidRPr="00815BC1" w:rsidP="00815BC1">
      <w:pPr>
        <w:pStyle w:val="Heading1"/>
      </w:pPr>
      <w:bookmarkStart w:id="5" w:name="O_898221"/>
      <w:bookmarkEnd w:id="5"/>
      <w:r w:rsidRPr="00815BC1">
        <w:t>Links</w:t>
      </w:r>
    </w:p>
    <w:p w:rsidR="00000000" w:rsidRPr="00815BC1" w:rsidP="00D46643">
      <w:pPr>
        <w:pStyle w:val="BodyText"/>
      </w:pPr>
      <w:r w:rsidRPr="00815B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7442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5BC1" w:rsidP="00815BC1"/>
    <w:sectPr w:rsidSect="00815B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C1" w:rsidRPr="00D46643" w:rsidP="00D46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43" w:rsidP="00815B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6643" w:rsidP="00815B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46643" w:rsidP="00815B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BC1" w:rsidRPr="00D46643" w:rsidP="00D46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B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43" w:rsidRPr="002D2AF8" w:rsidP="00815B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CPPACC4002 Apply building control legislation to accessibility assessment of small-scale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46643" w:rsidP="00815B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0F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32F0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E6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B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B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B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B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B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B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B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B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B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B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BC1"/>
  </w:style>
  <w:style w:type="character" w:customStyle="1" w:styleId="Heading1Char">
    <w:name w:val="Heading 1 Char"/>
    <w:basedOn w:val="DefaultParagraphFont"/>
    <w:link w:val="Heading1"/>
    <w:rsid w:val="00815B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B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B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B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B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B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B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B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B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B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B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B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B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B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B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B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B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B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B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B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B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B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B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B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B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BC1"/>
    <w:rPr>
      <w:b/>
      <w:spacing w:val="0"/>
    </w:rPr>
  </w:style>
  <w:style w:type="paragraph" w:customStyle="1" w:styleId="SuperTitle">
    <w:name w:val="SuperTitle"/>
    <w:basedOn w:val="Title"/>
    <w:rsid w:val="00815B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B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B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B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B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B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B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B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B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B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B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B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BC1"/>
    <w:rPr>
      <w:i/>
    </w:rPr>
  </w:style>
  <w:style w:type="paragraph" w:styleId="Caption">
    <w:name w:val="caption"/>
    <w:basedOn w:val="BodyText"/>
    <w:next w:val="Normal"/>
    <w:qFormat/>
    <w:rsid w:val="00815B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B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B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BC1"/>
  </w:style>
  <w:style w:type="paragraph" w:styleId="TableofFigures">
    <w:name w:val="table of figures"/>
    <w:basedOn w:val="Normal"/>
    <w:next w:val="Normal"/>
    <w:semiHidden/>
    <w:rsid w:val="00815B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B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BC1"/>
    <w:rPr>
      <w:rFonts w:ascii="Wingdings" w:hAnsi="Wingdings"/>
    </w:rPr>
  </w:style>
  <w:style w:type="paragraph" w:customStyle="1" w:styleId="TableHeading">
    <w:name w:val="Table Heading"/>
    <w:basedOn w:val="HeadingBase"/>
    <w:rsid w:val="00815B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BC1"/>
    <w:rPr>
      <w:color w:val="0033CC"/>
      <w:u w:val="none"/>
    </w:rPr>
  </w:style>
  <w:style w:type="paragraph" w:customStyle="1" w:styleId="BodyTextRight">
    <w:name w:val="Body Text Right"/>
    <w:basedOn w:val="BodyText"/>
    <w:rsid w:val="00815B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B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B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B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B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B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BC1"/>
    <w:rPr>
      <w:sz w:val="32"/>
    </w:rPr>
  </w:style>
  <w:style w:type="paragraph" w:customStyle="1" w:styleId="HeadingProcedure">
    <w:name w:val="Heading Procedure"/>
    <w:basedOn w:val="HeadingBase"/>
    <w:next w:val="Normal"/>
    <w:rsid w:val="00815B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BC1"/>
    <w:pPr>
      <w:spacing w:before="60" w:after="60"/>
    </w:pPr>
  </w:style>
  <w:style w:type="paragraph" w:styleId="ListContinue">
    <w:name w:val="List Continue"/>
    <w:basedOn w:val="List"/>
    <w:rsid w:val="00815BC1"/>
    <w:pPr>
      <w:ind w:firstLine="0"/>
    </w:pPr>
  </w:style>
  <w:style w:type="paragraph" w:customStyle="1" w:styleId="ListNote">
    <w:name w:val="List Note"/>
    <w:basedOn w:val="List"/>
    <w:rsid w:val="00815B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B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B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BC1"/>
    <w:rPr>
      <w:rFonts w:ascii="Courier New" w:hAnsi="Courier New"/>
    </w:rPr>
  </w:style>
  <w:style w:type="paragraph" w:customStyle="1" w:styleId="NoteBullet">
    <w:name w:val="Note Bullet"/>
    <w:basedOn w:val="Note"/>
    <w:rsid w:val="00815B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B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B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B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B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B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B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BC1"/>
    <w:rPr>
      <w:b/>
      <w:smallCaps/>
    </w:rPr>
  </w:style>
  <w:style w:type="paragraph" w:customStyle="1" w:styleId="TableListNumber">
    <w:name w:val="Table List Number"/>
    <w:basedOn w:val="ListNumber"/>
    <w:rsid w:val="00815B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B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BC1"/>
    <w:pPr>
      <w:numPr>
        <w:numId w:val="9"/>
      </w:numPr>
    </w:pPr>
  </w:style>
  <w:style w:type="paragraph" w:customStyle="1" w:styleId="ListAlpha2">
    <w:name w:val="List Alpha 2"/>
    <w:basedOn w:val="List2"/>
    <w:rsid w:val="00815BC1"/>
    <w:pPr>
      <w:numPr>
        <w:numId w:val="8"/>
      </w:numPr>
    </w:pPr>
  </w:style>
  <w:style w:type="paragraph" w:styleId="List2">
    <w:name w:val="List 2"/>
    <w:basedOn w:val="BodyText"/>
    <w:rsid w:val="00815B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B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B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B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B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B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BC1"/>
    <w:pPr>
      <w:numPr>
        <w:numId w:val="4"/>
      </w:numPr>
    </w:pPr>
  </w:style>
  <w:style w:type="paragraph" w:styleId="ListContinue2">
    <w:name w:val="List Continue 2"/>
    <w:basedOn w:val="List2"/>
    <w:rsid w:val="00815BC1"/>
    <w:pPr>
      <w:ind w:firstLine="0"/>
    </w:pPr>
  </w:style>
  <w:style w:type="paragraph" w:styleId="ListContinue3">
    <w:name w:val="List Continue 3"/>
    <w:basedOn w:val="List3"/>
    <w:rsid w:val="00815BC1"/>
    <w:pPr>
      <w:ind w:left="1021" w:firstLine="0"/>
    </w:pPr>
  </w:style>
  <w:style w:type="paragraph" w:styleId="ListContinue4">
    <w:name w:val="List Continue 4"/>
    <w:basedOn w:val="List4"/>
    <w:rsid w:val="00815BC1"/>
    <w:pPr>
      <w:ind w:firstLine="0"/>
    </w:pPr>
  </w:style>
  <w:style w:type="paragraph" w:styleId="ListContinue5">
    <w:name w:val="List Continue 5"/>
    <w:basedOn w:val="List5"/>
    <w:rsid w:val="00815BC1"/>
    <w:pPr>
      <w:ind w:firstLine="0"/>
    </w:pPr>
  </w:style>
  <w:style w:type="paragraph" w:styleId="ListNumber3">
    <w:name w:val="List Number 3"/>
    <w:basedOn w:val="List3"/>
    <w:rsid w:val="00815BC1"/>
    <w:pPr>
      <w:numPr>
        <w:numId w:val="5"/>
      </w:numPr>
    </w:pPr>
  </w:style>
  <w:style w:type="paragraph" w:styleId="ListNumber4">
    <w:name w:val="List Number 4"/>
    <w:basedOn w:val="List4"/>
    <w:rsid w:val="00815BC1"/>
    <w:pPr>
      <w:numPr>
        <w:numId w:val="6"/>
      </w:numPr>
    </w:pPr>
  </w:style>
  <w:style w:type="paragraph" w:styleId="ListNumber5">
    <w:name w:val="List Number 5"/>
    <w:basedOn w:val="List5"/>
    <w:rsid w:val="00815BC1"/>
    <w:pPr>
      <w:numPr>
        <w:numId w:val="7"/>
      </w:numPr>
    </w:pPr>
  </w:style>
  <w:style w:type="paragraph" w:styleId="BlockText">
    <w:name w:val="Block Text"/>
    <w:basedOn w:val="Normal"/>
    <w:rsid w:val="00815B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B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BC1"/>
    <w:rPr>
      <w:sz w:val="16"/>
      <w:vertAlign w:val="superscript"/>
    </w:rPr>
  </w:style>
  <w:style w:type="character" w:customStyle="1" w:styleId="Symbols">
    <w:name w:val="Symbols"/>
    <w:basedOn w:val="DefaultParagraphFont"/>
    <w:rsid w:val="00815BC1"/>
    <w:rPr>
      <w:rFonts w:ascii="Symbol" w:hAnsi="Symbol"/>
    </w:rPr>
  </w:style>
  <w:style w:type="character" w:customStyle="1" w:styleId="MenuOptions">
    <w:name w:val="Menu Options"/>
    <w:basedOn w:val="DefaultParagraphFont"/>
    <w:rsid w:val="00815B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BC1"/>
    <w:rPr>
      <w:b/>
    </w:rPr>
  </w:style>
  <w:style w:type="character" w:customStyle="1" w:styleId="Underlined">
    <w:name w:val="Underlined"/>
    <w:basedOn w:val="DefaultParagraphFont"/>
    <w:rsid w:val="00815BC1"/>
    <w:rPr>
      <w:u w:val="single"/>
    </w:rPr>
  </w:style>
  <w:style w:type="paragraph" w:customStyle="1" w:styleId="TableBodyTextRight">
    <w:name w:val="Table Body Text Right"/>
    <w:basedOn w:val="TableBodyText"/>
    <w:rsid w:val="00815B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BC1"/>
    <w:rPr>
      <w:sz w:val="18"/>
    </w:rPr>
  </w:style>
  <w:style w:type="paragraph" w:customStyle="1" w:styleId="BodySmallRight">
    <w:name w:val="Body Small Right"/>
    <w:basedOn w:val="BodyTextRight"/>
    <w:rsid w:val="00815BC1"/>
    <w:rPr>
      <w:sz w:val="18"/>
      <w:szCs w:val="18"/>
    </w:rPr>
  </w:style>
  <w:style w:type="paragraph" w:customStyle="1" w:styleId="MarginEdition">
    <w:name w:val="Margin Edition"/>
    <w:basedOn w:val="MarginNote"/>
    <w:rsid w:val="00815B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BC1"/>
    <w:rPr>
      <w:sz w:val="2"/>
      <w:szCs w:val="2"/>
    </w:rPr>
  </w:style>
  <w:style w:type="character" w:customStyle="1" w:styleId="Small">
    <w:name w:val="Small"/>
    <w:basedOn w:val="DefaultParagraphFont"/>
    <w:rsid w:val="00815BC1"/>
    <w:rPr>
      <w:sz w:val="16"/>
    </w:rPr>
  </w:style>
  <w:style w:type="paragraph" w:customStyle="1" w:styleId="WideTable">
    <w:name w:val="Wide Table"/>
    <w:basedOn w:val="Normal"/>
    <w:rsid w:val="00815B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BC1"/>
  </w:style>
  <w:style w:type="paragraph" w:styleId="Quote">
    <w:name w:val="Quote"/>
    <w:basedOn w:val="Heading1"/>
    <w:link w:val="QuoteChar"/>
    <w:qFormat/>
    <w:rsid w:val="00815B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B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BC1"/>
    <w:pPr>
      <w:pageBreakBefore/>
    </w:pPr>
  </w:style>
  <w:style w:type="paragraph" w:customStyle="1" w:styleId="Border">
    <w:name w:val="Border"/>
    <w:basedOn w:val="Normal"/>
    <w:qFormat/>
    <w:rsid w:val="00815B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B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B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B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B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B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B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B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B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BC1"/>
    <w:rPr>
      <w:u w:val="single"/>
    </w:rPr>
  </w:style>
  <w:style w:type="character" w:customStyle="1" w:styleId="BoldandItalics">
    <w:name w:val="Bold and Italics"/>
    <w:qFormat/>
    <w:rsid w:val="00815BC1"/>
    <w:rPr>
      <w:b/>
      <w:i/>
      <w:u w:val="none"/>
    </w:rPr>
  </w:style>
  <w:style w:type="paragraph" w:styleId="BalloonText">
    <w:name w:val="Balloon Text"/>
    <w:basedOn w:val="Normal"/>
    <w:link w:val="BalloonTextChar"/>
    <w:rsid w:val="00815B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B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B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B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B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B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BC1"/>
    <w:pPr>
      <w:spacing w:before="0" w:after="0"/>
    </w:pPr>
  </w:style>
  <w:style w:type="paragraph" w:customStyle="1" w:styleId="BodyTextBold">
    <w:name w:val="Body Text Bold"/>
    <w:basedOn w:val="BodyText"/>
    <w:qFormat/>
    <w:rsid w:val="00815BC1"/>
    <w:rPr>
      <w:b/>
    </w:rPr>
  </w:style>
  <w:style w:type="character" w:styleId="Hyperlink">
    <w:name w:val="Hyperlink"/>
    <w:basedOn w:val="DefaultParagraphFont"/>
    <w:uiPriority w:val="99"/>
    <w:unhideWhenUsed/>
    <w:rsid w:val="00D46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3051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CPPACC4002 Apply building control legislation to accessibility assessment of small-scale buildings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