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5DF1" w:rsidP="00065DF1">
      <w:pPr>
        <w:pStyle w:val="Title"/>
      </w:pPr>
      <w:r>
        <w:fldChar w:fldCharType="begin"/>
      </w:r>
      <w:r>
        <w:instrText xml:space="preserve"> TITLE   \* MERGEFORMAT </w:instrText>
      </w:r>
      <w:r>
        <w:fldChar w:fldCharType="separate"/>
      </w:r>
      <w:r>
        <w:t>CPCPRF3023A Fabricate and install external flashings</w:t>
      </w:r>
      <w:r>
        <w:fldChar w:fldCharType="end"/>
      </w:r>
    </w:p>
    <w:p w:rsidR="00065DF1" w:rsidP="00065DF1">
      <w:pPr>
        <w:pStyle w:val="Version"/>
        <w:sectPr w:rsidSect="00DF06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06FA" w:rsidP="00DF06FA">
      <w:pPr>
        <w:pStyle w:val="SuperHeading"/>
      </w:pPr>
      <w:r w:rsidRPr="00DF06FA">
        <w:t>CPCPRF3023A Fabricate and install external flashings</w:t>
      </w:r>
    </w:p>
    <w:p w:rsidR="00000000" w:rsidRPr="00DF06FA" w:rsidP="00DF06FA">
      <w:pPr>
        <w:pStyle w:val="Heading1"/>
      </w:pPr>
      <w:bookmarkStart w:id="1" w:name="O_513531"/>
      <w:bookmarkEnd w:id="1"/>
      <w:r w:rsidRPr="00DF06FA">
        <w:t>Modification History</w:t>
      </w:r>
    </w:p>
    <w:p w:rsidR="00000000" w:rsidRPr="00DF06FA" w:rsidP="00DF06FA">
      <w:pPr>
        <w:pStyle w:val="BodyText"/>
      </w:pPr>
      <w:r w:rsidRPr="00DF06FA">
        <w:t>Prerequisite unit changed</w:t>
      </w:r>
    </w:p>
    <w:p w:rsidR="00000000" w:rsidRPr="00DF06FA" w:rsidP="00DF06FA">
      <w:pPr>
        <w:pStyle w:val="BodyText"/>
      </w:pPr>
      <w:r w:rsidRPr="00DF06FA">
        <w:t>Changes to performance criteria, required skills and knowledge, range statement and critical aspects</w:t>
      </w:r>
    </w:p>
    <w:p w:rsidR="00000000" w:rsidRPr="00DF06FA" w:rsidP="00DF06FA">
      <w:pPr>
        <w:pStyle w:val="BodyText"/>
      </w:pPr>
      <w:r w:rsidRPr="00DF06FA">
        <w:t>Not equivalent to CPCPRF3013A</w:t>
      </w:r>
    </w:p>
    <w:p w:rsidR="00000000" w:rsidRPr="00DF06FA" w:rsidP="00DF06FA">
      <w:pPr>
        <w:pStyle w:val="AllowPageBreak"/>
      </w:pPr>
    </w:p>
    <w:p w:rsidR="00000000" w:rsidRPr="00DF06FA" w:rsidP="00DF06FA">
      <w:pPr>
        <w:pStyle w:val="Heading1"/>
      </w:pPr>
      <w:bookmarkStart w:id="2" w:name="O_513529"/>
      <w:bookmarkEnd w:id="2"/>
      <w:r w:rsidRPr="00DF06FA">
        <w:t>Unit Descriptor</w:t>
      </w:r>
    </w:p>
    <w:p w:rsidR="00000000" w:rsidRPr="00DF06FA" w:rsidP="00DF06FA">
      <w:pPr>
        <w:pStyle w:val="BodyText"/>
      </w:pPr>
      <w:r w:rsidRPr="00DF06FA">
        <w:t>This unit of competency specifies the</w:t>
      </w:r>
      <w:r w:rsidRPr="00DF06FA">
        <w:t xml:space="preserve"> outcomes required to fabricate and install external flashings for roof and ceiling installations.</w:t>
      </w:r>
    </w:p>
    <w:p w:rsidR="00000000" w:rsidRPr="00DF06FA" w:rsidP="00DF06FA">
      <w:pPr>
        <w:pStyle w:val="AllowPageBreak"/>
      </w:pPr>
    </w:p>
    <w:p w:rsidR="00000000" w:rsidRPr="00DF06FA" w:rsidP="00DF06FA">
      <w:pPr>
        <w:pStyle w:val="Heading1"/>
      </w:pPr>
      <w:bookmarkStart w:id="3" w:name="O_513518"/>
      <w:bookmarkEnd w:id="3"/>
      <w:r w:rsidRPr="00DF06FA">
        <w:t>Application of the Unit</w:t>
      </w:r>
    </w:p>
    <w:p w:rsidR="00000000" w:rsidRPr="00DF06FA" w:rsidP="00DF06FA">
      <w:pPr>
        <w:pStyle w:val="BodyText"/>
      </w:pPr>
      <w:r w:rsidRPr="00DF06FA">
        <w:t>Site location for work application may be either domestic or commercial and may be a new work site or an existing st</w:t>
      </w:r>
      <w:r w:rsidRPr="00DF06FA">
        <w:t>ructure being renovated, extended, restored or maintained.</w:t>
      </w:r>
    </w:p>
    <w:p w:rsidR="00000000" w:rsidRPr="00DF06FA" w:rsidP="00DF06FA">
      <w:pPr>
        <w:pStyle w:val="AllowPageBreak"/>
      </w:pPr>
    </w:p>
    <w:p w:rsidR="00000000" w:rsidRPr="00DF06FA" w:rsidP="00DF06FA">
      <w:pPr>
        <w:pStyle w:val="Heading1"/>
      </w:pPr>
      <w:bookmarkStart w:id="4" w:name="O_513525"/>
      <w:bookmarkEnd w:id="4"/>
      <w:r w:rsidRPr="00DF06FA">
        <w:t>Licensing/Regulatory Information</w:t>
      </w:r>
    </w:p>
    <w:p w:rsidR="00000000" w:rsidRPr="00DF06FA" w:rsidP="00DF06FA">
      <w:pPr>
        <w:pStyle w:val="BodyText"/>
      </w:pPr>
      <w:r w:rsidRPr="00DF06FA">
        <w:t>In some jurisdictions, this unit of competency may form part of accreditation, licensing, legislative, regulatory or certification requirements.</w:t>
      </w:r>
    </w:p>
    <w:p w:rsidR="00000000" w:rsidRPr="00DF06FA" w:rsidP="00DF06FA">
      <w:pPr>
        <w:pStyle w:val="AllowPageBreak"/>
      </w:pPr>
    </w:p>
    <w:p w:rsidR="00000000" w:rsidRPr="00DF06FA" w:rsidP="00DF06FA">
      <w:pPr>
        <w:pStyle w:val="Heading1"/>
      </w:pPr>
      <w:bookmarkStart w:id="5" w:name="O_513526"/>
      <w:bookmarkEnd w:id="5"/>
      <w:r w:rsidRPr="00DF06FA">
        <w:t>Pre-Requisites</w:t>
      </w:r>
    </w:p>
    <w:tbl>
      <w:tblPr>
        <w:tblW w:w="0" w:type="auto"/>
        <w:tblLayout w:type="fixed"/>
        <w:tblCellMar>
          <w:left w:w="62" w:type="dxa"/>
          <w:right w:w="62" w:type="dxa"/>
        </w:tblCellMar>
        <w:tblLook w:val="0000"/>
      </w:tblPr>
      <w:tblGrid>
        <w:gridCol w:w="2201"/>
        <w:gridCol w:w="6870"/>
      </w:tblGrid>
      <w:tr w:rsidTr="00DF06FA">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t>CPCPCM2043A</w:t>
            </w:r>
          </w:p>
        </w:tc>
        <w:tc>
          <w:tcPr>
            <w:tcW w:w="6870" w:type="dxa"/>
            <w:tcBorders>
              <w:top w:val="nil"/>
              <w:left w:val="nil"/>
              <w:bottom w:val="nil"/>
              <w:right w:val="nil"/>
            </w:tcBorders>
            <w:tcMar>
              <w:top w:w="0" w:type="dxa"/>
              <w:left w:w="62" w:type="dxa"/>
              <w:bottom w:w="0" w:type="dxa"/>
              <w:right w:w="62" w:type="dxa"/>
            </w:tcMar>
          </w:tcPr>
          <w:p w:rsidR="00000000" w:rsidRPr="00DF06FA" w:rsidP="00DF06FA">
            <w:pPr>
              <w:pStyle w:val="BodyText"/>
            </w:pPr>
            <w:r w:rsidRPr="00DF06FA">
              <w:t>Carry out WHS requirements</w:t>
            </w:r>
          </w:p>
        </w:tc>
      </w:tr>
    </w:tbl>
    <w:p w:rsidR="00000000" w:rsidRPr="00DF06FA" w:rsidP="00DF06FA">
      <w:pPr>
        <w:pStyle w:val="BodyText"/>
      </w:pPr>
    </w:p>
    <w:p w:rsidR="00000000" w:rsidRPr="00DF06FA" w:rsidP="00DF06FA">
      <w:pPr>
        <w:pStyle w:val="AllowPageBreak"/>
      </w:pPr>
    </w:p>
    <w:p w:rsidR="00000000" w:rsidRPr="00DF06FA" w:rsidP="00DF06FA">
      <w:pPr>
        <w:pStyle w:val="Heading1"/>
      </w:pPr>
      <w:bookmarkStart w:id="6" w:name="O_513522"/>
      <w:bookmarkEnd w:id="6"/>
      <w:r w:rsidRPr="00DF06FA">
        <w:t>Employability Skills Information</w:t>
      </w:r>
    </w:p>
    <w:p w:rsidR="00000000" w:rsidRPr="00DF06FA" w:rsidP="00DF06FA">
      <w:pPr>
        <w:pStyle w:val="BodyText"/>
      </w:pPr>
      <w:r w:rsidRPr="00DF06FA">
        <w:t>This unit contains employability skills.</w:t>
      </w:r>
    </w:p>
    <w:p w:rsidR="00000000" w:rsidRPr="00DF06FA" w:rsidP="00DF06FA">
      <w:pPr>
        <w:pStyle w:val="AllowPageBreak"/>
      </w:pPr>
    </w:p>
    <w:p w:rsidR="00000000" w:rsidRPr="00DF06FA" w:rsidP="00DF06FA">
      <w:pPr>
        <w:pStyle w:val="Heading1"/>
      </w:pPr>
      <w:bookmarkStart w:id="7" w:name="O_513521"/>
      <w:bookmarkEnd w:id="7"/>
      <w:r w:rsidRPr="00DF06FA">
        <w:t>Elements and Performance Criteria Pre-Content</w:t>
      </w:r>
    </w:p>
    <w:tbl>
      <w:tblPr>
        <w:tblW w:w="0" w:type="auto"/>
        <w:tblLayout w:type="fixed"/>
        <w:tblCellMar>
          <w:left w:w="62" w:type="dxa"/>
          <w:right w:w="62" w:type="dxa"/>
        </w:tblCellMar>
        <w:tblLook w:val="0000"/>
      </w:tblPr>
      <w:tblGrid>
        <w:gridCol w:w="2838"/>
        <w:gridCol w:w="5842"/>
      </w:tblGrid>
      <w:tr w:rsidTr="00DF06FA">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DF06FA" w:rsidP="00DF06FA">
            <w:pPr>
              <w:pStyle w:val="BodyText"/>
            </w:pPr>
            <w:r w:rsidRPr="00DF06FA">
              <w:t xml:space="preserve">Performance criteria describe the required performance needed to demonstrate achievement of the element. Where </w:t>
            </w:r>
            <w:r w:rsidRPr="00DF06FA">
              <w:rPr>
                <w:rStyle w:val="BoldandItalics"/>
              </w:rPr>
              <w:t>bold italicised</w:t>
            </w:r>
            <w:r w:rsidRPr="00DF06FA">
              <w:t xml:space="preserve"> text is used, further information is detailed in the required s</w:t>
            </w:r>
            <w:r w:rsidRPr="00DF06FA">
              <w:t>kills and knowledge and/or the range statement. Assessment of performance is to be consistent with the evidence guide.</w:t>
            </w:r>
          </w:p>
        </w:tc>
      </w:tr>
    </w:tbl>
    <w:p w:rsidR="00000000" w:rsidRPr="00DF06FA" w:rsidP="00DF06FA">
      <w:pPr>
        <w:pStyle w:val="BodyText"/>
      </w:pPr>
    </w:p>
    <w:p w:rsidR="00000000" w:rsidRPr="00DF06FA" w:rsidP="00DF06FA">
      <w:pPr>
        <w:pStyle w:val="AllowPageBreak"/>
      </w:pPr>
    </w:p>
    <w:p w:rsidR="00000000" w:rsidRPr="00DF06FA" w:rsidP="00DF06FA">
      <w:pPr>
        <w:pStyle w:val="Heading1"/>
      </w:pPr>
      <w:bookmarkStart w:id="8" w:name="O_513520"/>
      <w:bookmarkEnd w:id="8"/>
      <w:r w:rsidRPr="00DF06FA">
        <w:t>Elements and Performance Criteria</w:t>
      </w:r>
    </w:p>
    <w:p w:rsidR="00000000" w:rsidRPr="00DF06FA" w:rsidP="00DF06FA">
      <w:pPr>
        <w:pStyle w:val="BodyText"/>
      </w:pPr>
    </w:p>
    <w:tbl>
      <w:tblPr>
        <w:tblW w:w="0" w:type="auto"/>
        <w:tblLayout w:type="fixed"/>
        <w:tblCellMar>
          <w:left w:w="62" w:type="dxa"/>
          <w:right w:w="62" w:type="dxa"/>
        </w:tblCellMar>
        <w:tblLook w:val="0000"/>
      </w:tblPr>
      <w:tblGrid>
        <w:gridCol w:w="678"/>
        <w:gridCol w:w="1962"/>
        <w:gridCol w:w="770"/>
        <w:gridCol w:w="5610"/>
      </w:tblGrid>
      <w:tr w:rsidTr="00DF06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F06FA" w:rsidP="00DF06FA">
            <w:pPr>
              <w:pStyle w:val="BodyText"/>
            </w:pPr>
            <w:r w:rsidRPr="00DF06FA">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t>1.1</w:t>
            </w:r>
          </w:p>
        </w:tc>
        <w:tc>
          <w:tcPr>
            <w:tcW w:w="5610"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t>Plans and specifications are obtained and confirmed by site</w:t>
            </w:r>
            <w:r w:rsidRPr="00DF06FA">
              <w:t xml:space="preserve"> inspection.</w:t>
            </w:r>
          </w:p>
        </w:tc>
      </w:tr>
      <w:tr w:rsidTr="00DF06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F06FA" w:rsidP="00DF06FA">
            <w:pPr>
              <w:pStyle w:val="BodyText"/>
            </w:pPr>
            <w:r w:rsidRPr="00DF06FA">
              <w:t>1.2</w:t>
            </w:r>
          </w:p>
        </w:tc>
        <w:tc>
          <w:tcPr>
            <w:tcW w:w="5610"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rPr>
                <w:rStyle w:val="BoldandItalics"/>
              </w:rPr>
              <w:t xml:space="preserve">Work health and safety </w:t>
            </w:r>
            <w:r w:rsidRPr="00DF06FA">
              <w:t xml:space="preserve">(WHS) and </w:t>
            </w:r>
            <w:r w:rsidRPr="00DF06FA">
              <w:rPr>
                <w:rStyle w:val="BoldandItalics"/>
              </w:rPr>
              <w:t>environmental requirements</w:t>
            </w:r>
            <w:r w:rsidRPr="00DF06FA">
              <w:t xml:space="preserve"> associated with fabricating and installing external flashings are adhered to throughout the work. </w:t>
            </w:r>
          </w:p>
        </w:tc>
      </w:tr>
      <w:tr w:rsidTr="00DF06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F06FA" w:rsidP="00DF06FA">
            <w:pPr>
              <w:pStyle w:val="BodyText"/>
            </w:pPr>
            <w:r w:rsidRPr="00DF06FA">
              <w:t>1.3</w:t>
            </w:r>
          </w:p>
        </w:tc>
        <w:tc>
          <w:tcPr>
            <w:tcW w:w="5610"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rPr>
                <w:rStyle w:val="BoldandItalics"/>
              </w:rPr>
              <w:t>Quality assurance requirements</w:t>
            </w:r>
            <w:r w:rsidRPr="00DF06FA">
              <w:t xml:space="preserve"> are identified and adhered to according to workplace requirements. </w:t>
            </w:r>
          </w:p>
        </w:tc>
      </w:tr>
      <w:tr w:rsidTr="00DF06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t>1.4</w:t>
            </w:r>
          </w:p>
        </w:tc>
        <w:tc>
          <w:tcPr>
            <w:tcW w:w="5610"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t xml:space="preserve">Tasks are planned and sequenced in conjunction with others involved in or affected by the work and </w:t>
            </w:r>
            <w:r w:rsidRPr="00DF06FA">
              <w:rPr>
                <w:rStyle w:val="BoldandItalics"/>
              </w:rPr>
              <w:t>statutory and regulatory authorities’</w:t>
            </w:r>
            <w:r w:rsidRPr="00DF06FA">
              <w:t xml:space="preserve"> requirements. </w:t>
            </w:r>
          </w:p>
        </w:tc>
      </w:tr>
      <w:tr w:rsidTr="00DF06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F06FA" w:rsidP="00DF06FA">
            <w:pPr>
              <w:pStyle w:val="BodyText"/>
            </w:pPr>
            <w:r w:rsidRPr="00DF06FA">
              <w:t>1.5</w:t>
            </w:r>
          </w:p>
        </w:tc>
        <w:tc>
          <w:tcPr>
            <w:tcW w:w="5610"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rPr>
                <w:rStyle w:val="BoldandItalics"/>
              </w:rPr>
              <w:t>Tools and equipment</w:t>
            </w:r>
            <w:r w:rsidRPr="00DF06FA">
              <w:t xml:space="preserve">, including personal protective equipment, are selected and checked for serviceability. </w:t>
            </w:r>
          </w:p>
        </w:tc>
      </w:tr>
      <w:tr w:rsidTr="00DF06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t>1.6</w:t>
            </w:r>
          </w:p>
        </w:tc>
        <w:tc>
          <w:tcPr>
            <w:tcW w:w="5610" w:type="dxa"/>
            <w:tcBorders>
              <w:top w:val="nil"/>
              <w:left w:val="nil"/>
              <w:bottom w:val="nil"/>
              <w:right w:val="nil"/>
            </w:tcBorders>
            <w:tcMar>
              <w:top w:w="0" w:type="dxa"/>
              <w:left w:w="62" w:type="dxa"/>
              <w:bottom w:w="0" w:type="dxa"/>
              <w:right w:w="62" w:type="dxa"/>
            </w:tcMar>
          </w:tcPr>
          <w:p w:rsidR="00000000" w:rsidRPr="00DF06FA" w:rsidP="00DF06FA">
            <w:pPr>
              <w:pStyle w:val="BodyText"/>
            </w:pPr>
            <w:r w:rsidRPr="00DF06FA">
              <w:t xml:space="preserve">Work area is prepared to support efficient fabrication and installation of </w:t>
            </w:r>
            <w:r w:rsidRPr="00DF06FA">
              <w:rPr>
                <w:rStyle w:val="BoldandItalics"/>
              </w:rPr>
              <w:t>external flashings</w:t>
            </w:r>
            <w:r w:rsidRPr="00DF06FA">
              <w:t xml:space="preserve">. </w:t>
            </w:r>
          </w:p>
        </w:tc>
      </w:tr>
    </w:tbl>
    <w:p w:rsidR="00000000" w:rsidRPr="00DF06FA" w:rsidP="00DF06FA">
      <w:pPr>
        <w:pStyle w:val="BodyText"/>
      </w:pPr>
    </w:p>
    <w:tbl>
      <w:tblPr>
        <w:tblW w:w="0" w:type="auto"/>
        <w:tblLayout w:type="fixed"/>
        <w:tblCellMar>
          <w:left w:w="62" w:type="dxa"/>
          <w:right w:w="62" w:type="dxa"/>
        </w:tblCellMar>
        <w:tblLook w:val="0000"/>
      </w:tblPr>
      <w:tblGrid>
        <w:gridCol w:w="678"/>
        <w:gridCol w:w="1962"/>
        <w:gridCol w:w="770"/>
        <w:gridCol w:w="5610"/>
      </w:tblGrid>
      <w:tr w:rsidTr="00DF06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F06FA" w:rsidP="00DF06FA">
            <w:pPr>
              <w:pStyle w:val="BodyText"/>
            </w:pPr>
            <w:r w:rsidRPr="00DF06FA">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rPr>
                <w:rStyle w:val="SpecialBold"/>
              </w:rPr>
              <w:t>Identify installation requirements.</w:t>
            </w:r>
          </w:p>
        </w:tc>
        <w:tc>
          <w:tcPr>
            <w:tcW w:w="770"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t>2.1</w:t>
            </w:r>
          </w:p>
        </w:tc>
        <w:tc>
          <w:tcPr>
            <w:tcW w:w="5610"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t>External flashings t</w:t>
            </w:r>
            <w:r w:rsidRPr="00DF06FA">
              <w:t xml:space="preserve">o be installed are identified and working drawings and patterns are developed from job drawings, plans, specifications, site measurements and relevant </w:t>
            </w:r>
            <w:r w:rsidRPr="00DF06FA">
              <w:rPr>
                <w:rStyle w:val="BoldandItalics"/>
              </w:rPr>
              <w:t>information</w:t>
            </w:r>
            <w:r w:rsidRPr="00DF06FA">
              <w:t xml:space="preserve">. </w:t>
            </w:r>
          </w:p>
        </w:tc>
      </w:tr>
      <w:tr w:rsidTr="00DF06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F06FA" w:rsidP="00DF06FA">
            <w:pPr>
              <w:pStyle w:val="BodyText"/>
            </w:pPr>
            <w:r w:rsidRPr="00DF06FA">
              <w:t>2.2</w:t>
            </w:r>
          </w:p>
        </w:tc>
        <w:tc>
          <w:tcPr>
            <w:tcW w:w="5610"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rPr>
                <w:rStyle w:val="BoldandItalics"/>
              </w:rPr>
              <w:t>Materials</w:t>
            </w:r>
            <w:r w:rsidRPr="00DF06FA">
              <w:t xml:space="preserve">, coatings, fixings, sealants and fasteners are checked for compliance with plans, specifications and standards and are compatible with adjacent materials and catchment. </w:t>
            </w:r>
          </w:p>
        </w:tc>
      </w:tr>
      <w:tr w:rsidTr="00DF06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t>2.3</w:t>
            </w:r>
          </w:p>
        </w:tc>
        <w:tc>
          <w:tcPr>
            <w:tcW w:w="5610"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t>Materials are identified, ordered and collected according to workplace procedu</w:t>
            </w:r>
            <w:r w:rsidRPr="00DF06FA">
              <w:t>res.</w:t>
            </w:r>
          </w:p>
        </w:tc>
      </w:tr>
      <w:tr w:rsidTr="00DF06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t>2.4</w:t>
            </w:r>
          </w:p>
        </w:tc>
        <w:tc>
          <w:tcPr>
            <w:tcW w:w="5610" w:type="dxa"/>
            <w:tcBorders>
              <w:top w:val="nil"/>
              <w:left w:val="nil"/>
              <w:bottom w:val="nil"/>
              <w:right w:val="nil"/>
            </w:tcBorders>
            <w:tcMar>
              <w:top w:w="0" w:type="dxa"/>
              <w:left w:w="62" w:type="dxa"/>
              <w:bottom w:w="0" w:type="dxa"/>
              <w:right w:w="62" w:type="dxa"/>
            </w:tcMar>
          </w:tcPr>
          <w:p w:rsidR="00000000" w:rsidRPr="00DF06FA" w:rsidP="00DF06FA">
            <w:pPr>
              <w:pStyle w:val="BodyText"/>
            </w:pPr>
            <w:r w:rsidRPr="00DF06FA">
              <w:t xml:space="preserve">Materials and equipment are checked for compliance with docket and order form and for acceptable condition, and </w:t>
            </w:r>
            <w:r w:rsidRPr="00DF06FA">
              <w:rPr>
                <w:rStyle w:val="BoldandItalics"/>
              </w:rPr>
              <w:t>faults are reported</w:t>
            </w:r>
            <w:r w:rsidRPr="00DF06FA">
              <w:t xml:space="preserve">. </w:t>
            </w:r>
          </w:p>
        </w:tc>
      </w:tr>
    </w:tbl>
    <w:p w:rsidR="00000000" w:rsidRPr="00DF06FA" w:rsidP="00DF06FA">
      <w:pPr>
        <w:pStyle w:val="BodyText"/>
      </w:pPr>
    </w:p>
    <w:tbl>
      <w:tblPr>
        <w:tblW w:w="0" w:type="auto"/>
        <w:tblLayout w:type="fixed"/>
        <w:tblCellMar>
          <w:left w:w="62" w:type="dxa"/>
          <w:right w:w="62" w:type="dxa"/>
        </w:tblCellMar>
        <w:tblLook w:val="0000"/>
      </w:tblPr>
      <w:tblGrid>
        <w:gridCol w:w="678"/>
        <w:gridCol w:w="1962"/>
        <w:gridCol w:w="770"/>
        <w:gridCol w:w="5610"/>
      </w:tblGrid>
      <w:tr w:rsidTr="00DF06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F06FA" w:rsidP="00DF06FA">
            <w:pPr>
              <w:pStyle w:val="BodyText"/>
            </w:pPr>
            <w:r w:rsidRPr="00DF06FA">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rPr>
                <w:rStyle w:val="SpecialBold"/>
              </w:rPr>
              <w:t>Fabricate and install external flashings.</w:t>
            </w:r>
          </w:p>
        </w:tc>
        <w:tc>
          <w:tcPr>
            <w:tcW w:w="770"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t>3.1</w:t>
            </w:r>
          </w:p>
        </w:tc>
        <w:tc>
          <w:tcPr>
            <w:tcW w:w="5610"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t>External flashings are fabricated in compliance with standards, plans, specifications and site measurements.</w:t>
            </w:r>
          </w:p>
        </w:tc>
      </w:tr>
      <w:tr w:rsidTr="00DF06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t>3.2</w:t>
            </w:r>
          </w:p>
        </w:tc>
        <w:tc>
          <w:tcPr>
            <w:tcW w:w="5610"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t>Support framework is set out where required and fixed to comply with plans, specifications and manufacturer recommendations.</w:t>
            </w:r>
          </w:p>
        </w:tc>
      </w:tr>
      <w:tr w:rsidTr="00DF06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t>3.3</w:t>
            </w:r>
          </w:p>
        </w:tc>
        <w:tc>
          <w:tcPr>
            <w:tcW w:w="5610"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t xml:space="preserve">Thermal </w:t>
            </w:r>
            <w:r w:rsidRPr="00DF06FA">
              <w:t>insulation, where required, is set and fixed according to plans, specifications and cladding manufacturer's recommendations.</w:t>
            </w:r>
          </w:p>
        </w:tc>
      </w:tr>
      <w:tr w:rsidTr="00DF06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F06FA" w:rsidP="00DF06FA">
            <w:pPr>
              <w:pStyle w:val="BodyText"/>
            </w:pPr>
            <w:r w:rsidRPr="00DF06FA">
              <w:t>3.4</w:t>
            </w:r>
          </w:p>
        </w:tc>
        <w:tc>
          <w:tcPr>
            <w:tcW w:w="5610" w:type="dxa"/>
            <w:tcBorders>
              <w:top w:val="nil"/>
              <w:left w:val="nil"/>
              <w:bottom w:val="nil"/>
              <w:right w:val="nil"/>
            </w:tcBorders>
            <w:tcMar>
              <w:top w:w="0" w:type="dxa"/>
              <w:left w:w="62" w:type="dxa"/>
              <w:bottom w:w="0" w:type="dxa"/>
              <w:right w:w="62" w:type="dxa"/>
            </w:tcMar>
          </w:tcPr>
          <w:p w:rsidR="00000000" w:rsidRPr="00DF06FA" w:rsidP="00DF06FA">
            <w:pPr>
              <w:pStyle w:val="BodyText"/>
            </w:pPr>
            <w:r w:rsidRPr="00DF06FA">
              <w:rPr>
                <w:rStyle w:val="BoldandItalics"/>
              </w:rPr>
              <w:t xml:space="preserve">Sustainability principles and concepts </w:t>
            </w:r>
            <w:r w:rsidRPr="00DF06FA">
              <w:t>are applied throughout the installation.</w:t>
            </w:r>
          </w:p>
        </w:tc>
      </w:tr>
    </w:tbl>
    <w:p w:rsidR="00000000" w:rsidRPr="00DF06FA" w:rsidP="00DF06FA">
      <w:pPr>
        <w:pStyle w:val="BodyText"/>
      </w:pPr>
    </w:p>
    <w:tbl>
      <w:tblPr>
        <w:tblW w:w="0" w:type="auto"/>
        <w:tblLayout w:type="fixed"/>
        <w:tblCellMar>
          <w:left w:w="62" w:type="dxa"/>
          <w:right w:w="62" w:type="dxa"/>
        </w:tblCellMar>
        <w:tblLook w:val="0000"/>
      </w:tblPr>
      <w:tblGrid>
        <w:gridCol w:w="678"/>
        <w:gridCol w:w="1962"/>
        <w:gridCol w:w="770"/>
        <w:gridCol w:w="5610"/>
      </w:tblGrid>
      <w:tr w:rsidTr="00DF06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F06FA" w:rsidP="00DF06FA">
            <w:pPr>
              <w:pStyle w:val="BodyText"/>
            </w:pPr>
            <w:r w:rsidRPr="00DF06FA">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rPr>
                <w:rStyle w:val="SpecialBold"/>
              </w:rPr>
              <w:t>Clean up.</w:t>
            </w:r>
          </w:p>
        </w:tc>
        <w:tc>
          <w:tcPr>
            <w:tcW w:w="770"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t>4.1</w:t>
            </w:r>
          </w:p>
        </w:tc>
        <w:tc>
          <w:tcPr>
            <w:tcW w:w="5610"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t>Work area is cleared and materials disposed of, reused or recycled according to legislation, regulations, codes of practice and job specification.</w:t>
            </w:r>
          </w:p>
        </w:tc>
      </w:tr>
      <w:tr w:rsidTr="00DF06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t>4.2</w:t>
            </w:r>
          </w:p>
        </w:tc>
        <w:tc>
          <w:tcPr>
            <w:tcW w:w="5610"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t xml:space="preserve">Tools and equipment are cleaned, </w:t>
            </w:r>
            <w:r w:rsidRPr="00DF06FA">
              <w:t>checked, maintained and stored according to manufacturer recommendations and workplace procedures.</w:t>
            </w:r>
          </w:p>
        </w:tc>
      </w:tr>
      <w:tr w:rsidTr="00DF06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t>4.3</w:t>
            </w:r>
          </w:p>
        </w:tc>
        <w:tc>
          <w:tcPr>
            <w:tcW w:w="5610" w:type="dxa"/>
            <w:tcBorders>
              <w:top w:val="nil"/>
              <w:left w:val="nil"/>
              <w:bottom w:val="nil"/>
              <w:right w:val="nil"/>
            </w:tcBorders>
            <w:tcMar>
              <w:top w:w="0" w:type="dxa"/>
              <w:left w:w="62" w:type="dxa"/>
              <w:bottom w:w="0" w:type="dxa"/>
              <w:right w:w="62" w:type="dxa"/>
            </w:tcMar>
          </w:tcPr>
          <w:p w:rsidR="00000000" w:rsidRPr="00DF06FA" w:rsidP="00DF06FA">
            <w:pPr>
              <w:pStyle w:val="BodyText"/>
            </w:pPr>
            <w:r w:rsidRPr="00DF06FA">
              <w:t>Documentation is completed according to workplace requirements.</w:t>
            </w:r>
          </w:p>
        </w:tc>
      </w:tr>
    </w:tbl>
    <w:p w:rsidR="00065DF1" w:rsidP="00DF06FA">
      <w:pPr>
        <w:pStyle w:val="BodyText"/>
      </w:pPr>
    </w:p>
    <w:p w:rsidR="00065DF1" w:rsidP="00DF06FA">
      <w:pPr>
        <w:pStyle w:val="BodyText"/>
      </w:pPr>
    </w:p>
    <w:p w:rsidR="00000000" w:rsidRPr="00DF06FA" w:rsidP="00DF06FA">
      <w:pPr>
        <w:pStyle w:val="Heading1"/>
      </w:pPr>
      <w:bookmarkStart w:id="9" w:name="O_513528"/>
      <w:bookmarkEnd w:id="9"/>
      <w:r w:rsidRPr="00DF06FA">
        <w:t>Required Skills and Knowledge</w:t>
      </w:r>
    </w:p>
    <w:tbl>
      <w:tblPr>
        <w:tblW w:w="0" w:type="auto"/>
        <w:tblLayout w:type="fixed"/>
        <w:tblCellMar>
          <w:left w:w="62" w:type="dxa"/>
          <w:right w:w="62" w:type="dxa"/>
        </w:tblCellMar>
        <w:tblLook w:val="0000"/>
      </w:tblPr>
      <w:tblGrid>
        <w:gridCol w:w="9179"/>
      </w:tblGrid>
      <w:tr w:rsidTr="00DF06FA">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t>This section describes the skills an</w:t>
            </w:r>
            <w:r w:rsidRPr="00DF06FA">
              <w:t>d knowledge required for this unit.</w:t>
            </w:r>
          </w:p>
        </w:tc>
      </w:tr>
      <w:tr w:rsidTr="00DF06FA">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rPr>
                <w:rStyle w:val="SpecialBold"/>
              </w:rPr>
              <w:t>Required skills</w:t>
            </w:r>
          </w:p>
        </w:tc>
      </w:tr>
      <w:tr w:rsidTr="00DF06FA">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DF06FA" w:rsidP="00DF06FA">
            <w:pPr>
              <w:pStyle w:val="ListBullet"/>
            </w:pPr>
            <w:r w:rsidRPr="00DF06FA">
              <w:t>communication skills to:</w:t>
            </w:r>
          </w:p>
          <w:p w:rsidR="00000000" w:rsidRPr="00DF06FA" w:rsidP="00DF06FA">
            <w:pPr>
              <w:pStyle w:val="ListBullet2"/>
            </w:pPr>
            <w:r w:rsidRPr="00DF06FA">
              <w:t>access information</w:t>
            </w:r>
          </w:p>
          <w:p w:rsidR="00000000" w:rsidRPr="00DF06FA" w:rsidP="00DF06FA">
            <w:pPr>
              <w:pStyle w:val="ListBullet2"/>
            </w:pPr>
            <w:r w:rsidRPr="00DF06FA">
              <w:t>determine requirements</w:t>
            </w:r>
          </w:p>
          <w:p w:rsidR="00000000" w:rsidRPr="00DF06FA" w:rsidP="00DF06FA">
            <w:pPr>
              <w:pStyle w:val="ListBullet2"/>
            </w:pPr>
            <w:r w:rsidRPr="00DF06FA">
              <w:t>enable clear and direct communication, using questioning to identify and confirm requirements, share information, listen and understand</w:t>
            </w:r>
          </w:p>
          <w:p w:rsidR="00000000" w:rsidRPr="00DF06FA" w:rsidP="00DF06FA">
            <w:pPr>
              <w:pStyle w:val="ListBullet2"/>
            </w:pPr>
            <w:r w:rsidRPr="00DF06FA">
              <w:t>follow instructions</w:t>
            </w:r>
          </w:p>
          <w:p w:rsidR="00000000" w:rsidRPr="00DF06FA" w:rsidP="00DF06FA">
            <w:pPr>
              <w:pStyle w:val="ListBullet2"/>
            </w:pPr>
            <w:r w:rsidRPr="00DF06FA">
              <w:t>report faults</w:t>
            </w:r>
          </w:p>
          <w:p w:rsidR="00000000" w:rsidRPr="00DF06FA" w:rsidP="00DF06FA">
            <w:pPr>
              <w:pStyle w:val="ListBullet2"/>
            </w:pPr>
            <w:r w:rsidRPr="00DF06FA">
              <w:t>use language and concepts appropriate to cultural differences</w:t>
            </w:r>
          </w:p>
          <w:p w:rsidR="00000000" w:rsidRPr="00DF06FA" w:rsidP="00DF06FA">
            <w:pPr>
              <w:pStyle w:val="ListBullet2"/>
            </w:pPr>
            <w:r w:rsidRPr="00DF06FA">
              <w:t>use and interpret non-ve</w:t>
            </w:r>
            <w:r w:rsidRPr="00DF06FA">
              <w:t>rbal communication, such as hand signals</w:t>
            </w:r>
          </w:p>
          <w:p w:rsidR="00000000" w:rsidRPr="00DF06FA" w:rsidP="00DF06FA">
            <w:pPr>
              <w:pStyle w:val="ListBullet"/>
            </w:pPr>
            <w:r w:rsidRPr="00DF06FA">
              <w:t>initiative and enterprise skills to identify and accurately report to appropriate personnel any faults in tools, equipment or materials</w:t>
            </w:r>
          </w:p>
          <w:p w:rsidR="00000000" w:rsidRPr="00DF06FA" w:rsidP="00DF06FA">
            <w:pPr>
              <w:pStyle w:val="ListBullet"/>
            </w:pPr>
            <w:r w:rsidRPr="00DF06FA">
              <w:t>literacy skills to:</w:t>
            </w:r>
          </w:p>
          <w:p w:rsidR="00000000" w:rsidRPr="00DF06FA" w:rsidP="00DF06FA">
            <w:pPr>
              <w:pStyle w:val="ListBullet2"/>
            </w:pPr>
            <w:r w:rsidRPr="00DF06FA">
              <w:t>complete workplace documentation</w:t>
            </w:r>
          </w:p>
          <w:p w:rsidR="00000000" w:rsidRPr="00DF06FA" w:rsidP="00DF06FA">
            <w:pPr>
              <w:pStyle w:val="ListBullet2"/>
            </w:pPr>
            <w:r w:rsidRPr="00DF06FA">
              <w:t>read and interpret:</w:t>
            </w:r>
          </w:p>
          <w:p w:rsidR="00000000" w:rsidRPr="00DF06FA" w:rsidP="00DF06FA">
            <w:pPr>
              <w:pStyle w:val="ListBullet3"/>
            </w:pPr>
            <w:r w:rsidRPr="00DF06FA">
              <w:t>documentation from a variety of sources</w:t>
            </w:r>
          </w:p>
          <w:p w:rsidR="00000000" w:rsidRPr="00DF06FA" w:rsidP="00DF06FA">
            <w:pPr>
              <w:pStyle w:val="ListBullet3"/>
            </w:pPr>
            <w:r w:rsidRPr="00DF06FA">
              <w:t>plans and specifications</w:t>
            </w:r>
          </w:p>
          <w:p w:rsidR="00000000" w:rsidRPr="00DF06FA" w:rsidP="00DF06FA">
            <w:pPr>
              <w:pStyle w:val="ListBullet"/>
            </w:pPr>
            <w:r w:rsidRPr="00DF06FA">
              <w:t>numeracy skills to apply measurements and calculations</w:t>
            </w:r>
          </w:p>
          <w:p w:rsidR="00000000" w:rsidRPr="00DF06FA" w:rsidP="00DF06FA">
            <w:pPr>
              <w:pStyle w:val="ListBullet"/>
            </w:pPr>
            <w:r w:rsidRPr="00DF06FA">
              <w:t>planning and organising skills to:</w:t>
            </w:r>
          </w:p>
          <w:p w:rsidR="00000000" w:rsidRPr="00DF06FA" w:rsidP="00DF06FA">
            <w:pPr>
              <w:pStyle w:val="ListBullet2"/>
            </w:pPr>
            <w:r w:rsidRPr="00DF06FA">
              <w:t>plan and sequence tasks with others</w:t>
            </w:r>
          </w:p>
          <w:p w:rsidR="00000000" w:rsidRPr="00DF06FA" w:rsidP="00DF06FA">
            <w:pPr>
              <w:pStyle w:val="ListBullet2"/>
            </w:pPr>
            <w:r w:rsidRPr="00DF06FA">
              <w:t>plan and set out work</w:t>
            </w:r>
          </w:p>
          <w:p w:rsidR="00000000" w:rsidRPr="00DF06FA" w:rsidP="00DF06FA">
            <w:pPr>
              <w:pStyle w:val="ListBullet"/>
            </w:pPr>
            <w:r w:rsidRPr="00DF06FA">
              <w:t>teamwork skills to work with others to action tasks and relate to people from a range of cultural and ethnic backgrounds and with varying physical and mental abilities</w:t>
            </w:r>
          </w:p>
          <w:p w:rsidR="00000000" w:rsidRPr="00DF06FA" w:rsidP="00DF06FA">
            <w:pPr>
              <w:pStyle w:val="ListBullet"/>
            </w:pPr>
            <w:r w:rsidRPr="00DF06FA">
              <w:t>technology skills to:</w:t>
            </w:r>
          </w:p>
          <w:p w:rsidR="00000000" w:rsidRPr="00DF06FA" w:rsidP="00DF06FA">
            <w:pPr>
              <w:pStyle w:val="ListBullet2"/>
            </w:pPr>
            <w:r w:rsidRPr="00DF06FA">
              <w:t xml:space="preserve">access and understand site-specific instructions in a variety of </w:t>
            </w:r>
            <w:r w:rsidRPr="00DF06FA">
              <w:t>media</w:t>
            </w:r>
          </w:p>
          <w:p w:rsidR="00000000" w:rsidRPr="00DF06FA" w:rsidP="00DF06FA">
            <w:pPr>
              <w:pStyle w:val="ListBullet2"/>
            </w:pPr>
            <w:r w:rsidRPr="00DF06FA">
              <w:t>use mobile communication technology</w:t>
            </w:r>
          </w:p>
          <w:p w:rsidR="00000000" w:rsidP="00DF06FA">
            <w:pPr>
              <w:pStyle w:val="BodyText"/>
              <w:rPr>
                <w:lang w:val="en-NZ"/>
              </w:rPr>
            </w:pPr>
          </w:p>
        </w:tc>
      </w:tr>
      <w:tr w:rsidTr="00DF06FA">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rPr>
                <w:rStyle w:val="SpecialBold"/>
              </w:rPr>
              <w:t>Required knowledge</w:t>
            </w:r>
          </w:p>
        </w:tc>
      </w:tr>
      <w:tr w:rsidTr="00DF06FA">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DF06FA" w:rsidP="00DF06FA">
            <w:pPr>
              <w:pStyle w:val="ListBullet"/>
            </w:pPr>
            <w:r w:rsidRPr="00DF06FA">
              <w:t>capillary action, thermal expansion and fabrication techniques to prevent leaking installations</w:t>
            </w:r>
          </w:p>
          <w:p w:rsidR="00000000" w:rsidRPr="00DF06FA" w:rsidP="00DF06FA">
            <w:pPr>
              <w:pStyle w:val="ListBullet"/>
            </w:pPr>
            <w:r w:rsidRPr="00DF06FA">
              <w:t>corrosion prevention treatment requirements of cut sheets</w:t>
            </w:r>
          </w:p>
          <w:p w:rsidR="00000000" w:rsidRPr="00DF06FA" w:rsidP="00DF06FA">
            <w:pPr>
              <w:pStyle w:val="ListBullet"/>
            </w:pPr>
            <w:r w:rsidRPr="00DF06FA">
              <w:t>design concepts and performance measures for various external flashings</w:t>
            </w:r>
          </w:p>
          <w:p w:rsidR="00000000" w:rsidRPr="00DF06FA" w:rsidP="00DF06FA">
            <w:pPr>
              <w:pStyle w:val="ListBullet"/>
            </w:pPr>
            <w:r w:rsidRPr="00DF06FA">
              <w:t>electrolysis and problems associated with the use of dissimilar metals</w:t>
            </w:r>
          </w:p>
          <w:p w:rsidR="00000000" w:rsidRPr="00DF06FA" w:rsidP="00DF06FA">
            <w:pPr>
              <w:pStyle w:val="ListBullet"/>
            </w:pPr>
            <w:r w:rsidRPr="00DF06FA">
              <w:t>job safety analysis (JSA) and safe work method statements (SWMS)</w:t>
            </w:r>
          </w:p>
          <w:p w:rsidR="00000000" w:rsidRPr="00DF06FA" w:rsidP="00DF06FA">
            <w:pPr>
              <w:pStyle w:val="ListBullet"/>
            </w:pPr>
            <w:r w:rsidRPr="00DF06FA">
              <w:t>processes of fabricating and installing external</w:t>
            </w:r>
            <w:r w:rsidRPr="00DF06FA">
              <w:t xml:space="preserve"> flashings</w:t>
            </w:r>
          </w:p>
          <w:p w:rsidR="00000000" w:rsidRPr="00DF06FA" w:rsidP="00DF06FA">
            <w:pPr>
              <w:pStyle w:val="ListBullet"/>
            </w:pPr>
            <w:r w:rsidRPr="00DF06FA">
              <w:t>relevant WHS regulations and fall protection codes and requirements</w:t>
            </w:r>
          </w:p>
          <w:p w:rsidR="00000000" w:rsidRPr="00DF06FA" w:rsidP="00DF06FA">
            <w:pPr>
              <w:pStyle w:val="ListBullet"/>
            </w:pPr>
            <w:r w:rsidRPr="00DF06FA">
              <w:t>relevant statutory requirements related to installing external flashings</w:t>
            </w:r>
          </w:p>
          <w:p w:rsidR="00000000" w:rsidRPr="00DF06FA" w:rsidP="00DF06FA">
            <w:pPr>
              <w:pStyle w:val="ListBullet"/>
            </w:pPr>
            <w:r w:rsidRPr="00DF06FA">
              <w:t>SI system of measurement</w:t>
            </w:r>
          </w:p>
          <w:p w:rsidR="00000000" w:rsidRPr="00DF06FA" w:rsidP="00DF06FA">
            <w:pPr>
              <w:pStyle w:val="ListBullet"/>
            </w:pPr>
            <w:r w:rsidRPr="00DF06FA">
              <w:t>types of fasteners, fixings and sealants and their application to the fabricati</w:t>
            </w:r>
            <w:r w:rsidRPr="00DF06FA">
              <w:t>on and installation of external flashings</w:t>
            </w:r>
          </w:p>
        </w:tc>
      </w:tr>
    </w:tbl>
    <w:p w:rsidR="00000000" w:rsidRPr="00DF06FA" w:rsidP="00DF06FA">
      <w:pPr>
        <w:pStyle w:val="BodyText"/>
      </w:pPr>
    </w:p>
    <w:p w:rsidR="00000000" w:rsidRPr="00DF06FA" w:rsidP="00DF06FA">
      <w:pPr>
        <w:pStyle w:val="AllowPageBreak"/>
      </w:pPr>
    </w:p>
    <w:p w:rsidR="00000000" w:rsidRPr="00DF06FA" w:rsidP="00DF06FA">
      <w:pPr>
        <w:pStyle w:val="Heading1"/>
      </w:pPr>
      <w:bookmarkStart w:id="10" w:name="O_513523"/>
      <w:bookmarkEnd w:id="10"/>
      <w:r w:rsidRPr="00DF06FA">
        <w:t>Evidence Guide</w:t>
      </w:r>
    </w:p>
    <w:tbl>
      <w:tblPr>
        <w:tblW w:w="0" w:type="auto"/>
        <w:tblLayout w:type="fixed"/>
        <w:tblCellMar>
          <w:left w:w="62" w:type="dxa"/>
          <w:right w:w="62" w:type="dxa"/>
        </w:tblCellMar>
        <w:tblLook w:val="0000"/>
      </w:tblPr>
      <w:tblGrid>
        <w:gridCol w:w="3675"/>
        <w:gridCol w:w="5504"/>
      </w:tblGrid>
      <w:tr w:rsidTr="00DF06FA">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DF06FA">
            <w:pPr>
              <w:pStyle w:val="BodyText"/>
              <w:rPr>
                <w:lang w:val="en-NZ"/>
              </w:rPr>
            </w:pPr>
            <w:r w:rsidRPr="00DF06FA">
              <w:t xml:space="preserve">The evidence guide provides advice on assessment and must be read in conjunction with the performance criteria, required skills and knowledge, </w:t>
            </w:r>
            <w:r w:rsidRPr="00DF06FA">
              <w:t>range statement and the Assessment Guidelines for the Training Package.</w:t>
            </w:r>
          </w:p>
        </w:tc>
      </w:tr>
      <w:tr w:rsidTr="00DF06FA">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rPr>
                <w:rStyle w:val="SpecialBold"/>
              </w:rPr>
              <w:t>Overview of assessment</w:t>
            </w:r>
          </w:p>
        </w:tc>
        <w:tc>
          <w:tcPr>
            <w:tcW w:w="5504" w:type="dxa"/>
            <w:tcBorders>
              <w:top w:val="nil"/>
              <w:left w:val="nil"/>
              <w:bottom w:val="nil"/>
              <w:right w:val="nil"/>
            </w:tcBorders>
            <w:tcMar>
              <w:top w:w="0" w:type="dxa"/>
              <w:left w:w="62" w:type="dxa"/>
              <w:bottom w:w="0" w:type="dxa"/>
              <w:right w:w="62" w:type="dxa"/>
            </w:tcMar>
          </w:tcPr>
          <w:p w:rsidR="00000000" w:rsidRPr="00DF06FA" w:rsidP="00DF06FA">
            <w:pPr>
              <w:pStyle w:val="BodyText"/>
            </w:pPr>
            <w:r w:rsidRPr="00DF06FA">
              <w:t>This unit of competency could be assessed in the workplace or a close simulation of the workplace environment providing that simulated or project-based assessm</w:t>
            </w:r>
            <w:r w:rsidRPr="00DF06FA">
              <w:t xml:space="preserve">ent techniques fully replicate plumbing and services workplace conditions, materials, activities, responsibilities and procedures. </w:t>
            </w:r>
          </w:p>
          <w:p w:rsidR="00000000" w:rsidP="00DF06FA">
            <w:pPr>
              <w:pStyle w:val="BodyText"/>
              <w:rPr>
                <w:lang w:val="en-NZ"/>
              </w:rPr>
            </w:pPr>
          </w:p>
        </w:tc>
      </w:tr>
      <w:tr w:rsidTr="00DF06FA">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rPr>
                <w:rStyle w:val="SpecialBold"/>
              </w:rPr>
              <w:t>Critical aspects for assessment and evidence required to demonstrate competency in this unit</w:t>
            </w:r>
          </w:p>
        </w:tc>
        <w:tc>
          <w:tcPr>
            <w:tcW w:w="5504" w:type="dxa"/>
            <w:tcBorders>
              <w:top w:val="nil"/>
              <w:left w:val="nil"/>
              <w:bottom w:val="nil"/>
              <w:right w:val="nil"/>
            </w:tcBorders>
            <w:tcMar>
              <w:top w:w="0" w:type="dxa"/>
              <w:left w:w="62" w:type="dxa"/>
              <w:bottom w:w="0" w:type="dxa"/>
              <w:right w:w="62" w:type="dxa"/>
            </w:tcMar>
          </w:tcPr>
          <w:p w:rsidR="00000000" w:rsidRPr="00DF06FA" w:rsidP="00DF06FA">
            <w:pPr>
              <w:pStyle w:val="BodyText"/>
            </w:pPr>
            <w:r w:rsidRPr="00DF06FA">
              <w:t>A person who demonstrates com</w:t>
            </w:r>
            <w:r w:rsidRPr="00DF06FA">
              <w:t>petency in this unit must be able to provide evidence of:</w:t>
            </w:r>
          </w:p>
          <w:p w:rsidR="00000000" w:rsidRPr="00DF06FA" w:rsidP="00DF06FA">
            <w:pPr>
              <w:pStyle w:val="ListBullet"/>
            </w:pPr>
            <w:r w:rsidRPr="00DF06FA">
              <w:t>locating, interpreting and applying relevant information, standards and specifications to the fabrication and installation of external flashings</w:t>
            </w:r>
          </w:p>
          <w:p w:rsidR="00000000" w:rsidRPr="00DF06FA" w:rsidP="00DF06FA">
            <w:pPr>
              <w:pStyle w:val="ListBullet"/>
            </w:pPr>
            <w:r w:rsidRPr="00DF06FA">
              <w:t>applying safety requirements throughout the work sequence, including the use of personal protective clothing and equipment</w:t>
            </w:r>
          </w:p>
          <w:p w:rsidR="00000000" w:rsidRPr="00DF06FA" w:rsidP="00DF06FA">
            <w:pPr>
              <w:pStyle w:val="ListBullet"/>
            </w:pPr>
            <w:r w:rsidRPr="00DF06FA">
              <w:t>given the plans and specifications:</w:t>
            </w:r>
          </w:p>
          <w:p w:rsidR="00000000" w:rsidRPr="00DF06FA" w:rsidP="00DF06FA">
            <w:pPr>
              <w:pStyle w:val="ListBullet2"/>
            </w:pPr>
            <w:r w:rsidRPr="00DF06FA">
              <w:t>fabricate and install a minimum of 2 square metres of metal ceiling and associated soffits</w:t>
            </w:r>
          </w:p>
          <w:p w:rsidR="00000000" w:rsidRPr="00DF06FA" w:rsidP="00DF06FA">
            <w:pPr>
              <w:pStyle w:val="ListBullet2"/>
            </w:pPr>
            <w:r w:rsidRPr="00DF06FA">
              <w:t>fabri</w:t>
            </w:r>
            <w:r w:rsidRPr="00DF06FA">
              <w:t>cate and install metal flashings to include an apron, parapet, apron wall, hanging and step, each up to a length of 1.5 metres</w:t>
            </w:r>
          </w:p>
          <w:p w:rsidR="00000000" w:rsidRPr="00DF06FA" w:rsidP="00DF06FA">
            <w:pPr>
              <w:pStyle w:val="ListBullet2"/>
            </w:pPr>
            <w:r w:rsidRPr="00DF06FA">
              <w:t>install a metal fascia up to 2 metres in length, including one external angle and one internal angle</w:t>
            </w:r>
          </w:p>
          <w:p w:rsidR="00000000" w:rsidRPr="00DF06FA" w:rsidP="00DF06FA">
            <w:pPr>
              <w:pStyle w:val="ListBullet2"/>
            </w:pPr>
            <w:r w:rsidRPr="00DF06FA">
              <w:t>all fabrication and installa</w:t>
            </w:r>
            <w:r w:rsidRPr="00DF06FA">
              <w:t>tion, ensuring:</w:t>
            </w:r>
          </w:p>
          <w:p w:rsidR="00000000" w:rsidRPr="00DF06FA" w:rsidP="00DF06FA">
            <w:pPr>
              <w:pStyle w:val="ListBullet3"/>
            </w:pPr>
            <w:r w:rsidRPr="00DF06FA">
              <w:t>application of sustainability principles and concepts throughout the installation</w:t>
            </w:r>
          </w:p>
          <w:p w:rsidR="00000000" w:rsidRPr="00DF06FA" w:rsidP="00DF06FA">
            <w:pPr>
              <w:pStyle w:val="ListBullet3"/>
            </w:pPr>
            <w:r w:rsidRPr="00DF06FA">
              <w:t>correct identification of requirements and details of the proposed installations</w:t>
            </w:r>
          </w:p>
          <w:p w:rsidR="00000000" w:rsidRPr="00DF06FA" w:rsidP="00DF06FA">
            <w:pPr>
              <w:pStyle w:val="ListBullet3"/>
            </w:pPr>
            <w:r w:rsidRPr="00DF06FA">
              <w:t>correct fit of the completed installation</w:t>
            </w:r>
          </w:p>
          <w:p w:rsidR="00000000" w:rsidRPr="00DF06FA" w:rsidP="00DF06FA">
            <w:pPr>
              <w:pStyle w:val="ListBullet3"/>
            </w:pPr>
            <w:r w:rsidRPr="00DF06FA">
              <w:t>correc</w:t>
            </w:r>
            <w:r w:rsidRPr="00DF06FA">
              <w:t>t selection and use of appropriate processes, tools and equipment</w:t>
            </w:r>
          </w:p>
          <w:p w:rsidR="00000000" w:rsidRPr="00DF06FA" w:rsidP="00DF06FA">
            <w:pPr>
              <w:pStyle w:val="ListBullet3"/>
            </w:pPr>
            <w:r w:rsidRPr="00DF06FA">
              <w:t>completing all work to specification</w:t>
            </w:r>
          </w:p>
          <w:p w:rsidR="00000000" w:rsidRPr="00DF06FA" w:rsidP="00DF06FA">
            <w:pPr>
              <w:pStyle w:val="ListBullet3"/>
            </w:pPr>
            <w:r w:rsidRPr="00DF06FA">
              <w:t>compliance with regulations, standards and organisational quality procedures and processes</w:t>
            </w:r>
          </w:p>
          <w:p w:rsidR="00000000" w:rsidRPr="00DF06FA" w:rsidP="00DF06FA">
            <w:pPr>
              <w:pStyle w:val="ListBullet3"/>
            </w:pPr>
            <w:r w:rsidRPr="00DF06FA">
              <w:t>communicating and working effectively and safely with others.</w:t>
            </w:r>
          </w:p>
          <w:p w:rsidR="00000000" w:rsidP="00DF06FA">
            <w:pPr>
              <w:pStyle w:val="BodyText"/>
              <w:rPr>
                <w:lang w:val="en-NZ"/>
              </w:rPr>
            </w:pPr>
          </w:p>
        </w:tc>
      </w:tr>
      <w:tr w:rsidTr="00DF06FA">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rPr>
                <w:rStyle w:val="SpecialBold"/>
              </w:rPr>
              <w:t>Context of and specific resources for assessment</w:t>
            </w:r>
          </w:p>
        </w:tc>
        <w:tc>
          <w:tcPr>
            <w:tcW w:w="5504" w:type="dxa"/>
            <w:tcBorders>
              <w:top w:val="nil"/>
              <w:left w:val="nil"/>
              <w:bottom w:val="nil"/>
              <w:right w:val="nil"/>
            </w:tcBorders>
            <w:tcMar>
              <w:top w:w="0" w:type="dxa"/>
              <w:left w:w="62" w:type="dxa"/>
              <w:bottom w:w="0" w:type="dxa"/>
              <w:right w:w="62" w:type="dxa"/>
            </w:tcMar>
          </w:tcPr>
          <w:p w:rsidR="00000000" w:rsidRPr="00DF06FA" w:rsidP="00DF06FA">
            <w:pPr>
              <w:pStyle w:val="BodyText"/>
            </w:pPr>
            <w:r w:rsidRPr="00DF06FA">
              <w:t xml:space="preserve">This competency is to be assessed using standard and authorised work practices, safety requirements and </w:t>
            </w:r>
            <w:r w:rsidRPr="00DF06FA">
              <w:t>environmental constraints.</w:t>
            </w:r>
          </w:p>
          <w:p w:rsidR="00000000" w:rsidRPr="00DF06FA" w:rsidP="00DF06FA">
            <w:pPr>
              <w:pStyle w:val="BodyText"/>
            </w:pPr>
            <w:r w:rsidRPr="00DF06FA">
              <w:t>Assessment of essential underpinning knowledge will usually be conducted i</w:t>
            </w:r>
            <w:r w:rsidRPr="00DF06FA">
              <w:t>n an off-site context.</w:t>
            </w:r>
          </w:p>
          <w:p w:rsidR="00000000" w:rsidRPr="00DF06FA" w:rsidP="00DF06FA">
            <w:pPr>
              <w:pStyle w:val="BodyText"/>
            </w:pPr>
            <w:r w:rsidRPr="00DF06FA">
              <w:t>Assessment is to comply with relevant regulatory or Australian standards’ requirements.</w:t>
            </w:r>
          </w:p>
          <w:p w:rsidR="00000000" w:rsidRPr="00DF06FA" w:rsidP="00DF06FA">
            <w:pPr>
              <w:pStyle w:val="BodyText"/>
            </w:pPr>
            <w:r w:rsidRPr="00DF06FA">
              <w:t>Resource implications for assessment include:</w:t>
            </w:r>
          </w:p>
          <w:p w:rsidR="00000000" w:rsidRPr="00DF06FA" w:rsidP="00DF06FA">
            <w:pPr>
              <w:pStyle w:val="ListBullet"/>
            </w:pPr>
            <w:r w:rsidRPr="00DF06FA">
              <w:t>an induction procedure and requirement</w:t>
            </w:r>
          </w:p>
          <w:p w:rsidR="00000000" w:rsidRPr="00DF06FA" w:rsidP="00DF06FA">
            <w:pPr>
              <w:pStyle w:val="ListBullet"/>
            </w:pPr>
            <w:r w:rsidRPr="00DF06FA">
              <w:t>realistic tasks or simulated tasks covering the minimum task requirements</w:t>
            </w:r>
          </w:p>
          <w:p w:rsidR="00000000" w:rsidRPr="00DF06FA" w:rsidP="00DF06FA">
            <w:pPr>
              <w:pStyle w:val="ListBullet"/>
            </w:pPr>
            <w:r w:rsidRPr="00DF06FA">
              <w:t>relevant specifications and work instructions</w:t>
            </w:r>
          </w:p>
          <w:p w:rsidR="00000000" w:rsidRPr="00DF06FA" w:rsidP="00DF06FA">
            <w:pPr>
              <w:pStyle w:val="ListBullet"/>
            </w:pPr>
            <w:r w:rsidRPr="00DF06FA">
              <w:t>tools and equipment appropriate to applying safe work practices</w:t>
            </w:r>
          </w:p>
          <w:p w:rsidR="00000000" w:rsidRPr="00DF06FA" w:rsidP="00DF06FA">
            <w:pPr>
              <w:pStyle w:val="ListBullet"/>
            </w:pPr>
            <w:r w:rsidRPr="00DF06FA">
              <w:t>support materials appropriate to activity</w:t>
            </w:r>
          </w:p>
          <w:p w:rsidR="00000000" w:rsidRPr="00DF06FA" w:rsidP="00DF06FA">
            <w:pPr>
              <w:pStyle w:val="ListBullet"/>
            </w:pPr>
            <w:r w:rsidRPr="00DF06FA">
              <w:t>workplace instructions relatin</w:t>
            </w:r>
            <w:r w:rsidRPr="00DF06FA">
              <w:t>g to safe working practices and addressing hazards and emergencies</w:t>
            </w:r>
          </w:p>
          <w:p w:rsidR="00000000" w:rsidRPr="00DF06FA" w:rsidP="00DF06FA">
            <w:pPr>
              <w:pStyle w:val="ListBullet"/>
            </w:pPr>
            <w:r w:rsidRPr="00DF06FA">
              <w:t>material safety data sheets</w:t>
            </w:r>
          </w:p>
          <w:p w:rsidR="00000000" w:rsidRPr="00DF06FA" w:rsidP="00DF06FA">
            <w:pPr>
              <w:pStyle w:val="ListBullet"/>
            </w:pPr>
            <w:r w:rsidRPr="00DF06FA">
              <w:t>research resources, including industry-related systems information.</w:t>
            </w:r>
          </w:p>
          <w:p w:rsidR="00000000" w:rsidRPr="00DF06FA" w:rsidP="00DF06FA">
            <w:pPr>
              <w:pStyle w:val="BodyText"/>
            </w:pPr>
            <w:r w:rsidRPr="00DF06FA">
              <w:t>Reasonable adjustments for people with disabilities must be made to assessment processes wher</w:t>
            </w:r>
            <w:r w:rsidRPr="00DF06FA">
              <w:t xml:space="preserve">e required. This could include access to modified equipment and other physical resources, and the provision of appropriate assessment support. </w:t>
            </w:r>
          </w:p>
          <w:p w:rsidR="00000000" w:rsidP="00DF06FA">
            <w:pPr>
              <w:pStyle w:val="BodyText"/>
              <w:rPr>
                <w:lang w:val="en-NZ"/>
              </w:rPr>
            </w:pPr>
          </w:p>
        </w:tc>
      </w:tr>
      <w:tr w:rsidTr="00DF06FA">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rPr>
                <w:rStyle w:val="SpecialBold"/>
              </w:rPr>
              <w:t>Method of assessment</w:t>
            </w:r>
          </w:p>
        </w:tc>
        <w:tc>
          <w:tcPr>
            <w:tcW w:w="5504" w:type="dxa"/>
            <w:tcBorders>
              <w:top w:val="nil"/>
              <w:left w:val="nil"/>
              <w:bottom w:val="nil"/>
              <w:right w:val="nil"/>
            </w:tcBorders>
            <w:tcMar>
              <w:top w:w="0" w:type="dxa"/>
              <w:left w:w="62" w:type="dxa"/>
              <w:bottom w:w="0" w:type="dxa"/>
              <w:right w:w="62" w:type="dxa"/>
            </w:tcMar>
          </w:tcPr>
          <w:p w:rsidR="00000000" w:rsidRPr="00DF06FA" w:rsidP="00DF06FA">
            <w:pPr>
              <w:pStyle w:val="BodyText"/>
            </w:pPr>
            <w:r w:rsidRPr="00DF06FA">
              <w:t>Assessment methods must:</w:t>
            </w:r>
          </w:p>
          <w:p w:rsidR="00000000" w:rsidRPr="00DF06FA" w:rsidP="00DF06FA">
            <w:pPr>
              <w:pStyle w:val="ListBullet"/>
            </w:pPr>
            <w:r w:rsidRPr="00DF06FA">
              <w:t>satisfy the endorsed Assessment Guidelines of the Construction,</w:t>
            </w:r>
            <w:r w:rsidRPr="00DF06FA">
              <w:t xml:space="preserve"> Plumbing and Services Training Package</w:t>
            </w:r>
          </w:p>
          <w:p w:rsidR="00000000" w:rsidRPr="00DF06FA" w:rsidP="00DF06FA">
            <w:pPr>
              <w:pStyle w:val="ListBullet"/>
            </w:pPr>
            <w:r w:rsidRPr="00DF06FA">
              <w:t>include direct observation of tasks in real or simulated work conditions, with questioning to confirm the ability to consistently identify and correctly interpret the essential underpinning knowledge required for pra</w:t>
            </w:r>
            <w:r w:rsidRPr="00DF06FA">
              <w:t>ctical application</w:t>
            </w:r>
          </w:p>
          <w:p w:rsidR="00000000" w:rsidRPr="00DF06FA" w:rsidP="00DF06FA">
            <w:pPr>
              <w:pStyle w:val="ListBullet"/>
            </w:pPr>
            <w:r w:rsidRPr="00DF06FA">
              <w:t>reinforce the integration of employability skills with workplace tasks and job roles</w:t>
            </w:r>
          </w:p>
          <w:p w:rsidR="00000000" w:rsidRPr="00DF06FA" w:rsidP="00DF06FA">
            <w:pPr>
              <w:pStyle w:val="ListBullet"/>
            </w:pPr>
            <w:r w:rsidRPr="00DF06FA">
              <w:t>confirm that competency is verified and able to be transferred to other circumstances and environments.</w:t>
            </w:r>
          </w:p>
          <w:p w:rsidR="00000000" w:rsidRPr="00DF06FA" w:rsidP="00DF06FA">
            <w:pPr>
              <w:pStyle w:val="BodyText"/>
            </w:pPr>
            <w:r w:rsidRPr="00DF06FA">
              <w:t>Validity and sufficiency of evidence requires that:</w:t>
            </w:r>
          </w:p>
          <w:p w:rsidR="00000000" w:rsidRPr="00DF06FA" w:rsidP="00DF06FA">
            <w:pPr>
              <w:pStyle w:val="ListBullet"/>
            </w:pPr>
            <w:r w:rsidRPr="00DF06FA">
              <w:t>competency will need to be demonstrated over a period of time reflecting the scope of the role and the practical requirements of the workplace</w:t>
            </w:r>
          </w:p>
          <w:p w:rsidR="00000000" w:rsidRPr="00DF06FA" w:rsidP="00DF06FA">
            <w:pPr>
              <w:pStyle w:val="ListBullet"/>
            </w:pPr>
            <w:r w:rsidRPr="00DF06FA">
              <w:t>where the assessment is part of a structured learning experi</w:t>
            </w:r>
            <w:r w:rsidRPr="00DF06FA">
              <w:t xml:space="preserve">ence the evidence collected must relate to a number of performances assessed at different points in time and separated by further learning and practice, with a decision on competency only taken at the point when the assessor has complete confidence in the </w:t>
            </w:r>
            <w:r w:rsidRPr="00DF06FA">
              <w:t>person's demonstrated ability and applied knowledge</w:t>
            </w:r>
          </w:p>
          <w:p w:rsidR="00000000" w:rsidRPr="00DF06FA" w:rsidP="00DF06FA">
            <w:pPr>
              <w:pStyle w:val="ListBullet"/>
            </w:pPr>
            <w:r w:rsidRPr="00DF06FA">
              <w:t>all assessment that is part of a structured learning experience must include a combination of direct, indirect and supplementary evidence.</w:t>
            </w:r>
          </w:p>
          <w:p w:rsidR="00000000" w:rsidRPr="00DF06FA" w:rsidP="00DF06FA">
            <w:pPr>
              <w:pStyle w:val="BodyText"/>
            </w:pPr>
            <w:r w:rsidRPr="00DF06FA">
              <w:t>Assessment processes and techniques should as far as is practical</w:t>
            </w:r>
            <w:r w:rsidRPr="00DF06FA">
              <w:t xml:space="preserve"> take into account the language, literacy and </w:t>
            </w:r>
            <w:r w:rsidRPr="00DF06FA">
              <w:t>numeracy capacity of the candidate in relation to the competency being assessed.</w:t>
            </w:r>
          </w:p>
          <w:p w:rsidR="00000000" w:rsidRPr="00DF06FA" w:rsidP="00DF06FA">
            <w:pPr>
              <w:pStyle w:val="BodyText"/>
            </w:pPr>
            <w:r w:rsidRPr="00DF06FA">
              <w:t>Supplementary evidence of competency may be obtained from relevant authenticated documentation from third parties, such as existi</w:t>
            </w:r>
            <w:r w:rsidRPr="00DF06FA">
              <w:t xml:space="preserve">ng supervisors, team leaders or specialist training staff. </w:t>
            </w:r>
          </w:p>
        </w:tc>
      </w:tr>
    </w:tbl>
    <w:p w:rsidR="00065DF1" w:rsidP="00DF06FA">
      <w:pPr>
        <w:pStyle w:val="BodyText"/>
      </w:pPr>
    </w:p>
    <w:p w:rsidR="00065DF1" w:rsidP="00DF06FA">
      <w:pPr>
        <w:pStyle w:val="BodyText"/>
      </w:pPr>
    </w:p>
    <w:p w:rsidR="00000000" w:rsidRPr="00DF06FA" w:rsidP="00DF06FA">
      <w:pPr>
        <w:pStyle w:val="Heading1"/>
      </w:pPr>
      <w:bookmarkStart w:id="11" w:name="O_513527"/>
      <w:bookmarkEnd w:id="11"/>
      <w:r w:rsidRPr="00DF06FA">
        <w:t>Range Statement</w:t>
      </w:r>
    </w:p>
    <w:tbl>
      <w:tblPr>
        <w:tblW w:w="0" w:type="auto"/>
        <w:tblLayout w:type="fixed"/>
        <w:tblCellMar>
          <w:left w:w="62" w:type="dxa"/>
          <w:right w:w="62" w:type="dxa"/>
        </w:tblCellMar>
        <w:tblLook w:val="0000"/>
      </w:tblPr>
      <w:tblGrid>
        <w:gridCol w:w="3691"/>
        <w:gridCol w:w="5488"/>
      </w:tblGrid>
      <w:tr w:rsidTr="00DF06FA">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DF06FA">
            <w:pPr>
              <w:pStyle w:val="BodyText"/>
              <w:rPr>
                <w:lang w:val="en-NZ"/>
              </w:rPr>
            </w:pPr>
            <w:r w:rsidRPr="00DF06FA">
              <w:t xml:space="preserve">The range statement relates to the unit of competency as a whole. It allows for different work environments and situations that may affect performance. </w:t>
            </w:r>
            <w:r w:rsidRPr="00DF06FA">
              <w:rPr>
                <w:rStyle w:val="BoldandItalics"/>
              </w:rPr>
              <w:t>Bold ita</w:t>
            </w:r>
            <w:r w:rsidRPr="00DF06FA">
              <w:rPr>
                <w:rStyle w:val="BoldandItalics"/>
              </w:rPr>
              <w:t>licised</w:t>
            </w:r>
            <w:r w:rsidRPr="00DF06FA">
              <w:t xml:space="preserve"> wording, if used in the performance criteria, is detailed below. Essential operating conditions that may be present with training and assessment (depending on the work situation, needs of the candidate, accessibility of the item, and local industry</w:t>
            </w:r>
            <w:r w:rsidRPr="00DF06FA">
              <w:t xml:space="preserve"> and regional contexts) may also be included.</w:t>
            </w:r>
          </w:p>
        </w:tc>
      </w:tr>
      <w:tr w:rsidTr="00DF06FA">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rPr>
                <w:rStyle w:val="BoldandItalics"/>
              </w:rPr>
              <w:t>Work health and safety</w:t>
            </w:r>
            <w:r w:rsidRPr="00DF06FA">
              <w:t xml:space="preserve"> is to be according to commonwealth, state and territory legislation and regulations and may include:</w:t>
            </w:r>
          </w:p>
        </w:tc>
        <w:tc>
          <w:tcPr>
            <w:tcW w:w="5488" w:type="dxa"/>
            <w:tcBorders>
              <w:top w:val="nil"/>
              <w:left w:val="nil"/>
              <w:bottom w:val="nil"/>
              <w:right w:val="nil"/>
            </w:tcBorders>
            <w:tcMar>
              <w:top w:w="0" w:type="dxa"/>
              <w:left w:w="62" w:type="dxa"/>
              <w:bottom w:w="0" w:type="dxa"/>
              <w:right w:w="62" w:type="dxa"/>
            </w:tcMar>
          </w:tcPr>
          <w:p w:rsidR="00000000" w:rsidRPr="00DF06FA" w:rsidP="00DF06FA">
            <w:pPr>
              <w:pStyle w:val="ListBullet"/>
            </w:pPr>
            <w:r w:rsidRPr="00DF06FA">
              <w:t>handling of materials</w:t>
            </w:r>
          </w:p>
          <w:p w:rsidR="00000000" w:rsidRPr="00DF06FA" w:rsidP="00DF06FA">
            <w:pPr>
              <w:pStyle w:val="ListBullet"/>
            </w:pPr>
            <w:r w:rsidRPr="00DF06FA">
              <w:t>hazard control</w:t>
            </w:r>
          </w:p>
          <w:p w:rsidR="00000000" w:rsidRPr="00DF06FA" w:rsidP="00DF06FA">
            <w:pPr>
              <w:pStyle w:val="ListBullet"/>
            </w:pPr>
            <w:r w:rsidRPr="00DF06FA">
              <w:t>personal protective clothing and equipment prescribed under legislation, regulations and workplace policies and practices</w:t>
            </w:r>
          </w:p>
          <w:p w:rsidR="00000000" w:rsidRPr="00DF06FA" w:rsidP="00DF06FA">
            <w:pPr>
              <w:pStyle w:val="ListBullet"/>
            </w:pPr>
            <w:r w:rsidRPr="00DF06FA">
              <w:t>safe operating procedures, including recognising and preventing hazards associated with:</w:t>
            </w:r>
          </w:p>
          <w:p w:rsidR="00000000" w:rsidRPr="00DF06FA" w:rsidP="00DF06FA">
            <w:pPr>
              <w:pStyle w:val="ListBullet2"/>
            </w:pPr>
            <w:r w:rsidRPr="00DF06FA">
              <w:t>electricity</w:t>
            </w:r>
          </w:p>
          <w:p w:rsidR="00000000" w:rsidRPr="00DF06FA" w:rsidP="00DF06FA">
            <w:pPr>
              <w:pStyle w:val="ListBullet2"/>
            </w:pPr>
            <w:r w:rsidRPr="00DF06FA">
              <w:t>hazardous materials and substances</w:t>
            </w:r>
          </w:p>
          <w:p w:rsidR="00000000" w:rsidRPr="00DF06FA" w:rsidP="00DF06FA">
            <w:pPr>
              <w:pStyle w:val="ListBullet2"/>
            </w:pPr>
            <w:r w:rsidRPr="00DF06FA">
              <w:t>service lines</w:t>
            </w:r>
          </w:p>
          <w:p w:rsidR="00000000" w:rsidRPr="00DF06FA" w:rsidP="00DF06FA">
            <w:pPr>
              <w:pStyle w:val="ListBullet2"/>
            </w:pPr>
            <w:r w:rsidRPr="00DF06FA">
              <w:t>surrounding structures and facilities</w:t>
            </w:r>
          </w:p>
          <w:p w:rsidR="00000000" w:rsidRPr="00DF06FA" w:rsidP="00DF06FA">
            <w:pPr>
              <w:pStyle w:val="ListBullet2"/>
            </w:pPr>
            <w:r w:rsidRPr="00DF06FA">
              <w:t>trip hazards</w:t>
            </w:r>
          </w:p>
          <w:p w:rsidR="00000000" w:rsidRPr="00DF06FA" w:rsidP="00DF06FA">
            <w:pPr>
              <w:pStyle w:val="ListBullet2"/>
            </w:pPr>
            <w:r w:rsidRPr="00DF06FA">
              <w:t>use of tools and equipment</w:t>
            </w:r>
          </w:p>
          <w:p w:rsidR="00000000" w:rsidRPr="00DF06FA" w:rsidP="00DF06FA">
            <w:pPr>
              <w:pStyle w:val="ListBullet2"/>
            </w:pPr>
            <w:r w:rsidRPr="00DF06FA">
              <w:t>work site visitors and the public</w:t>
            </w:r>
          </w:p>
          <w:p w:rsidR="00000000" w:rsidRPr="00DF06FA" w:rsidP="00DF06FA">
            <w:pPr>
              <w:pStyle w:val="ListBullet2"/>
            </w:pPr>
            <w:r w:rsidRPr="00DF06FA">
              <w:t>working at heights</w:t>
            </w:r>
          </w:p>
          <w:p w:rsidR="00000000" w:rsidRPr="00DF06FA" w:rsidP="00DF06FA">
            <w:pPr>
              <w:pStyle w:val="ListBullet2"/>
            </w:pPr>
            <w:r w:rsidRPr="00DF06FA">
              <w:t>working in proximity to others</w:t>
            </w:r>
          </w:p>
          <w:p w:rsidR="00000000" w:rsidRPr="00DF06FA" w:rsidP="00DF06FA">
            <w:pPr>
              <w:pStyle w:val="ListBullet"/>
            </w:pPr>
            <w:r w:rsidRPr="00DF06FA">
              <w:t>use of firefighting equipment</w:t>
            </w:r>
          </w:p>
          <w:p w:rsidR="00000000" w:rsidRPr="00DF06FA" w:rsidP="00DF06FA">
            <w:pPr>
              <w:pStyle w:val="ListBullet"/>
            </w:pPr>
            <w:r w:rsidRPr="00DF06FA">
              <w:t>use of first a</w:t>
            </w:r>
            <w:r w:rsidRPr="00DF06FA">
              <w:t>id equipment</w:t>
            </w:r>
          </w:p>
          <w:p w:rsidR="00000000" w:rsidRPr="00DF06FA" w:rsidP="00DF06FA">
            <w:pPr>
              <w:pStyle w:val="ListBullet"/>
            </w:pPr>
            <w:r w:rsidRPr="00DF06FA">
              <w:t>workplace environment and safety.</w:t>
            </w:r>
          </w:p>
          <w:p w:rsidR="00000000" w:rsidP="00DF06FA">
            <w:pPr>
              <w:pStyle w:val="BodyText"/>
              <w:rPr>
                <w:lang w:val="en-NZ"/>
              </w:rPr>
            </w:pPr>
          </w:p>
        </w:tc>
      </w:tr>
      <w:tr w:rsidTr="00DF06FA">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rPr>
                <w:rStyle w:val="BoldandItalics"/>
              </w:rPr>
              <w:t>Environmental requirements</w:t>
            </w:r>
            <w:r w:rsidRPr="00DF06FA">
              <w:t xml:space="preserve"> cover water quality management and may include:</w:t>
            </w:r>
          </w:p>
        </w:tc>
        <w:tc>
          <w:tcPr>
            <w:tcW w:w="5488" w:type="dxa"/>
            <w:tcBorders>
              <w:top w:val="nil"/>
              <w:left w:val="nil"/>
              <w:bottom w:val="nil"/>
              <w:right w:val="nil"/>
            </w:tcBorders>
            <w:tcMar>
              <w:top w:w="0" w:type="dxa"/>
              <w:left w:w="62" w:type="dxa"/>
              <w:bottom w:w="0" w:type="dxa"/>
              <w:right w:w="62" w:type="dxa"/>
            </w:tcMar>
          </w:tcPr>
          <w:p w:rsidR="00000000" w:rsidRPr="00DF06FA" w:rsidP="00DF06FA">
            <w:pPr>
              <w:pStyle w:val="ListBullet"/>
            </w:pPr>
            <w:r w:rsidRPr="00DF06FA">
              <w:t>clean-up protection</w:t>
            </w:r>
          </w:p>
          <w:p w:rsidR="00000000" w:rsidRPr="00DF06FA" w:rsidP="00DF06FA">
            <w:pPr>
              <w:pStyle w:val="ListBullet"/>
            </w:pPr>
            <w:r w:rsidRPr="00DF06FA">
              <w:t>stormwater protection</w:t>
            </w:r>
          </w:p>
          <w:p w:rsidR="00000000" w:rsidRPr="00DF06FA" w:rsidP="00DF06FA">
            <w:pPr>
              <w:pStyle w:val="ListBullet"/>
            </w:pPr>
            <w:r w:rsidRPr="00DF06FA">
              <w:t>waste management.</w:t>
            </w:r>
          </w:p>
          <w:p w:rsidR="00000000" w:rsidP="00DF06FA">
            <w:pPr>
              <w:pStyle w:val="BodyText"/>
              <w:rPr>
                <w:lang w:val="en-NZ"/>
              </w:rPr>
            </w:pPr>
          </w:p>
        </w:tc>
      </w:tr>
      <w:tr w:rsidTr="00DF06FA">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rPr>
                <w:rStyle w:val="BoldandItalics"/>
              </w:rPr>
              <w:t>Quality assurance requirements</w:t>
            </w:r>
            <w:r w:rsidRPr="00DF06FA">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DF06FA" w:rsidP="00DF06FA">
            <w:pPr>
              <w:pStyle w:val="ListBullet"/>
            </w:pPr>
            <w:r w:rsidRPr="00DF06FA">
              <w:t>Australian standards</w:t>
            </w:r>
          </w:p>
          <w:p w:rsidR="00000000" w:rsidRPr="00DF06FA" w:rsidP="00DF06FA">
            <w:pPr>
              <w:pStyle w:val="ListBullet"/>
            </w:pPr>
            <w:r w:rsidRPr="00DF06FA">
              <w:t>Environment Protection Authority (EPA)</w:t>
            </w:r>
          </w:p>
          <w:p w:rsidR="00000000" w:rsidRPr="00DF06FA" w:rsidP="00DF06FA">
            <w:pPr>
              <w:pStyle w:val="ListBullet"/>
            </w:pPr>
            <w:r w:rsidRPr="00DF06FA">
              <w:t>internal company quality assurance policy and risk management strategy</w:t>
            </w:r>
          </w:p>
          <w:p w:rsidR="00000000" w:rsidRPr="00DF06FA" w:rsidP="00DF06FA">
            <w:pPr>
              <w:pStyle w:val="ListBullet"/>
            </w:pPr>
            <w:r w:rsidRPr="00DF06FA">
              <w:t>International Standards Organisation</w:t>
            </w:r>
          </w:p>
          <w:p w:rsidR="00000000" w:rsidRPr="00DF06FA" w:rsidP="00DF06FA">
            <w:pPr>
              <w:pStyle w:val="ListBullet"/>
            </w:pPr>
            <w:r w:rsidRPr="00DF06FA">
              <w:t>National Construction Code</w:t>
            </w:r>
          </w:p>
          <w:p w:rsidR="00000000" w:rsidRPr="00DF06FA" w:rsidP="00DF06FA">
            <w:pPr>
              <w:pStyle w:val="ListBullet"/>
            </w:pPr>
            <w:r w:rsidRPr="00DF06FA">
              <w:t>site safety plan</w:t>
            </w:r>
          </w:p>
          <w:p w:rsidR="00000000" w:rsidRPr="00DF06FA" w:rsidP="00DF06FA">
            <w:pPr>
              <w:pStyle w:val="ListBullet"/>
            </w:pPr>
            <w:r w:rsidRPr="00DF06FA">
              <w:t>workplace operations and procedures.</w:t>
            </w:r>
          </w:p>
          <w:p w:rsidR="00000000" w:rsidP="00DF06FA">
            <w:pPr>
              <w:pStyle w:val="BodyText"/>
              <w:rPr>
                <w:lang w:val="en-NZ"/>
              </w:rPr>
            </w:pPr>
          </w:p>
        </w:tc>
      </w:tr>
      <w:tr w:rsidTr="00DF06FA">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rPr>
                <w:rStyle w:val="BoldandItalics"/>
              </w:rPr>
              <w:t>Statutory and regulatory authorities</w:t>
            </w:r>
            <w:r w:rsidRPr="00DF06FA">
              <w:t xml:space="preserve"> include:</w:t>
            </w:r>
          </w:p>
        </w:tc>
        <w:tc>
          <w:tcPr>
            <w:tcW w:w="5488" w:type="dxa"/>
            <w:tcBorders>
              <w:top w:val="nil"/>
              <w:left w:val="nil"/>
              <w:bottom w:val="nil"/>
              <w:right w:val="nil"/>
            </w:tcBorders>
            <w:tcMar>
              <w:top w:w="0" w:type="dxa"/>
              <w:left w:w="62" w:type="dxa"/>
              <w:bottom w:w="0" w:type="dxa"/>
              <w:right w:w="62" w:type="dxa"/>
            </w:tcMar>
          </w:tcPr>
          <w:p w:rsidR="00000000" w:rsidRPr="00DF06FA" w:rsidP="00DF06FA">
            <w:pPr>
              <w:pStyle w:val="ListBullet"/>
            </w:pPr>
            <w:r w:rsidRPr="00DF06FA">
              <w:t xml:space="preserve">commonwealth, state or territory, and local authorities administering applicable Acts, regulations and codes of practice. </w:t>
            </w:r>
          </w:p>
          <w:p w:rsidR="00000000" w:rsidP="00DF06FA">
            <w:pPr>
              <w:pStyle w:val="BodyText"/>
              <w:rPr>
                <w:lang w:val="en-NZ"/>
              </w:rPr>
            </w:pPr>
          </w:p>
        </w:tc>
      </w:tr>
      <w:tr w:rsidTr="00DF06FA">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rPr>
                <w:rStyle w:val="BoldandItalics"/>
              </w:rPr>
              <w:t>Tools and equipment</w:t>
            </w:r>
            <w:r w:rsidRPr="00DF06FA">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DF06FA" w:rsidP="00DF06FA">
            <w:pPr>
              <w:pStyle w:val="ListBullet"/>
            </w:pPr>
            <w:r w:rsidRPr="00DF06FA">
              <w:t>hand and power tools</w:t>
            </w:r>
          </w:p>
          <w:p w:rsidR="00000000" w:rsidRPr="00DF06FA" w:rsidP="00DF06FA">
            <w:pPr>
              <w:pStyle w:val="ListBullet"/>
            </w:pPr>
            <w:r w:rsidRPr="00DF06FA">
              <w:t>ladders</w:t>
            </w:r>
          </w:p>
          <w:p w:rsidR="00000000" w:rsidRPr="00DF06FA" w:rsidP="00DF06FA">
            <w:pPr>
              <w:pStyle w:val="ListBullet"/>
            </w:pPr>
            <w:r w:rsidRPr="00DF06FA">
              <w:t>levelling equipment,</w:t>
            </w:r>
          </w:p>
          <w:p w:rsidR="00000000" w:rsidRPr="00DF06FA" w:rsidP="00DF06FA">
            <w:pPr>
              <w:pStyle w:val="ListBullet"/>
            </w:pPr>
            <w:r w:rsidRPr="00DF06FA">
              <w:t>lifting and load shifting equipment, including:</w:t>
            </w:r>
          </w:p>
          <w:p w:rsidR="00000000" w:rsidRPr="00DF06FA" w:rsidP="00DF06FA">
            <w:pPr>
              <w:pStyle w:val="ListBullet2"/>
            </w:pPr>
            <w:r w:rsidRPr="00DF06FA">
              <w:t>chain blocks</w:t>
            </w:r>
          </w:p>
          <w:p w:rsidR="00000000" w:rsidRPr="00DF06FA" w:rsidP="00DF06FA">
            <w:pPr>
              <w:pStyle w:val="ListBullet2"/>
            </w:pPr>
            <w:r w:rsidRPr="00DF06FA">
              <w:t>cranes</w:t>
            </w:r>
          </w:p>
          <w:p w:rsidR="00000000" w:rsidRPr="00DF06FA" w:rsidP="00DF06FA">
            <w:pPr>
              <w:pStyle w:val="ListBullet2"/>
            </w:pPr>
            <w:r w:rsidRPr="00DF06FA">
              <w:t>elevated work platforms</w:t>
            </w:r>
          </w:p>
          <w:p w:rsidR="00000000" w:rsidRPr="00DF06FA" w:rsidP="00DF06FA">
            <w:pPr>
              <w:pStyle w:val="ListBullet2"/>
            </w:pPr>
            <w:r w:rsidRPr="00DF06FA">
              <w:t>forklifts</w:t>
            </w:r>
          </w:p>
          <w:p w:rsidR="00000000" w:rsidRPr="00DF06FA" w:rsidP="00DF06FA">
            <w:pPr>
              <w:pStyle w:val="ListBullet2"/>
            </w:pPr>
            <w:r w:rsidRPr="00DF06FA">
              <w:t>hand trolleys</w:t>
            </w:r>
          </w:p>
          <w:p w:rsidR="00000000" w:rsidRPr="00DF06FA" w:rsidP="00DF06FA">
            <w:pPr>
              <w:pStyle w:val="ListBullet2"/>
            </w:pPr>
            <w:r w:rsidRPr="00DF06FA">
              <w:t>hoists and jacks</w:t>
            </w:r>
          </w:p>
          <w:p w:rsidR="00000000" w:rsidRPr="00DF06FA" w:rsidP="00DF06FA">
            <w:pPr>
              <w:pStyle w:val="ListBullet2"/>
            </w:pPr>
            <w:r w:rsidRPr="00DF06FA">
              <w:t>restricted height scaffolds</w:t>
            </w:r>
          </w:p>
          <w:p w:rsidR="00000000" w:rsidRPr="00DF06FA" w:rsidP="00DF06FA">
            <w:pPr>
              <w:pStyle w:val="ListBullet2"/>
            </w:pPr>
            <w:r w:rsidRPr="00DF06FA">
              <w:t>rollers</w:t>
            </w:r>
          </w:p>
          <w:p w:rsidR="00000000" w:rsidRPr="00DF06FA" w:rsidP="00DF06FA">
            <w:pPr>
              <w:pStyle w:val="ListBullet"/>
            </w:pPr>
            <w:r w:rsidRPr="00DF06FA">
              <w:t>measuring equipment</w:t>
            </w:r>
          </w:p>
          <w:p w:rsidR="00000000" w:rsidRPr="00DF06FA" w:rsidP="00DF06FA">
            <w:pPr>
              <w:pStyle w:val="ListBullet"/>
            </w:pPr>
            <w:r w:rsidRPr="00DF06FA">
              <w:t>perimeter guard rails.</w:t>
            </w:r>
          </w:p>
          <w:p w:rsidR="00000000" w:rsidP="00DF06FA">
            <w:pPr>
              <w:pStyle w:val="BodyText"/>
              <w:rPr>
                <w:lang w:val="en-NZ"/>
              </w:rPr>
            </w:pPr>
          </w:p>
        </w:tc>
      </w:tr>
      <w:tr w:rsidTr="00DF06FA">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rPr>
                <w:rStyle w:val="BoldandItalics"/>
              </w:rPr>
              <w:t>External flashings</w:t>
            </w:r>
            <w:r w:rsidRPr="00DF06FA">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DF06FA" w:rsidP="00DF06FA">
            <w:pPr>
              <w:pStyle w:val="ListBullet"/>
            </w:pPr>
            <w:r w:rsidRPr="00DF06FA">
              <w:t>metal ceilings</w:t>
            </w:r>
          </w:p>
          <w:p w:rsidR="00000000" w:rsidRPr="00DF06FA" w:rsidP="00DF06FA">
            <w:pPr>
              <w:pStyle w:val="ListBullet"/>
            </w:pPr>
            <w:r w:rsidRPr="00DF06FA">
              <w:t>associated soffits and fascias.</w:t>
            </w:r>
          </w:p>
          <w:p w:rsidR="00000000" w:rsidP="00DF06FA">
            <w:pPr>
              <w:pStyle w:val="BodyText"/>
              <w:rPr>
                <w:lang w:val="en-NZ"/>
              </w:rPr>
            </w:pPr>
          </w:p>
        </w:tc>
      </w:tr>
      <w:tr w:rsidTr="00DF06FA">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rPr>
                <w:rStyle w:val="BoldandItalics"/>
              </w:rPr>
              <w:t>Information</w:t>
            </w:r>
            <w:r w:rsidRPr="00DF06FA">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DF06FA" w:rsidP="00DF06FA">
            <w:pPr>
              <w:pStyle w:val="ListBullet"/>
            </w:pPr>
            <w:r w:rsidRPr="00DF06FA">
              <w:t>charts and hand drawings</w:t>
            </w:r>
          </w:p>
          <w:p w:rsidR="00000000" w:rsidRPr="00DF06FA" w:rsidP="00DF06FA">
            <w:pPr>
              <w:pStyle w:val="ListBullet"/>
            </w:pPr>
            <w:r w:rsidRPr="00DF06FA">
              <w:t>instructions issued by authorised organisational or external personnel</w:t>
            </w:r>
          </w:p>
          <w:p w:rsidR="00000000" w:rsidRPr="00DF06FA" w:rsidP="00DF06FA">
            <w:pPr>
              <w:pStyle w:val="ListBullet"/>
            </w:pPr>
            <w:r w:rsidRPr="00DF06FA">
              <w:t>manufacturer specifications and instructions</w:t>
            </w:r>
          </w:p>
          <w:p w:rsidR="00000000" w:rsidRPr="00DF06FA" w:rsidP="00DF06FA">
            <w:pPr>
              <w:pStyle w:val="ListBullet"/>
            </w:pPr>
            <w:r w:rsidRPr="00DF06FA">
              <w:t>material safety data sheets (MSDS)</w:t>
            </w:r>
          </w:p>
          <w:p w:rsidR="00000000" w:rsidRPr="00DF06FA" w:rsidP="00DF06FA">
            <w:pPr>
              <w:pStyle w:val="ListBullet"/>
            </w:pPr>
            <w:r w:rsidRPr="00DF06FA">
              <w:t>memos</w:t>
            </w:r>
          </w:p>
          <w:p w:rsidR="00000000" w:rsidRPr="00DF06FA" w:rsidP="00DF06FA">
            <w:pPr>
              <w:pStyle w:val="ListBullet"/>
            </w:pPr>
            <w:r w:rsidRPr="00DF06FA">
              <w:t>organisation work specifications and requirements</w:t>
            </w:r>
          </w:p>
          <w:p w:rsidR="00000000" w:rsidRPr="00DF06FA" w:rsidP="00DF06FA">
            <w:pPr>
              <w:pStyle w:val="ListBullet"/>
            </w:pPr>
            <w:r w:rsidRPr="00DF06FA">
              <w:t>plans and sketches</w:t>
            </w:r>
          </w:p>
          <w:p w:rsidR="00000000" w:rsidRPr="00DF06FA" w:rsidP="00DF06FA">
            <w:pPr>
              <w:pStyle w:val="ListBullet"/>
            </w:pPr>
            <w:r w:rsidRPr="00DF06FA">
              <w:t>regulatory and legislative requirements, particularly those pertaining to:</w:t>
            </w:r>
          </w:p>
          <w:p w:rsidR="00000000" w:rsidRPr="00DF06FA" w:rsidP="00DF06FA">
            <w:pPr>
              <w:pStyle w:val="ListBullet2"/>
            </w:pPr>
            <w:r w:rsidRPr="00DF06FA">
              <w:t>building codes</w:t>
            </w:r>
          </w:p>
          <w:p w:rsidR="00000000" w:rsidRPr="00DF06FA" w:rsidP="00DF06FA">
            <w:pPr>
              <w:pStyle w:val="ListBullet2"/>
            </w:pPr>
            <w:r w:rsidRPr="00DF06FA">
              <w:t>WHS and environmental requirements</w:t>
            </w:r>
          </w:p>
          <w:p w:rsidR="00000000" w:rsidRPr="00DF06FA" w:rsidP="00DF06FA">
            <w:pPr>
              <w:pStyle w:val="ListBullet2"/>
            </w:pPr>
            <w:r w:rsidRPr="00DF06FA">
              <w:t>plumbing regulations</w:t>
            </w:r>
          </w:p>
          <w:p w:rsidR="00000000" w:rsidRPr="00DF06FA" w:rsidP="00DF06FA">
            <w:pPr>
              <w:pStyle w:val="ListBullet"/>
            </w:pPr>
            <w:r w:rsidRPr="00DF06FA">
              <w:t>relevant Australian standards</w:t>
            </w:r>
          </w:p>
          <w:p w:rsidR="00000000" w:rsidRPr="00DF06FA" w:rsidP="00DF06FA">
            <w:pPr>
              <w:pStyle w:val="ListBullet"/>
            </w:pPr>
            <w:r w:rsidRPr="00DF06FA">
              <w:t>safe work procedures relating to fabricating and installing external flashings</w:t>
            </w:r>
          </w:p>
          <w:p w:rsidR="00000000" w:rsidRPr="00DF06FA" w:rsidP="00DF06FA">
            <w:pPr>
              <w:pStyle w:val="ListBullet"/>
            </w:pPr>
            <w:r w:rsidRPr="00DF06FA">
              <w:t>signage</w:t>
            </w:r>
          </w:p>
          <w:p w:rsidR="00000000" w:rsidRPr="00DF06FA" w:rsidP="00DF06FA">
            <w:pPr>
              <w:pStyle w:val="ListBullet"/>
            </w:pPr>
            <w:r w:rsidRPr="00DF06FA">
              <w:t>verbal, written and graphical instructions</w:t>
            </w:r>
          </w:p>
          <w:p w:rsidR="00000000" w:rsidRPr="00DF06FA" w:rsidP="00DF06FA">
            <w:pPr>
              <w:pStyle w:val="ListBullet"/>
            </w:pPr>
            <w:r w:rsidRPr="00DF06FA">
              <w:t>work bulletins</w:t>
            </w:r>
          </w:p>
          <w:p w:rsidR="00000000" w:rsidRPr="00DF06FA" w:rsidP="00DF06FA">
            <w:pPr>
              <w:pStyle w:val="ListBullet"/>
            </w:pPr>
            <w:r w:rsidRPr="00DF06FA">
              <w:t>work schedules, plans and specifications.</w:t>
            </w:r>
          </w:p>
          <w:p w:rsidR="00000000" w:rsidP="00DF06FA">
            <w:pPr>
              <w:pStyle w:val="BodyText"/>
              <w:rPr>
                <w:lang w:val="en-NZ"/>
              </w:rPr>
            </w:pPr>
          </w:p>
        </w:tc>
      </w:tr>
      <w:tr w:rsidTr="00DF06FA">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rPr>
                <w:rStyle w:val="BoldandItalics"/>
              </w:rPr>
              <w:t>Materials</w:t>
            </w:r>
            <w:r w:rsidRPr="00DF06FA">
              <w:t xml:space="preserve"> for fabricating and installing external flashings may include:</w:t>
            </w:r>
          </w:p>
        </w:tc>
        <w:tc>
          <w:tcPr>
            <w:tcW w:w="5488" w:type="dxa"/>
            <w:tcBorders>
              <w:top w:val="nil"/>
              <w:left w:val="nil"/>
              <w:bottom w:val="nil"/>
              <w:right w:val="nil"/>
            </w:tcBorders>
            <w:tcMar>
              <w:top w:w="0" w:type="dxa"/>
              <w:left w:w="62" w:type="dxa"/>
              <w:bottom w:w="0" w:type="dxa"/>
              <w:right w:w="62" w:type="dxa"/>
            </w:tcMar>
          </w:tcPr>
          <w:p w:rsidR="00000000" w:rsidRPr="00DF06FA" w:rsidP="00DF06FA">
            <w:pPr>
              <w:pStyle w:val="ListBullet"/>
            </w:pPr>
            <w:r w:rsidRPr="00DF06FA">
              <w:t>cappings</w:t>
            </w:r>
          </w:p>
          <w:p w:rsidR="00000000" w:rsidRPr="00DF06FA" w:rsidP="00DF06FA">
            <w:pPr>
              <w:pStyle w:val="ListBullet"/>
            </w:pPr>
            <w:r w:rsidRPr="00DF06FA">
              <w:t>flashings</w:t>
            </w:r>
          </w:p>
          <w:p w:rsidR="00000000" w:rsidRPr="00DF06FA" w:rsidP="00DF06FA">
            <w:pPr>
              <w:pStyle w:val="ListBullet"/>
            </w:pPr>
            <w:r w:rsidRPr="00DF06FA">
              <w:t>insulation materials, such as foil laminate</w:t>
            </w:r>
          </w:p>
          <w:p w:rsidR="00000000" w:rsidRPr="00DF06FA" w:rsidP="00DF06FA">
            <w:pPr>
              <w:pStyle w:val="ListBullet"/>
            </w:pPr>
            <w:r w:rsidRPr="00DF06FA">
              <w:t>lead</w:t>
            </w:r>
          </w:p>
          <w:p w:rsidR="00000000" w:rsidRPr="00DF06FA" w:rsidP="00DF06FA">
            <w:pPr>
              <w:pStyle w:val="ListBullet"/>
            </w:pPr>
            <w:r w:rsidRPr="00DF06FA">
              <w:t>metal rainwater goods</w:t>
            </w:r>
          </w:p>
          <w:p w:rsidR="00000000" w:rsidRPr="00DF06FA" w:rsidP="00DF06FA">
            <w:pPr>
              <w:pStyle w:val="ListBullet"/>
            </w:pPr>
            <w:r w:rsidRPr="00DF06FA">
              <w:t>metal self drilling and tapping screws</w:t>
            </w:r>
          </w:p>
          <w:p w:rsidR="00000000" w:rsidRPr="00DF06FA" w:rsidP="00DF06FA">
            <w:pPr>
              <w:pStyle w:val="ListBullet"/>
            </w:pPr>
            <w:r w:rsidRPr="00DF06FA">
              <w:t>moulds</w:t>
            </w:r>
          </w:p>
          <w:p w:rsidR="00000000" w:rsidRPr="00DF06FA" w:rsidP="00DF06FA">
            <w:pPr>
              <w:pStyle w:val="ListBullet"/>
            </w:pPr>
            <w:r w:rsidRPr="00DF06FA">
              <w:t>rivets and sealants</w:t>
            </w:r>
          </w:p>
          <w:p w:rsidR="00000000" w:rsidRPr="00DF06FA" w:rsidP="00DF06FA">
            <w:pPr>
              <w:pStyle w:val="ListBullet"/>
            </w:pPr>
            <w:r w:rsidRPr="00DF06FA">
              <w:t>trims</w:t>
            </w:r>
          </w:p>
          <w:p w:rsidR="00000000" w:rsidRPr="00DF06FA" w:rsidP="00DF06FA">
            <w:pPr>
              <w:pStyle w:val="ListBullet"/>
            </w:pPr>
            <w:r w:rsidRPr="00DF06FA">
              <w:t>other approved materials.</w:t>
            </w:r>
          </w:p>
          <w:p w:rsidR="00000000" w:rsidP="00DF06FA">
            <w:pPr>
              <w:pStyle w:val="BodyText"/>
              <w:rPr>
                <w:lang w:val="en-NZ"/>
              </w:rPr>
            </w:pPr>
          </w:p>
        </w:tc>
      </w:tr>
      <w:tr w:rsidTr="00DF06FA">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rPr>
                <w:rStyle w:val="BoldandItalics"/>
              </w:rPr>
              <w:t>F</w:t>
            </w:r>
            <w:r w:rsidRPr="00DF06FA">
              <w:rPr>
                <w:rStyle w:val="BoldandItalics"/>
              </w:rPr>
              <w:t>ault reporting</w:t>
            </w:r>
            <w:r w:rsidRPr="00DF06FA">
              <w:t>:</w:t>
            </w:r>
          </w:p>
        </w:tc>
        <w:tc>
          <w:tcPr>
            <w:tcW w:w="5488" w:type="dxa"/>
            <w:tcBorders>
              <w:top w:val="nil"/>
              <w:left w:val="nil"/>
              <w:bottom w:val="nil"/>
              <w:right w:val="nil"/>
            </w:tcBorders>
            <w:tcMar>
              <w:top w:w="0" w:type="dxa"/>
              <w:left w:w="62" w:type="dxa"/>
              <w:bottom w:w="0" w:type="dxa"/>
              <w:right w:w="62" w:type="dxa"/>
            </w:tcMar>
          </w:tcPr>
          <w:p w:rsidR="00000000" w:rsidRPr="00DF06FA" w:rsidP="00DF06FA">
            <w:pPr>
              <w:pStyle w:val="ListBullet"/>
            </w:pPr>
            <w:r w:rsidRPr="00DF06FA">
              <w:t>may be written or verbal</w:t>
            </w:r>
          </w:p>
          <w:p w:rsidR="00000000" w:rsidRPr="00DF06FA" w:rsidP="00DF06FA">
            <w:pPr>
              <w:pStyle w:val="ListBullet"/>
            </w:pPr>
            <w:r w:rsidRPr="00DF06FA">
              <w:t>is to be according to company workplace procedures.</w:t>
            </w:r>
          </w:p>
          <w:p w:rsidR="00000000" w:rsidP="00DF06FA">
            <w:pPr>
              <w:pStyle w:val="BodyText"/>
              <w:rPr>
                <w:lang w:val="en-NZ"/>
              </w:rPr>
            </w:pPr>
          </w:p>
        </w:tc>
      </w:tr>
      <w:tr w:rsidTr="00DF06FA">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rPr>
                <w:rStyle w:val="BoldandItalics"/>
              </w:rPr>
              <w:t>Sustainability principles and concepts</w:t>
            </w:r>
            <w:r w:rsidRPr="00DF06FA">
              <w:t>:</w:t>
            </w:r>
          </w:p>
        </w:tc>
        <w:tc>
          <w:tcPr>
            <w:tcW w:w="5488" w:type="dxa"/>
            <w:tcBorders>
              <w:top w:val="nil"/>
              <w:left w:val="nil"/>
              <w:bottom w:val="nil"/>
              <w:right w:val="nil"/>
            </w:tcBorders>
            <w:tcMar>
              <w:top w:w="0" w:type="dxa"/>
              <w:left w:w="62" w:type="dxa"/>
              <w:bottom w:w="0" w:type="dxa"/>
              <w:right w:w="62" w:type="dxa"/>
            </w:tcMar>
          </w:tcPr>
          <w:p w:rsidR="00000000" w:rsidRPr="00DF06FA" w:rsidP="00DF06FA">
            <w:pPr>
              <w:pStyle w:val="ListBullet"/>
            </w:pPr>
            <w:r w:rsidRPr="00DF06FA">
              <w:t>cover the current and future social, economic and environmental use of resources</w:t>
            </w:r>
          </w:p>
          <w:p w:rsidR="00000000" w:rsidRPr="00DF06FA" w:rsidP="00DF06FA">
            <w:pPr>
              <w:pStyle w:val="ListBullet"/>
            </w:pPr>
            <w:r w:rsidRPr="00DF06FA">
              <w:t>may include:</w:t>
            </w:r>
          </w:p>
          <w:p w:rsidR="00000000" w:rsidRPr="00DF06FA" w:rsidP="00DF06FA">
            <w:pPr>
              <w:pStyle w:val="ListBullet2"/>
            </w:pPr>
            <w:r w:rsidRPr="00DF06FA">
              <w:t>efficient use of material</w:t>
            </w:r>
          </w:p>
          <w:p w:rsidR="00000000" w:rsidRPr="00DF06FA" w:rsidP="00DF06FA">
            <w:pPr>
              <w:pStyle w:val="ListBullet2"/>
            </w:pPr>
            <w:r w:rsidRPr="00DF06FA">
              <w:t>efficient energy use</w:t>
            </w:r>
          </w:p>
          <w:p w:rsidR="00000000" w:rsidRPr="00DF06FA" w:rsidP="00DF06FA">
            <w:pPr>
              <w:pStyle w:val="ListBullet2"/>
            </w:pPr>
            <w:r w:rsidRPr="00DF06FA">
              <w:t>selecting appropriate components to ensure minimal environmental impact.</w:t>
            </w:r>
          </w:p>
        </w:tc>
      </w:tr>
    </w:tbl>
    <w:p w:rsidR="00000000" w:rsidRPr="00DF06FA" w:rsidP="00DF06FA">
      <w:pPr>
        <w:pStyle w:val="BodyText"/>
      </w:pPr>
    </w:p>
    <w:p w:rsidR="00000000" w:rsidRPr="00DF06FA" w:rsidP="00DF06FA">
      <w:pPr>
        <w:pStyle w:val="AllowPageBreak"/>
      </w:pPr>
    </w:p>
    <w:p w:rsidR="00000000" w:rsidRPr="00DF06FA" w:rsidP="00DF06FA">
      <w:pPr>
        <w:pStyle w:val="Heading1"/>
      </w:pPr>
      <w:bookmarkStart w:id="12" w:name="O_513530"/>
      <w:bookmarkEnd w:id="12"/>
      <w:r w:rsidRPr="00DF06FA">
        <w:t>Unit Sector(s)</w:t>
      </w:r>
    </w:p>
    <w:tbl>
      <w:tblPr>
        <w:tblW w:w="0" w:type="auto"/>
        <w:tblLayout w:type="fixed"/>
        <w:tblCellMar>
          <w:left w:w="62" w:type="dxa"/>
          <w:right w:w="62" w:type="dxa"/>
        </w:tblCellMar>
        <w:tblLook w:val="0000"/>
      </w:tblPr>
      <w:tblGrid>
        <w:gridCol w:w="2201"/>
        <w:gridCol w:w="6870"/>
      </w:tblGrid>
      <w:tr w:rsidTr="00DF06FA">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rPr>
                <w:rStyle w:val="SpecialBold"/>
              </w:rPr>
              <w:t>Functional area</w:t>
            </w:r>
          </w:p>
        </w:tc>
        <w:tc>
          <w:tcPr>
            <w:tcW w:w="6870"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p>
        </w:tc>
      </w:tr>
      <w:tr w:rsidTr="00DF06FA">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DF06FA">
            <w:pPr>
              <w:pStyle w:val="BodyText"/>
              <w:rPr>
                <w:lang w:val="en-NZ"/>
              </w:rPr>
            </w:pPr>
            <w:r w:rsidRPr="00DF06FA">
              <w:rPr>
                <w:rStyle w:val="SpecialBold"/>
              </w:rPr>
              <w:t>Unit sector</w:t>
            </w:r>
          </w:p>
        </w:tc>
        <w:tc>
          <w:tcPr>
            <w:tcW w:w="6870" w:type="dxa"/>
            <w:tcBorders>
              <w:top w:val="nil"/>
              <w:left w:val="nil"/>
              <w:bottom w:val="nil"/>
              <w:right w:val="nil"/>
            </w:tcBorders>
            <w:tcMar>
              <w:top w:w="0" w:type="dxa"/>
              <w:left w:w="62" w:type="dxa"/>
              <w:bottom w:w="0" w:type="dxa"/>
              <w:right w:w="62" w:type="dxa"/>
            </w:tcMar>
          </w:tcPr>
          <w:p w:rsidR="00000000" w:rsidRPr="00DF06FA" w:rsidP="00DF06FA">
            <w:pPr>
              <w:pStyle w:val="BodyText"/>
            </w:pPr>
            <w:r w:rsidRPr="00DF06FA">
              <w:t>Plumbing and services</w:t>
            </w:r>
          </w:p>
        </w:tc>
      </w:tr>
    </w:tbl>
    <w:p w:rsidR="00000000" w:rsidRPr="00DF06FA" w:rsidP="00DF06FA">
      <w:pPr>
        <w:pStyle w:val="BodyText"/>
      </w:pPr>
    </w:p>
    <w:p w:rsidR="00000000" w:rsidRPr="00DF06FA" w:rsidP="00DF06FA">
      <w:pPr>
        <w:pStyle w:val="AllowPageBreak"/>
      </w:pPr>
    </w:p>
    <w:p w:rsidR="00000000" w:rsidRPr="00DF06FA" w:rsidP="00DF06FA">
      <w:pPr>
        <w:pStyle w:val="Heading1"/>
      </w:pPr>
      <w:bookmarkStart w:id="13" w:name="O_513519"/>
      <w:bookmarkEnd w:id="13"/>
      <w:r w:rsidRPr="00DF06FA">
        <w:t>Custom Content Section</w:t>
      </w:r>
    </w:p>
    <w:p w:rsidR="00000000" w:rsidRPr="00DF06FA" w:rsidP="00DF06FA">
      <w:pPr>
        <w:pStyle w:val="BodyText"/>
      </w:pPr>
      <w:r w:rsidRPr="00DF06FA">
        <w:t>Not applicable.</w:t>
      </w:r>
    </w:p>
    <w:p w:rsidR="00000000" w:rsidRPr="00DF06FA" w:rsidP="00DF06FA"/>
    <w:sectPr w:rsidSect="00DF06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6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6FA" w:rsidRPr="00065DF1" w:rsidP="00065D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6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DF1" w:rsidP="00DF06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65DF1" w:rsidP="00DF06F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65DF1" w:rsidP="00DF06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6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6FA" w:rsidRPr="00065DF1" w:rsidP="00065D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6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DF1" w:rsidRPr="002D2AF8" w:rsidP="00DF06FA">
    <w:pPr>
      <w:pStyle w:val="Header"/>
      <w:framePr w:wrap="around"/>
    </w:pPr>
    <w:r>
      <w:fldChar w:fldCharType="begin"/>
    </w:r>
    <w:r>
      <w:instrText xml:space="preserve"> TITLE   \* MERGEFORMAT </w:instrText>
    </w:r>
    <w:r>
      <w:fldChar w:fldCharType="separate"/>
    </w:r>
    <w:r>
      <w:t>CPCPRF3023A Fabricate and install external flashings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065DF1" w:rsidP="00DF06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4613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88C3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147F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6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06FA"/>
    <w:pPr>
      <w:spacing w:before="360" w:after="60"/>
      <w:outlineLvl w:val="0"/>
    </w:pPr>
    <w:rPr>
      <w:sz w:val="32"/>
    </w:rPr>
  </w:style>
  <w:style w:type="paragraph" w:styleId="Heading2">
    <w:name w:val="heading 2"/>
    <w:basedOn w:val="HeadingBase"/>
    <w:next w:val="BodyText"/>
    <w:link w:val="Heading2Char"/>
    <w:qFormat/>
    <w:rsid w:val="00DF06FA"/>
    <w:pPr>
      <w:keepLines/>
      <w:spacing w:before="240" w:after="120"/>
      <w:outlineLvl w:val="1"/>
    </w:pPr>
    <w:rPr>
      <w:sz w:val="28"/>
      <w:szCs w:val="40"/>
    </w:rPr>
  </w:style>
  <w:style w:type="paragraph" w:styleId="Heading3">
    <w:name w:val="heading 3"/>
    <w:basedOn w:val="HeadingBase"/>
    <w:next w:val="BodyText"/>
    <w:link w:val="Heading3Char"/>
    <w:qFormat/>
    <w:rsid w:val="00DF06FA"/>
    <w:pPr>
      <w:spacing w:before="180" w:after="120"/>
      <w:outlineLvl w:val="2"/>
    </w:pPr>
    <w:rPr>
      <w:spacing w:val="-10"/>
      <w:kern w:val="32"/>
    </w:rPr>
  </w:style>
  <w:style w:type="paragraph" w:styleId="Heading4">
    <w:name w:val="heading 4"/>
    <w:basedOn w:val="HeadingBase"/>
    <w:next w:val="BodyText"/>
    <w:link w:val="Heading4Char"/>
    <w:qFormat/>
    <w:rsid w:val="00DF06FA"/>
    <w:pPr>
      <w:spacing w:before="160" w:after="120"/>
      <w:outlineLvl w:val="3"/>
    </w:pPr>
    <w:rPr>
      <w:sz w:val="22"/>
    </w:rPr>
  </w:style>
  <w:style w:type="paragraph" w:styleId="Heading5">
    <w:name w:val="heading 5"/>
    <w:basedOn w:val="HeadingBase"/>
    <w:next w:val="Normal"/>
    <w:link w:val="Heading5Char"/>
    <w:qFormat/>
    <w:rsid w:val="00DF06FA"/>
    <w:pPr>
      <w:spacing w:before="80"/>
      <w:outlineLvl w:val="4"/>
    </w:pPr>
    <w:rPr>
      <w:color w:val="918585"/>
      <w:sz w:val="20"/>
    </w:rPr>
  </w:style>
  <w:style w:type="paragraph" w:styleId="Heading6">
    <w:name w:val="heading 6"/>
    <w:basedOn w:val="HeadingBase"/>
    <w:next w:val="Normal"/>
    <w:link w:val="Heading6Char"/>
    <w:qFormat/>
    <w:rsid w:val="00DF06FA"/>
    <w:pPr>
      <w:spacing w:before="60"/>
      <w:outlineLvl w:val="5"/>
    </w:pPr>
    <w:rPr>
      <w:color w:val="918585"/>
      <w:sz w:val="20"/>
    </w:rPr>
  </w:style>
  <w:style w:type="paragraph" w:styleId="Heading7">
    <w:name w:val="heading 7"/>
    <w:basedOn w:val="Normal"/>
    <w:next w:val="Normal"/>
    <w:link w:val="Heading7Char"/>
    <w:qFormat/>
    <w:rsid w:val="00DF06FA"/>
    <w:pPr>
      <w:ind w:left="720"/>
      <w:outlineLvl w:val="6"/>
    </w:pPr>
    <w:rPr>
      <w:i/>
    </w:rPr>
  </w:style>
  <w:style w:type="paragraph" w:styleId="Heading8">
    <w:name w:val="heading 8"/>
    <w:basedOn w:val="Normal"/>
    <w:next w:val="Normal"/>
    <w:link w:val="Heading8Char"/>
    <w:qFormat/>
    <w:rsid w:val="00DF06FA"/>
    <w:pPr>
      <w:ind w:left="720"/>
      <w:outlineLvl w:val="7"/>
    </w:pPr>
    <w:rPr>
      <w:i/>
    </w:rPr>
  </w:style>
  <w:style w:type="paragraph" w:styleId="Heading9">
    <w:name w:val="heading 9"/>
    <w:basedOn w:val="Normal"/>
    <w:next w:val="Normal"/>
    <w:link w:val="Heading9Char"/>
    <w:qFormat/>
    <w:rsid w:val="00DF06FA"/>
    <w:pPr>
      <w:ind w:left="720"/>
      <w:outlineLvl w:val="8"/>
    </w:pPr>
    <w:rPr>
      <w:i/>
    </w:rPr>
  </w:style>
  <w:style w:type="character" w:default="1" w:styleId="DefaultParagraphFont">
    <w:name w:val="Default Paragraph Font"/>
    <w:uiPriority w:val="1"/>
    <w:unhideWhenUsed/>
    <w:rsid w:val="00DF06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06FA"/>
  </w:style>
  <w:style w:type="character" w:customStyle="1" w:styleId="Heading1Char">
    <w:name w:val="Heading 1 Char"/>
    <w:basedOn w:val="DefaultParagraphFont"/>
    <w:link w:val="Heading1"/>
    <w:rsid w:val="00DF06FA"/>
    <w:rPr>
      <w:rFonts w:ascii="Times New Roman" w:eastAsia="Times New Roman" w:hAnsi="Times New Roman" w:cs="Times New Roman"/>
      <w:b/>
      <w:sz w:val="32"/>
      <w:szCs w:val="20"/>
      <w:lang w:eastAsia="en-US"/>
    </w:rPr>
  </w:style>
  <w:style w:type="paragraph" w:styleId="BodyText">
    <w:name w:val="Body Text"/>
    <w:basedOn w:val="Normal"/>
    <w:link w:val="BodyTextChar"/>
    <w:rsid w:val="00DF06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06FA"/>
    <w:rPr>
      <w:rFonts w:ascii="Times New Roman" w:eastAsia="Times New Roman" w:hAnsi="Times New Roman" w:cs="Times New Roman"/>
      <w:sz w:val="24"/>
      <w:lang w:eastAsia="en-US"/>
    </w:rPr>
  </w:style>
  <w:style w:type="paragraph" w:styleId="ListBullet">
    <w:name w:val="List Bullet"/>
    <w:basedOn w:val="List"/>
    <w:rsid w:val="00DF06FA"/>
    <w:pPr>
      <w:numPr>
        <w:numId w:val="14"/>
      </w:numPr>
      <w:tabs>
        <w:tab w:val="clear" w:pos="340"/>
      </w:tabs>
      <w:spacing w:before="40" w:after="40"/>
    </w:pPr>
  </w:style>
  <w:style w:type="character" w:customStyle="1" w:styleId="SpecialBold">
    <w:name w:val="Special Bold"/>
    <w:basedOn w:val="DefaultParagraphFont"/>
    <w:rsid w:val="00DF06FA"/>
    <w:rPr>
      <w:b/>
      <w:spacing w:val="0"/>
    </w:rPr>
  </w:style>
  <w:style w:type="paragraph" w:styleId="ListBullet2">
    <w:name w:val="List Bullet 2"/>
    <w:basedOn w:val="List2"/>
    <w:rsid w:val="00DF06FA"/>
    <w:pPr>
      <w:numPr>
        <w:numId w:val="15"/>
      </w:numPr>
      <w:tabs>
        <w:tab w:val="clear" w:pos="680"/>
      </w:tabs>
    </w:pPr>
  </w:style>
  <w:style w:type="paragraph" w:customStyle="1" w:styleId="SuperHeading">
    <w:name w:val="SuperHeading"/>
    <w:basedOn w:val="Normal"/>
    <w:rsid w:val="00DF06FA"/>
    <w:pPr>
      <w:spacing w:before="240" w:after="120"/>
      <w:outlineLvl w:val="0"/>
    </w:pPr>
    <w:rPr>
      <w:rFonts w:ascii="Times New Roman" w:hAnsi="Times New Roman"/>
      <w:b/>
      <w:sz w:val="32"/>
    </w:rPr>
  </w:style>
  <w:style w:type="paragraph" w:customStyle="1" w:styleId="AllowPageBreak">
    <w:name w:val="AllowPageBreak"/>
    <w:rsid w:val="00DF06F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F06FA"/>
    <w:pPr>
      <w:numPr>
        <w:numId w:val="3"/>
      </w:numPr>
      <w:tabs>
        <w:tab w:val="clear" w:pos="1021"/>
      </w:tabs>
      <w:ind w:left="1037" w:hanging="357"/>
    </w:pPr>
  </w:style>
  <w:style w:type="character" w:customStyle="1" w:styleId="BoldandItalics">
    <w:name w:val="Bold and Italics"/>
    <w:qFormat/>
    <w:rsid w:val="00DF06FA"/>
    <w:rPr>
      <w:b/>
      <w:i/>
      <w:u w:val="none"/>
    </w:rPr>
  </w:style>
  <w:style w:type="character" w:customStyle="1" w:styleId="Heading2Char">
    <w:name w:val="Heading 2 Char"/>
    <w:basedOn w:val="DefaultParagraphFont"/>
    <w:link w:val="Heading2"/>
    <w:rsid w:val="00DF06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06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06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06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06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06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06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06FA"/>
    <w:rPr>
      <w:rFonts w:ascii="Courier New" w:eastAsia="Times New Roman" w:hAnsi="Courier New" w:cs="Times New Roman"/>
      <w:i/>
      <w:szCs w:val="20"/>
      <w:lang w:eastAsia="en-US"/>
    </w:rPr>
  </w:style>
  <w:style w:type="paragraph" w:customStyle="1" w:styleId="HeadingBase">
    <w:name w:val="Heading Base"/>
    <w:rsid w:val="00DF06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06FA"/>
    <w:pPr>
      <w:tabs>
        <w:tab w:val="right" w:leader="dot" w:pos="9072"/>
      </w:tabs>
      <w:ind w:left="567"/>
    </w:pPr>
    <w:rPr>
      <w:szCs w:val="22"/>
    </w:rPr>
  </w:style>
  <w:style w:type="paragraph" w:customStyle="1" w:styleId="TOCBase">
    <w:name w:val="TOC Base"/>
    <w:rsid w:val="00DF06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06FA"/>
    <w:pPr>
      <w:tabs>
        <w:tab w:val="right" w:leader="dot" w:pos="9072"/>
      </w:tabs>
      <w:spacing w:before="40" w:after="40"/>
      <w:ind w:left="284"/>
    </w:pPr>
    <w:rPr>
      <w:rFonts w:ascii="Times New Roman" w:hAnsi="Times New Roman"/>
    </w:rPr>
  </w:style>
  <w:style w:type="paragraph" w:styleId="TOC1">
    <w:name w:val="toc 1"/>
    <w:basedOn w:val="TOCBase"/>
    <w:next w:val="Normal"/>
    <w:rsid w:val="00DF06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06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06FA"/>
    <w:rPr>
      <w:rFonts w:ascii="Times New Roman" w:eastAsia="Times New Roman" w:hAnsi="Times New Roman" w:cs="Times New Roman"/>
      <w:sz w:val="16"/>
      <w:lang w:eastAsia="en-US"/>
    </w:rPr>
  </w:style>
  <w:style w:type="paragraph" w:styleId="Title">
    <w:name w:val="Title"/>
    <w:basedOn w:val="HeadingBase"/>
    <w:link w:val="TitleChar"/>
    <w:qFormat/>
    <w:rsid w:val="00DF06FA"/>
    <w:pPr>
      <w:spacing w:before="5040"/>
      <w:jc w:val="center"/>
    </w:pPr>
    <w:rPr>
      <w:sz w:val="48"/>
      <w:szCs w:val="72"/>
      <w:lang w:val="en-US"/>
    </w:rPr>
  </w:style>
  <w:style w:type="character" w:customStyle="1" w:styleId="TitleChar">
    <w:name w:val="Title Char"/>
    <w:basedOn w:val="DefaultParagraphFont"/>
    <w:link w:val="Title"/>
    <w:rsid w:val="00DF06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06FA"/>
    <w:pPr>
      <w:tabs>
        <w:tab w:val="left" w:pos="3600"/>
        <w:tab w:val="left" w:pos="3958"/>
      </w:tabs>
    </w:pPr>
  </w:style>
  <w:style w:type="paragraph" w:styleId="List">
    <w:name w:val="List"/>
    <w:basedOn w:val="BodyText"/>
    <w:next w:val="BodyText"/>
    <w:rsid w:val="00DF06FA"/>
    <w:pPr>
      <w:tabs>
        <w:tab w:val="left" w:pos="340"/>
      </w:tabs>
      <w:spacing w:before="60" w:after="60"/>
      <w:ind w:left="340" w:hanging="340"/>
    </w:pPr>
  </w:style>
  <w:style w:type="paragraph" w:customStyle="1" w:styleId="Note">
    <w:name w:val="Note"/>
    <w:basedOn w:val="BodyText"/>
    <w:rsid w:val="00DF06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06FA"/>
    <w:pPr>
      <w:framePr w:wrap="auto" w:hAnchor="text" w:y="6049"/>
    </w:pPr>
    <w:rPr>
      <w:color w:val="000000"/>
      <w:sz w:val="40"/>
    </w:rPr>
  </w:style>
  <w:style w:type="paragraph" w:customStyle="1" w:styleId="TOCTitle">
    <w:name w:val="TOCTitle"/>
    <w:basedOn w:val="Heading1"/>
    <w:rsid w:val="00DF06FA"/>
    <w:pPr>
      <w:spacing w:after="240"/>
      <w:jc w:val="center"/>
      <w:outlineLvl w:val="9"/>
    </w:pPr>
    <w:rPr>
      <w:caps/>
    </w:rPr>
  </w:style>
  <w:style w:type="paragraph" w:customStyle="1" w:styleId="Version">
    <w:name w:val="Version"/>
    <w:rsid w:val="00DF06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06FA"/>
    <w:pPr>
      <w:keepNext w:val="0"/>
      <w:tabs>
        <w:tab w:val="right" w:pos="4176"/>
      </w:tabs>
      <w:ind w:left="198" w:hanging="198"/>
    </w:pPr>
    <w:rPr>
      <w:rFonts w:ascii="Garamond" w:hAnsi="Garamond"/>
    </w:rPr>
  </w:style>
  <w:style w:type="paragraph" w:styleId="IndexHeading">
    <w:name w:val="index heading"/>
    <w:basedOn w:val="Normal"/>
    <w:next w:val="Index1"/>
    <w:semiHidden/>
    <w:rsid w:val="00DF06FA"/>
    <w:pPr>
      <w:spacing w:before="120" w:after="120"/>
    </w:pPr>
    <w:rPr>
      <w:rFonts w:ascii="Arial" w:hAnsi="Arial"/>
      <w:b/>
      <w:color w:val="918585"/>
      <w:sz w:val="24"/>
    </w:rPr>
  </w:style>
  <w:style w:type="paragraph" w:styleId="Header">
    <w:name w:val="header"/>
    <w:basedOn w:val="Normal"/>
    <w:link w:val="HeaderChar"/>
    <w:rsid w:val="00DF06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06FA"/>
    <w:rPr>
      <w:rFonts w:ascii="Times New Roman" w:eastAsia="Times New Roman" w:hAnsi="Times New Roman" w:cs="Times New Roman"/>
      <w:sz w:val="16"/>
      <w:szCs w:val="20"/>
      <w:lang w:val="en-GB" w:eastAsia="en-US"/>
    </w:rPr>
  </w:style>
  <w:style w:type="paragraph" w:customStyle="1" w:styleId="Chapter">
    <w:name w:val="Chapter"/>
    <w:basedOn w:val="Normal"/>
    <w:rsid w:val="00DF06FA"/>
    <w:pPr>
      <w:spacing w:before="240"/>
    </w:pPr>
    <w:rPr>
      <w:rFonts w:ascii="Times New Roman" w:hAnsi="Times New Roman"/>
      <w:smallCaps/>
      <w:spacing w:val="80"/>
      <w:sz w:val="28"/>
    </w:rPr>
  </w:style>
  <w:style w:type="paragraph" w:customStyle="1" w:styleId="InChapter">
    <w:name w:val="InChapter"/>
    <w:basedOn w:val="Heading3"/>
    <w:rsid w:val="00DF06FA"/>
    <w:pPr>
      <w:spacing w:after="240"/>
      <w:outlineLvl w:val="9"/>
    </w:pPr>
    <w:rPr>
      <w:noProof/>
    </w:rPr>
  </w:style>
  <w:style w:type="paragraph" w:styleId="Index2">
    <w:name w:val="index 2"/>
    <w:basedOn w:val="Normal"/>
    <w:next w:val="Normal"/>
    <w:semiHidden/>
    <w:rsid w:val="00DF06FA"/>
    <w:pPr>
      <w:tabs>
        <w:tab w:val="right" w:pos="4176"/>
      </w:tabs>
      <w:ind w:left="568" w:hanging="284"/>
    </w:pPr>
    <w:rPr>
      <w:rFonts w:ascii="Garamond" w:hAnsi="Garamond"/>
    </w:rPr>
  </w:style>
  <w:style w:type="paragraph" w:customStyle="1" w:styleId="Byline">
    <w:name w:val="Byline"/>
    <w:rsid w:val="00DF06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06FA"/>
    <w:pPr>
      <w:tabs>
        <w:tab w:val="clear" w:pos="3600"/>
        <w:tab w:val="clear" w:pos="3958"/>
      </w:tabs>
      <w:jc w:val="right"/>
    </w:pPr>
  </w:style>
  <w:style w:type="character" w:styleId="Emphasis">
    <w:name w:val="Emphasis"/>
    <w:basedOn w:val="DefaultParagraphFont"/>
    <w:qFormat/>
    <w:rsid w:val="00DF06FA"/>
    <w:rPr>
      <w:i/>
    </w:rPr>
  </w:style>
  <w:style w:type="paragraph" w:styleId="Caption">
    <w:name w:val="caption"/>
    <w:basedOn w:val="BodyText"/>
    <w:next w:val="Normal"/>
    <w:qFormat/>
    <w:rsid w:val="00DF06FA"/>
    <w:pPr>
      <w:framePr w:w="2268" w:hSpace="181" w:vSpace="181" w:wrap="around" w:vAnchor="text" w:hAnchor="page" w:x="1135" w:y="285" w:anchorLock="1"/>
    </w:pPr>
    <w:rPr>
      <w:i/>
    </w:rPr>
  </w:style>
  <w:style w:type="paragraph" w:customStyle="1" w:styleId="MiniTOCTitle">
    <w:name w:val="MiniTOCTitle"/>
    <w:basedOn w:val="Heading4"/>
    <w:rsid w:val="00DF06FA"/>
    <w:pPr>
      <w:spacing w:before="240"/>
      <w:outlineLvl w:val="9"/>
    </w:pPr>
    <w:rPr>
      <w:noProof/>
      <w:sz w:val="24"/>
    </w:rPr>
  </w:style>
  <w:style w:type="paragraph" w:customStyle="1" w:styleId="MiniTOCItem">
    <w:name w:val="MiniTOCItem"/>
    <w:basedOn w:val="ListBullet"/>
    <w:rsid w:val="00DF06FA"/>
    <w:pPr>
      <w:numPr>
        <w:numId w:val="0"/>
      </w:numPr>
      <w:tabs>
        <w:tab w:val="right" w:leader="dot" w:pos="6521"/>
      </w:tabs>
      <w:spacing w:before="0" w:after="0"/>
    </w:pPr>
  </w:style>
  <w:style w:type="paragraph" w:customStyle="1" w:styleId="TOFTitle">
    <w:name w:val="TOFTitle"/>
    <w:basedOn w:val="TOCTitle"/>
    <w:rsid w:val="00DF06FA"/>
  </w:style>
  <w:style w:type="paragraph" w:styleId="TableofFigures">
    <w:name w:val="table of figures"/>
    <w:basedOn w:val="Normal"/>
    <w:next w:val="Normal"/>
    <w:semiHidden/>
    <w:rsid w:val="00DF06FA"/>
    <w:pPr>
      <w:tabs>
        <w:tab w:val="right" w:leader="dot" w:pos="9072"/>
      </w:tabs>
      <w:ind w:left="970" w:hanging="403"/>
    </w:pPr>
    <w:rPr>
      <w:rFonts w:ascii="Times New Roman" w:hAnsi="Times New Roman"/>
      <w:b/>
    </w:rPr>
  </w:style>
  <w:style w:type="paragraph" w:styleId="ListNumber">
    <w:name w:val="List Number"/>
    <w:basedOn w:val="List"/>
    <w:rsid w:val="00DF06FA"/>
    <w:pPr>
      <w:numPr>
        <w:numId w:val="12"/>
      </w:numPr>
    </w:pPr>
  </w:style>
  <w:style w:type="character" w:customStyle="1" w:styleId="WingdingSymbols">
    <w:name w:val="Wingding Symbols"/>
    <w:rsid w:val="00DF06FA"/>
    <w:rPr>
      <w:rFonts w:ascii="Wingdings" w:hAnsi="Wingdings"/>
    </w:rPr>
  </w:style>
  <w:style w:type="paragraph" w:customStyle="1" w:styleId="TableHeading">
    <w:name w:val="Table Heading"/>
    <w:basedOn w:val="HeadingBase"/>
    <w:rsid w:val="00DF06FA"/>
    <w:pPr>
      <w:keepLines/>
      <w:pBdr>
        <w:bottom w:val="single" w:sz="6" w:space="1" w:color="918585"/>
      </w:pBdr>
      <w:spacing w:before="240"/>
    </w:pPr>
  </w:style>
  <w:style w:type="character" w:customStyle="1" w:styleId="HotSpot">
    <w:name w:val="HotSpot"/>
    <w:rsid w:val="00DF06FA"/>
    <w:rPr>
      <w:color w:val="0033CC"/>
      <w:u w:val="none"/>
    </w:rPr>
  </w:style>
  <w:style w:type="paragraph" w:customStyle="1" w:styleId="BodyTextRight">
    <w:name w:val="Body Text Right"/>
    <w:basedOn w:val="BodyText"/>
    <w:rsid w:val="00DF06FA"/>
    <w:pPr>
      <w:spacing w:before="0" w:after="0"/>
      <w:jc w:val="right"/>
    </w:pPr>
  </w:style>
  <w:style w:type="paragraph" w:styleId="Index3">
    <w:name w:val="index 3"/>
    <w:basedOn w:val="ListNumber2"/>
    <w:next w:val="Normal"/>
    <w:semiHidden/>
    <w:rsid w:val="00DF06FA"/>
    <w:pPr>
      <w:numPr>
        <w:numId w:val="0"/>
      </w:numPr>
      <w:tabs>
        <w:tab w:val="right" w:leader="dot" w:pos="4176"/>
      </w:tabs>
    </w:pPr>
  </w:style>
  <w:style w:type="paragraph" w:styleId="ListNumber2">
    <w:name w:val="List Number 2"/>
    <w:basedOn w:val="List2"/>
    <w:rsid w:val="00DF06FA"/>
    <w:pPr>
      <w:numPr>
        <w:numId w:val="11"/>
      </w:numPr>
      <w:tabs>
        <w:tab w:val="clear" w:pos="1060"/>
      </w:tabs>
    </w:pPr>
  </w:style>
  <w:style w:type="paragraph" w:customStyle="1" w:styleId="MarginNote">
    <w:name w:val="Margin Note"/>
    <w:basedOn w:val="BodyText"/>
    <w:rsid w:val="00DF06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06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06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06FA"/>
    <w:rPr>
      <w:sz w:val="32"/>
    </w:rPr>
  </w:style>
  <w:style w:type="paragraph" w:customStyle="1" w:styleId="HeadingProcedure">
    <w:name w:val="Heading Procedure"/>
    <w:basedOn w:val="HeadingBase"/>
    <w:next w:val="Normal"/>
    <w:rsid w:val="00DF06FA"/>
    <w:pPr>
      <w:tabs>
        <w:tab w:val="left" w:pos="0"/>
      </w:tabs>
      <w:spacing w:before="120" w:after="60"/>
    </w:pPr>
    <w:rPr>
      <w:i/>
      <w:color w:val="918585"/>
      <w:sz w:val="22"/>
    </w:rPr>
  </w:style>
  <w:style w:type="paragraph" w:customStyle="1" w:styleId="TableBodyText">
    <w:name w:val="Table Body Text"/>
    <w:basedOn w:val="BodyText"/>
    <w:rsid w:val="00DF06FA"/>
    <w:pPr>
      <w:spacing w:before="60" w:after="60"/>
    </w:pPr>
  </w:style>
  <w:style w:type="paragraph" w:styleId="ListContinue">
    <w:name w:val="List Continue"/>
    <w:basedOn w:val="List"/>
    <w:rsid w:val="00DF06FA"/>
    <w:pPr>
      <w:ind w:firstLine="0"/>
    </w:pPr>
  </w:style>
  <w:style w:type="paragraph" w:customStyle="1" w:styleId="ListNote">
    <w:name w:val="List Note"/>
    <w:basedOn w:val="List"/>
    <w:rsid w:val="00DF06FA"/>
    <w:pPr>
      <w:pBdr>
        <w:top w:val="single" w:sz="6" w:space="2" w:color="918585"/>
        <w:bottom w:val="single" w:sz="6" w:space="2" w:color="918585"/>
      </w:pBdr>
      <w:tabs>
        <w:tab w:val="left" w:pos="1021"/>
      </w:tabs>
      <w:ind w:firstLine="0"/>
    </w:pPr>
  </w:style>
  <w:style w:type="paragraph" w:customStyle="1" w:styleId="Warning">
    <w:name w:val="Warning"/>
    <w:basedOn w:val="BodyText"/>
    <w:rsid w:val="00DF06FA"/>
    <w:pPr>
      <w:shd w:val="clear" w:color="auto" w:fill="D9D9D9"/>
      <w:tabs>
        <w:tab w:val="left" w:pos="992"/>
      </w:tabs>
      <w:ind w:left="119" w:right="119"/>
    </w:pPr>
    <w:rPr>
      <w:sz w:val="20"/>
    </w:rPr>
  </w:style>
  <w:style w:type="paragraph" w:customStyle="1" w:styleId="MarginIcons">
    <w:name w:val="Margin Icons"/>
    <w:basedOn w:val="BodyText"/>
    <w:rsid w:val="00DF06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06FA"/>
    <w:rPr>
      <w:rFonts w:ascii="Courier New" w:hAnsi="Courier New"/>
    </w:rPr>
  </w:style>
  <w:style w:type="paragraph" w:customStyle="1" w:styleId="NoteBullet">
    <w:name w:val="Note Bullet"/>
    <w:basedOn w:val="Note"/>
    <w:rsid w:val="00DF06FA"/>
    <w:pPr>
      <w:tabs>
        <w:tab w:val="clear" w:pos="680"/>
      </w:tabs>
      <w:spacing w:before="60" w:after="60"/>
    </w:pPr>
  </w:style>
  <w:style w:type="paragraph" w:customStyle="1" w:styleId="SubHeading2">
    <w:name w:val="SubHeading2"/>
    <w:basedOn w:val="HeadingBase"/>
    <w:rsid w:val="00DF06FA"/>
    <w:pPr>
      <w:spacing w:before="240" w:after="60"/>
    </w:pPr>
    <w:rPr>
      <w:sz w:val="20"/>
    </w:rPr>
  </w:style>
  <w:style w:type="paragraph" w:customStyle="1" w:styleId="SubHeading1">
    <w:name w:val="SubHeading1"/>
    <w:basedOn w:val="HeadingBase"/>
    <w:rsid w:val="00DF06FA"/>
    <w:pPr>
      <w:spacing w:before="240" w:after="60"/>
    </w:pPr>
    <w:rPr>
      <w:color w:val="918585"/>
      <w:sz w:val="22"/>
    </w:rPr>
  </w:style>
  <w:style w:type="paragraph" w:customStyle="1" w:styleId="SideHeading">
    <w:name w:val="Side Heading"/>
    <w:basedOn w:val="HeadingBase"/>
    <w:rsid w:val="00DF06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06FA"/>
    <w:pPr>
      <w:numPr>
        <w:numId w:val="13"/>
      </w:numPr>
    </w:pPr>
  </w:style>
  <w:style w:type="paragraph" w:styleId="PlainText">
    <w:name w:val="Plain Text"/>
    <w:basedOn w:val="Normal"/>
    <w:link w:val="PlainTextChar"/>
    <w:rsid w:val="00DF06FA"/>
    <w:rPr>
      <w:sz w:val="20"/>
    </w:rPr>
  </w:style>
  <w:style w:type="character" w:customStyle="1" w:styleId="PlainTextChar">
    <w:name w:val="Plain Text Char"/>
    <w:basedOn w:val="DefaultParagraphFont"/>
    <w:link w:val="PlainText"/>
    <w:rsid w:val="00DF06FA"/>
    <w:rPr>
      <w:rFonts w:ascii="Courier New" w:eastAsia="Times New Roman" w:hAnsi="Courier New" w:cs="Times New Roman"/>
      <w:sz w:val="20"/>
      <w:szCs w:val="20"/>
      <w:lang w:eastAsia="en-US"/>
    </w:rPr>
  </w:style>
  <w:style w:type="character" w:customStyle="1" w:styleId="MenuOption">
    <w:name w:val="Menu Option"/>
    <w:basedOn w:val="DefaultParagraphFont"/>
    <w:rsid w:val="00DF06FA"/>
    <w:rPr>
      <w:b/>
      <w:smallCaps/>
    </w:rPr>
  </w:style>
  <w:style w:type="paragraph" w:customStyle="1" w:styleId="TableListNumber">
    <w:name w:val="Table List Number"/>
    <w:basedOn w:val="ListNumber"/>
    <w:rsid w:val="00DF06FA"/>
    <w:pPr>
      <w:numPr>
        <w:numId w:val="0"/>
      </w:numPr>
    </w:pPr>
  </w:style>
  <w:style w:type="paragraph" w:styleId="TOC4">
    <w:name w:val="toc 4"/>
    <w:basedOn w:val="TOCBase"/>
    <w:next w:val="Normal"/>
    <w:semiHidden/>
    <w:rsid w:val="00DF06FA"/>
    <w:pPr>
      <w:tabs>
        <w:tab w:val="right" w:leader="dot" w:pos="9071"/>
      </w:tabs>
      <w:ind w:left="1701"/>
    </w:pPr>
  </w:style>
  <w:style w:type="paragraph" w:customStyle="1" w:styleId="ListAlpha">
    <w:name w:val="List Alpha"/>
    <w:basedOn w:val="List"/>
    <w:rsid w:val="00DF06FA"/>
    <w:pPr>
      <w:numPr>
        <w:numId w:val="10"/>
      </w:numPr>
    </w:pPr>
  </w:style>
  <w:style w:type="paragraph" w:customStyle="1" w:styleId="ListAlpha2">
    <w:name w:val="List Alpha 2"/>
    <w:basedOn w:val="List2"/>
    <w:rsid w:val="00DF06FA"/>
    <w:pPr>
      <w:numPr>
        <w:numId w:val="9"/>
      </w:numPr>
    </w:pPr>
  </w:style>
  <w:style w:type="paragraph" w:styleId="List2">
    <w:name w:val="List 2"/>
    <w:basedOn w:val="BodyText"/>
    <w:rsid w:val="00DF06FA"/>
    <w:pPr>
      <w:tabs>
        <w:tab w:val="left" w:pos="680"/>
      </w:tabs>
      <w:spacing w:before="60" w:after="60"/>
      <w:ind w:left="680" w:hanging="340"/>
    </w:pPr>
  </w:style>
  <w:style w:type="paragraph" w:styleId="List3">
    <w:name w:val="List 3"/>
    <w:basedOn w:val="BodyText"/>
    <w:rsid w:val="00DF06FA"/>
    <w:pPr>
      <w:tabs>
        <w:tab w:val="left" w:pos="1021"/>
      </w:tabs>
      <w:spacing w:before="60" w:after="60"/>
      <w:ind w:left="1020" w:hanging="340"/>
    </w:pPr>
  </w:style>
  <w:style w:type="paragraph" w:styleId="List4">
    <w:name w:val="List 4"/>
    <w:basedOn w:val="BodyText"/>
    <w:rsid w:val="00DF06FA"/>
    <w:pPr>
      <w:tabs>
        <w:tab w:val="left" w:pos="1361"/>
      </w:tabs>
      <w:spacing w:before="60" w:after="60"/>
      <w:ind w:left="1361" w:hanging="340"/>
    </w:pPr>
  </w:style>
  <w:style w:type="paragraph" w:styleId="List5">
    <w:name w:val="List 5"/>
    <w:basedOn w:val="BodyText"/>
    <w:rsid w:val="00DF06FA"/>
    <w:pPr>
      <w:tabs>
        <w:tab w:val="left" w:pos="1701"/>
      </w:tabs>
      <w:spacing w:before="60" w:after="60"/>
      <w:ind w:left="1701" w:hanging="340"/>
    </w:pPr>
  </w:style>
  <w:style w:type="paragraph" w:styleId="ListBullet4">
    <w:name w:val="List Bullet 4"/>
    <w:basedOn w:val="List4"/>
    <w:rsid w:val="00DF06FA"/>
    <w:pPr>
      <w:numPr>
        <w:numId w:val="4"/>
      </w:numPr>
    </w:pPr>
  </w:style>
  <w:style w:type="paragraph" w:styleId="ListBullet5">
    <w:name w:val="List Bullet 5"/>
    <w:basedOn w:val="List5"/>
    <w:rsid w:val="00DF06FA"/>
    <w:pPr>
      <w:numPr>
        <w:numId w:val="5"/>
      </w:numPr>
    </w:pPr>
  </w:style>
  <w:style w:type="paragraph" w:styleId="ListContinue2">
    <w:name w:val="List Continue 2"/>
    <w:basedOn w:val="List2"/>
    <w:rsid w:val="00DF06FA"/>
    <w:pPr>
      <w:ind w:firstLine="0"/>
    </w:pPr>
  </w:style>
  <w:style w:type="paragraph" w:styleId="ListContinue3">
    <w:name w:val="List Continue 3"/>
    <w:basedOn w:val="List3"/>
    <w:rsid w:val="00DF06FA"/>
    <w:pPr>
      <w:ind w:left="1021" w:firstLine="0"/>
    </w:pPr>
  </w:style>
  <w:style w:type="paragraph" w:styleId="ListContinue4">
    <w:name w:val="List Continue 4"/>
    <w:basedOn w:val="List4"/>
    <w:rsid w:val="00DF06FA"/>
    <w:pPr>
      <w:ind w:firstLine="0"/>
    </w:pPr>
  </w:style>
  <w:style w:type="paragraph" w:styleId="ListContinue5">
    <w:name w:val="List Continue 5"/>
    <w:basedOn w:val="List5"/>
    <w:rsid w:val="00DF06FA"/>
    <w:pPr>
      <w:ind w:firstLine="0"/>
    </w:pPr>
  </w:style>
  <w:style w:type="paragraph" w:styleId="ListNumber3">
    <w:name w:val="List Number 3"/>
    <w:basedOn w:val="List3"/>
    <w:rsid w:val="00DF06FA"/>
    <w:pPr>
      <w:numPr>
        <w:numId w:val="6"/>
      </w:numPr>
    </w:pPr>
  </w:style>
  <w:style w:type="paragraph" w:styleId="ListNumber4">
    <w:name w:val="List Number 4"/>
    <w:basedOn w:val="List4"/>
    <w:rsid w:val="00DF06FA"/>
    <w:pPr>
      <w:numPr>
        <w:numId w:val="7"/>
      </w:numPr>
    </w:pPr>
  </w:style>
  <w:style w:type="paragraph" w:styleId="ListNumber5">
    <w:name w:val="List Number 5"/>
    <w:basedOn w:val="List5"/>
    <w:rsid w:val="00DF06FA"/>
    <w:pPr>
      <w:numPr>
        <w:numId w:val="8"/>
      </w:numPr>
    </w:pPr>
  </w:style>
  <w:style w:type="paragraph" w:styleId="BlockText">
    <w:name w:val="Block Text"/>
    <w:basedOn w:val="Normal"/>
    <w:rsid w:val="00DF06FA"/>
    <w:pPr>
      <w:spacing w:after="120"/>
      <w:ind w:left="1440" w:right="1440"/>
    </w:pPr>
  </w:style>
  <w:style w:type="character" w:customStyle="1" w:styleId="Subscript">
    <w:name w:val="Subscript"/>
    <w:basedOn w:val="DefaultParagraphFont"/>
    <w:rsid w:val="00DF06FA"/>
    <w:rPr>
      <w:sz w:val="16"/>
      <w:vertAlign w:val="subscript"/>
    </w:rPr>
  </w:style>
  <w:style w:type="character" w:customStyle="1" w:styleId="Superscript">
    <w:name w:val="Superscript"/>
    <w:basedOn w:val="DefaultParagraphFont"/>
    <w:rsid w:val="00DF06FA"/>
    <w:rPr>
      <w:sz w:val="16"/>
      <w:vertAlign w:val="superscript"/>
    </w:rPr>
  </w:style>
  <w:style w:type="character" w:customStyle="1" w:styleId="Symbols">
    <w:name w:val="Symbols"/>
    <w:basedOn w:val="DefaultParagraphFont"/>
    <w:rsid w:val="00DF06FA"/>
    <w:rPr>
      <w:rFonts w:ascii="Symbol" w:hAnsi="Symbol"/>
    </w:rPr>
  </w:style>
  <w:style w:type="character" w:customStyle="1" w:styleId="MenuOptions">
    <w:name w:val="Menu Options"/>
    <w:basedOn w:val="DefaultParagraphFont"/>
    <w:rsid w:val="00DF06FA"/>
    <w:rPr>
      <w:rFonts w:ascii="Arial Narrow" w:hAnsi="Arial Narrow"/>
      <w:smallCaps/>
    </w:rPr>
  </w:style>
  <w:style w:type="character" w:customStyle="1" w:styleId="Buttons">
    <w:name w:val="Buttons"/>
    <w:basedOn w:val="DefaultParagraphFont"/>
    <w:rsid w:val="00DF06FA"/>
    <w:rPr>
      <w:b/>
    </w:rPr>
  </w:style>
  <w:style w:type="character" w:customStyle="1" w:styleId="Underlined">
    <w:name w:val="Underlined"/>
    <w:basedOn w:val="DefaultParagraphFont"/>
    <w:rsid w:val="00DF06FA"/>
    <w:rPr>
      <w:u w:val="single"/>
    </w:rPr>
  </w:style>
  <w:style w:type="paragraph" w:customStyle="1" w:styleId="TableBodyTextRight">
    <w:name w:val="Table Body Text Right"/>
    <w:basedOn w:val="TableBodyText"/>
    <w:rsid w:val="00DF06FA"/>
    <w:pPr>
      <w:widowControl w:val="0"/>
      <w:autoSpaceDE w:val="0"/>
      <w:autoSpaceDN w:val="0"/>
      <w:adjustRightInd w:val="0"/>
      <w:jc w:val="right"/>
    </w:pPr>
    <w:rPr>
      <w:rFonts w:cs="Arial"/>
      <w:szCs w:val="18"/>
    </w:rPr>
  </w:style>
  <w:style w:type="paragraph" w:customStyle="1" w:styleId="CopyrightText">
    <w:name w:val="Copyright Text"/>
    <w:basedOn w:val="BodyText"/>
    <w:rsid w:val="00DF06FA"/>
    <w:rPr>
      <w:sz w:val="18"/>
    </w:rPr>
  </w:style>
  <w:style w:type="paragraph" w:customStyle="1" w:styleId="BodySmallRight">
    <w:name w:val="Body Small Right"/>
    <w:basedOn w:val="BodyTextRight"/>
    <w:rsid w:val="00DF06FA"/>
    <w:rPr>
      <w:sz w:val="18"/>
      <w:szCs w:val="18"/>
    </w:rPr>
  </w:style>
  <w:style w:type="paragraph" w:customStyle="1" w:styleId="MarginEdition">
    <w:name w:val="Margin Edition"/>
    <w:basedOn w:val="MarginNote"/>
    <w:rsid w:val="00DF06FA"/>
    <w:pPr>
      <w:spacing w:before="0" w:after="0"/>
    </w:pPr>
    <w:rPr>
      <w:rFonts w:ascii="Times New Roman" w:hAnsi="Times New Roman"/>
      <w:color w:val="999999"/>
    </w:rPr>
  </w:style>
  <w:style w:type="paragraph" w:customStyle="1" w:styleId="Spacer">
    <w:name w:val="Spacer"/>
    <w:basedOn w:val="Normal"/>
    <w:rsid w:val="00DF06FA"/>
    <w:rPr>
      <w:sz w:val="2"/>
      <w:szCs w:val="2"/>
    </w:rPr>
  </w:style>
  <w:style w:type="character" w:customStyle="1" w:styleId="Small">
    <w:name w:val="Small"/>
    <w:basedOn w:val="DefaultParagraphFont"/>
    <w:rsid w:val="00DF06FA"/>
    <w:rPr>
      <w:sz w:val="16"/>
    </w:rPr>
  </w:style>
  <w:style w:type="paragraph" w:customStyle="1" w:styleId="WideTable">
    <w:name w:val="Wide Table"/>
    <w:basedOn w:val="Normal"/>
    <w:rsid w:val="00DF06FA"/>
    <w:pPr>
      <w:ind w:left="-1418"/>
    </w:pPr>
    <w:rPr>
      <w:sz w:val="2"/>
      <w:szCs w:val="2"/>
    </w:rPr>
  </w:style>
  <w:style w:type="character" w:styleId="PageNumber">
    <w:name w:val="page number"/>
    <w:basedOn w:val="DefaultParagraphFont"/>
    <w:rsid w:val="00DF06FA"/>
  </w:style>
  <w:style w:type="paragraph" w:styleId="Quote">
    <w:name w:val="Quote"/>
    <w:basedOn w:val="Heading1"/>
    <w:link w:val="QuoteChar"/>
    <w:qFormat/>
    <w:rsid w:val="00DF06FA"/>
    <w:rPr>
      <w:b w:val="0"/>
      <w:sz w:val="72"/>
      <w:szCs w:val="72"/>
      <w:lang w:val="en-NZ"/>
    </w:rPr>
  </w:style>
  <w:style w:type="character" w:customStyle="1" w:styleId="QuoteChar">
    <w:name w:val="Quote Char"/>
    <w:basedOn w:val="DefaultParagraphFont"/>
    <w:link w:val="Quote"/>
    <w:rsid w:val="00DF06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06FA"/>
    <w:pPr>
      <w:pageBreakBefore/>
    </w:pPr>
  </w:style>
  <w:style w:type="paragraph" w:customStyle="1" w:styleId="Border">
    <w:name w:val="Border"/>
    <w:basedOn w:val="Normal"/>
    <w:qFormat/>
    <w:rsid w:val="00DF06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06FA"/>
    <w:rPr>
      <w:b/>
      <w:bCs/>
      <w:i/>
      <w:iCs/>
      <w:color w:val="auto"/>
    </w:rPr>
  </w:style>
  <w:style w:type="paragraph" w:styleId="IntenseQuote">
    <w:name w:val="Intense Quote"/>
    <w:basedOn w:val="Normal"/>
    <w:next w:val="Normal"/>
    <w:link w:val="IntenseQuoteChar"/>
    <w:uiPriority w:val="30"/>
    <w:qFormat/>
    <w:rsid w:val="00DF06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06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06FA"/>
    <w:rPr>
      <w:smallCaps/>
      <w:color w:val="auto"/>
      <w:u w:val="single"/>
    </w:rPr>
  </w:style>
  <w:style w:type="character" w:styleId="IntenseReference">
    <w:name w:val="Intense Reference"/>
    <w:basedOn w:val="DefaultParagraphFont"/>
    <w:uiPriority w:val="32"/>
    <w:qFormat/>
    <w:rsid w:val="00DF06FA"/>
    <w:rPr>
      <w:b/>
      <w:bCs/>
      <w:smallCaps/>
      <w:color w:val="auto"/>
      <w:spacing w:val="5"/>
      <w:u w:val="single"/>
    </w:rPr>
  </w:style>
  <w:style w:type="paragraph" w:customStyle="1" w:styleId="2ColumnHeading">
    <w:name w:val="2Column Heading"/>
    <w:basedOn w:val="BodyText"/>
    <w:qFormat/>
    <w:rsid w:val="00DF06FA"/>
    <w:pPr>
      <w:spacing w:after="60"/>
      <w:ind w:left="-2268"/>
    </w:pPr>
    <w:rPr>
      <w:b/>
    </w:rPr>
  </w:style>
  <w:style w:type="paragraph" w:customStyle="1" w:styleId="Heading1TOC">
    <w:name w:val="Heading1 TOC"/>
    <w:basedOn w:val="Normal"/>
    <w:qFormat/>
    <w:rsid w:val="00DF06FA"/>
    <w:pPr>
      <w:spacing w:before="240" w:after="120"/>
    </w:pPr>
    <w:rPr>
      <w:rFonts w:ascii="Times New Roman" w:hAnsi="Times New Roman"/>
      <w:b/>
      <w:sz w:val="32"/>
    </w:rPr>
  </w:style>
  <w:style w:type="paragraph" w:customStyle="1" w:styleId="Heading2TOC">
    <w:name w:val="Heading2 TOC"/>
    <w:basedOn w:val="Normal"/>
    <w:qFormat/>
    <w:rsid w:val="00DF06FA"/>
    <w:pPr>
      <w:spacing w:before="240" w:after="60"/>
    </w:pPr>
    <w:rPr>
      <w:rFonts w:ascii="Times New Roman" w:hAnsi="Times New Roman"/>
      <w:b/>
      <w:sz w:val="28"/>
    </w:rPr>
  </w:style>
  <w:style w:type="character" w:customStyle="1" w:styleId="Underline">
    <w:name w:val="Underline"/>
    <w:basedOn w:val="DefaultParagraphFont"/>
    <w:qFormat/>
    <w:rsid w:val="00DF06FA"/>
    <w:rPr>
      <w:u w:val="single"/>
    </w:rPr>
  </w:style>
  <w:style w:type="paragraph" w:styleId="BalloonText">
    <w:name w:val="Balloon Text"/>
    <w:basedOn w:val="Normal"/>
    <w:link w:val="BalloonTextChar"/>
    <w:rsid w:val="00DF06FA"/>
    <w:rPr>
      <w:rFonts w:ascii="Tahoma" w:hAnsi="Tahoma" w:cs="Tahoma"/>
      <w:sz w:val="16"/>
      <w:szCs w:val="16"/>
    </w:rPr>
  </w:style>
  <w:style w:type="character" w:customStyle="1" w:styleId="BalloonTextChar">
    <w:name w:val="Balloon Text Char"/>
    <w:basedOn w:val="DefaultParagraphFont"/>
    <w:link w:val="BalloonText"/>
    <w:rsid w:val="00DF06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06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06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06FA"/>
    <w:rPr>
      <w:b/>
      <w:color w:val="660033"/>
      <w:spacing w:val="0"/>
    </w:rPr>
  </w:style>
  <w:style w:type="paragraph" w:customStyle="1" w:styleId="Nameditemlist">
    <w:name w:val="Named item list"/>
    <w:basedOn w:val="BodyText"/>
    <w:qFormat/>
    <w:rsid w:val="00DF06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1838</Words>
  <Characters>11973</Characters>
  <Application>Microsoft Office Word</Application>
  <DocSecurity>0</DocSecurity>
  <Lines>446</Lines>
  <Paragraphs>241</Paragraphs>
  <ScaleCrop>false</ScaleCrop>
  <Company>Author-it Software Corporation Ltd.</Company>
  <LinksUpToDate>false</LinksUpToDate>
  <CharactersWithSpaces>13720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CPCPRF3023A Fabricate and install external flashings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2013-02-06T06:50:00Z</dcterms:created>
  <dcterms:modified xsi:type="dcterms:W3CDTF">2013-02-06T06:50:00Z</dcterms:modified>
</cp:coreProperties>
</file>