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1D9C" w:rsidP="00631D9C">
      <w:pPr>
        <w:pStyle w:val="Title"/>
      </w:pPr>
      <w:r>
        <w:fldChar w:fldCharType="begin"/>
      </w:r>
      <w:r>
        <w:instrText xml:space="preserve"> TITLE   \* MERGEFORMAT </w:instrText>
      </w:r>
      <w:r>
        <w:fldChar w:fldCharType="separate"/>
      </w:r>
      <w:r>
        <w:t>CPCPPS5015A Inspect plumbing and drainage systems</w:t>
      </w:r>
      <w:r>
        <w:fldChar w:fldCharType="end"/>
      </w:r>
    </w:p>
    <w:p w:rsidR="00631D9C" w:rsidP="00631D9C">
      <w:pPr>
        <w:pStyle w:val="Version"/>
        <w:sectPr w:rsidSect="00BF76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76DF" w:rsidP="00BF76DF">
      <w:pPr>
        <w:pStyle w:val="SuperHeading"/>
      </w:pPr>
      <w:r w:rsidRPr="00BF76DF">
        <w:t>CPCPPS5015A Inspect plumbing and drainage systems</w:t>
      </w:r>
    </w:p>
    <w:p w:rsidR="00000000" w:rsidRPr="00BF76DF" w:rsidP="00BF76DF">
      <w:pPr>
        <w:pStyle w:val="Heading1"/>
      </w:pPr>
      <w:bookmarkStart w:id="1" w:name="O_269908"/>
      <w:bookmarkEnd w:id="1"/>
      <w:r w:rsidRPr="00BF76DF">
        <w:t>Modification History</w:t>
      </w:r>
    </w:p>
    <w:p w:rsidR="00000000" w:rsidRPr="00BF76DF" w:rsidP="00BF76DF">
      <w:pPr>
        <w:pStyle w:val="BodyText"/>
      </w:pPr>
      <w:r w:rsidRPr="00BF76DF">
        <w:t>Not Applicable</w:t>
      </w:r>
    </w:p>
    <w:p w:rsidR="00000000" w:rsidRPr="00BF76DF" w:rsidP="00BF76DF">
      <w:pPr>
        <w:pStyle w:val="AllowPageBreak"/>
      </w:pPr>
    </w:p>
    <w:p w:rsidR="00000000" w:rsidRPr="00BF76DF" w:rsidP="00BF76DF">
      <w:pPr>
        <w:pStyle w:val="Heading1"/>
      </w:pPr>
      <w:bookmarkStart w:id="2" w:name="O_200131"/>
      <w:bookmarkEnd w:id="2"/>
      <w:r w:rsidRPr="00BF76DF">
        <w:t>Unit Descriptor</w:t>
      </w:r>
    </w:p>
    <w:tbl>
      <w:tblPr>
        <w:tblW w:w="0" w:type="auto"/>
        <w:tblLayout w:type="fixed"/>
        <w:tblCellMar>
          <w:left w:w="62" w:type="dxa"/>
          <w:right w:w="62" w:type="dxa"/>
        </w:tblCellMar>
        <w:tblLook w:val="0000"/>
      </w:tblPr>
      <w:tblGrid>
        <w:gridCol w:w="2646"/>
        <w:gridCol w:w="5876"/>
      </w:tblGrid>
      <w:tr w:rsidTr="00631D9C">
        <w:tblPrEx>
          <w:tblW w:w="0" w:type="auto"/>
          <w:tblLayout w:type="fixed"/>
          <w:tblCellMar>
            <w:left w:w="62" w:type="dxa"/>
            <w:right w:w="62" w:type="dxa"/>
          </w:tblCellMar>
          <w:tblLook w:val="0000"/>
        </w:tblPrEx>
        <w:trPr>
          <w:tblHeader/>
        </w:trPr>
        <w:tc>
          <w:tcPr>
            <w:tcW w:w="2646" w:type="dxa"/>
            <w:tcBorders>
              <w:top w:val="nil"/>
              <w:left w:val="nil"/>
              <w:bottom w:val="nil"/>
              <w:right w:val="nil"/>
            </w:tcBorders>
            <w:tcMar>
              <w:top w:w="0" w:type="dxa"/>
              <w:left w:w="62" w:type="dxa"/>
              <w:bottom w:w="0" w:type="dxa"/>
              <w:right w:w="62" w:type="dxa"/>
            </w:tcMar>
          </w:tcPr>
          <w:p w:rsidR="00000000" w:rsidP="00BF76DF">
            <w:pPr>
              <w:pStyle w:val="BodyText"/>
              <w:rPr>
                <w:lang w:val="en-NZ"/>
              </w:rPr>
            </w:pPr>
            <w:r w:rsidRPr="00BF76DF">
              <w:rPr>
                <w:rStyle w:val="SpecialBold"/>
              </w:rPr>
              <w:t>Unit descriptor</w:t>
            </w:r>
          </w:p>
        </w:tc>
        <w:tc>
          <w:tcPr>
            <w:tcW w:w="5876" w:type="dxa"/>
            <w:tcBorders>
              <w:top w:val="nil"/>
              <w:left w:val="nil"/>
              <w:bottom w:val="nil"/>
              <w:right w:val="nil"/>
            </w:tcBorders>
            <w:tcMar>
              <w:top w:w="0" w:type="dxa"/>
              <w:left w:w="62" w:type="dxa"/>
              <w:bottom w:w="0" w:type="dxa"/>
              <w:right w:w="62" w:type="dxa"/>
            </w:tcMar>
          </w:tcPr>
          <w:p w:rsidR="00000000" w:rsidRPr="00BF76DF" w:rsidP="00BF76DF">
            <w:pPr>
              <w:pStyle w:val="BodyText"/>
            </w:pPr>
            <w:r w:rsidRPr="00BF76DF">
              <w:t>This unit of competency specifies the outcomes required to conduct inspections of hydraulic systems f</w:t>
            </w:r>
            <w:r w:rsidRPr="00BF76DF">
              <w:t>or a range of residential, commercial and industrial buildings to ensure compliance with Australian and New Zealand standards and local authority and operational performance requirements.</w:t>
            </w:r>
          </w:p>
        </w:tc>
      </w:tr>
    </w:tbl>
    <w:p w:rsidR="00631D9C" w:rsidP="00BF76DF">
      <w:pPr>
        <w:pStyle w:val="BodyText"/>
      </w:pPr>
    </w:p>
    <w:p w:rsidR="00631D9C" w:rsidP="00BF76DF">
      <w:pPr>
        <w:pStyle w:val="BodyText"/>
      </w:pPr>
    </w:p>
    <w:p w:rsidR="00000000" w:rsidRPr="00BF76DF" w:rsidP="00BF76DF">
      <w:pPr>
        <w:pStyle w:val="Heading1"/>
      </w:pPr>
      <w:bookmarkStart w:id="3" w:name="O_200135"/>
      <w:bookmarkEnd w:id="3"/>
      <w:r w:rsidRPr="00BF76DF">
        <w:t>Application of the Unit</w:t>
      </w:r>
    </w:p>
    <w:tbl>
      <w:tblPr>
        <w:tblW w:w="0" w:type="auto"/>
        <w:tblLayout w:type="fixed"/>
        <w:tblCellMar>
          <w:left w:w="62" w:type="dxa"/>
          <w:right w:w="62" w:type="dxa"/>
        </w:tblCellMar>
        <w:tblLook w:val="0000"/>
      </w:tblPr>
      <w:tblGrid>
        <w:gridCol w:w="2712"/>
        <w:gridCol w:w="5810"/>
      </w:tblGrid>
      <w:tr w:rsidTr="00631D9C">
        <w:tblPrEx>
          <w:tblW w:w="0" w:type="auto"/>
          <w:tblLayout w:type="fixed"/>
          <w:tblCellMar>
            <w:left w:w="62" w:type="dxa"/>
            <w:right w:w="62" w:type="dxa"/>
          </w:tblCellMar>
          <w:tblLook w:val="0000"/>
        </w:tblPrEx>
        <w:trPr>
          <w:tblHeader/>
        </w:trPr>
        <w:tc>
          <w:tcPr>
            <w:tcW w:w="2712" w:type="dxa"/>
            <w:tcBorders>
              <w:top w:val="nil"/>
              <w:left w:val="nil"/>
              <w:bottom w:val="nil"/>
              <w:right w:val="nil"/>
            </w:tcBorders>
            <w:tcMar>
              <w:top w:w="0" w:type="dxa"/>
              <w:left w:w="62" w:type="dxa"/>
              <w:bottom w:w="0" w:type="dxa"/>
              <w:right w:w="62" w:type="dxa"/>
            </w:tcMar>
          </w:tcPr>
          <w:p w:rsidR="00000000" w:rsidP="00BF76DF">
            <w:pPr>
              <w:pStyle w:val="BodyText"/>
              <w:rPr>
                <w:lang w:val="en-NZ"/>
              </w:rPr>
            </w:pPr>
            <w:r w:rsidRPr="00BF76DF">
              <w:rPr>
                <w:rStyle w:val="SpecialBold"/>
              </w:rPr>
              <w:t>Application of the unit</w:t>
            </w:r>
          </w:p>
        </w:tc>
        <w:tc>
          <w:tcPr>
            <w:tcW w:w="5810" w:type="dxa"/>
            <w:tcBorders>
              <w:top w:val="nil"/>
              <w:left w:val="nil"/>
              <w:bottom w:val="nil"/>
              <w:right w:val="nil"/>
            </w:tcBorders>
            <w:tcMar>
              <w:top w:w="0" w:type="dxa"/>
              <w:left w:w="62" w:type="dxa"/>
              <w:bottom w:w="0" w:type="dxa"/>
              <w:right w:w="62" w:type="dxa"/>
            </w:tcMar>
          </w:tcPr>
          <w:p w:rsidR="00000000" w:rsidRPr="00BF76DF" w:rsidP="00BF76DF">
            <w:pPr>
              <w:pStyle w:val="BodyText"/>
            </w:pPr>
            <w:r w:rsidRPr="00BF76DF">
              <w:t xml:space="preserve">This unit of competency supports development of skills and knowledge required for competent workplace performance in a consultancy or supervisory capacity in relation to plumbing services and hydraulics. </w:t>
            </w:r>
          </w:p>
        </w:tc>
      </w:tr>
    </w:tbl>
    <w:p w:rsidR="00631D9C" w:rsidP="00BF76DF">
      <w:pPr>
        <w:pStyle w:val="BodyText"/>
      </w:pPr>
    </w:p>
    <w:p w:rsidR="00631D9C" w:rsidP="00BF76DF">
      <w:pPr>
        <w:pStyle w:val="BodyText"/>
      </w:pPr>
    </w:p>
    <w:p w:rsidR="00000000" w:rsidRPr="00BF76DF" w:rsidP="00BF76DF">
      <w:pPr>
        <w:pStyle w:val="Heading1"/>
      </w:pPr>
      <w:bookmarkStart w:id="4" w:name="O_278168"/>
      <w:bookmarkEnd w:id="4"/>
      <w:r w:rsidRPr="00BF76DF">
        <w:t>Licensing/Regulatory Informatio</w:t>
      </w:r>
      <w:r w:rsidRPr="00BF76DF">
        <w:t>n</w:t>
      </w:r>
    </w:p>
    <w:p w:rsidR="00000000" w:rsidRPr="00BF76DF" w:rsidP="00BF76DF">
      <w:pPr>
        <w:pStyle w:val="BodyText"/>
      </w:pPr>
      <w:r w:rsidRPr="00BF76DF">
        <w:t>Not Applicable</w:t>
      </w:r>
    </w:p>
    <w:p w:rsidR="00000000" w:rsidRPr="00BF76DF" w:rsidP="00BF76DF">
      <w:pPr>
        <w:pStyle w:val="AllowPageBreak"/>
      </w:pPr>
    </w:p>
    <w:p w:rsidR="00000000" w:rsidRPr="00BF76DF" w:rsidP="00BF76DF">
      <w:pPr>
        <w:pStyle w:val="Heading1"/>
      </w:pPr>
      <w:bookmarkStart w:id="5" w:name="O_200133"/>
      <w:bookmarkEnd w:id="5"/>
      <w:r w:rsidRPr="00BF76DF">
        <w:t>Pre-Requisites</w:t>
      </w:r>
    </w:p>
    <w:tbl>
      <w:tblPr>
        <w:tblW w:w="0" w:type="auto"/>
        <w:tblLayout w:type="fixed"/>
        <w:tblCellMar>
          <w:left w:w="62" w:type="dxa"/>
          <w:right w:w="62" w:type="dxa"/>
        </w:tblCellMar>
        <w:tblLook w:val="0000"/>
      </w:tblPr>
      <w:tblGrid>
        <w:gridCol w:w="2720"/>
        <w:gridCol w:w="1321"/>
        <w:gridCol w:w="4481"/>
      </w:tblGrid>
      <w:tr w:rsidTr="00631D9C">
        <w:tblPrEx>
          <w:tblW w:w="0" w:type="auto"/>
          <w:tblLayout w:type="fixed"/>
          <w:tblCellMar>
            <w:left w:w="62" w:type="dxa"/>
            <w:right w:w="62" w:type="dxa"/>
          </w:tblCellMar>
          <w:tblLook w:val="0000"/>
        </w:tblPrEx>
        <w:trPr>
          <w:tblHeader/>
        </w:trPr>
        <w:tc>
          <w:tcPr>
            <w:tcW w:w="2720" w:type="dxa"/>
            <w:tcBorders>
              <w:top w:val="nil"/>
              <w:left w:val="nil"/>
              <w:bottom w:val="nil"/>
              <w:right w:val="nil"/>
            </w:tcBorders>
            <w:tcMar>
              <w:top w:w="0" w:type="dxa"/>
              <w:left w:w="62" w:type="dxa"/>
              <w:bottom w:w="0" w:type="dxa"/>
              <w:right w:w="62" w:type="dxa"/>
            </w:tcMar>
          </w:tcPr>
          <w:p w:rsidR="00000000" w:rsidP="00BF76DF">
            <w:pPr>
              <w:pStyle w:val="BodyText"/>
              <w:rPr>
                <w:lang w:val="en-NZ"/>
              </w:rPr>
            </w:pPr>
            <w:r w:rsidRPr="00BF76DF">
              <w:rPr>
                <w:rStyle w:val="SpecialBold"/>
              </w:rPr>
              <w:t>Prerequisite units</w:t>
            </w:r>
          </w:p>
        </w:tc>
        <w:tc>
          <w:tcPr>
            <w:tcW w:w="5802" w:type="dxa"/>
            <w:gridSpan w:val="2"/>
            <w:tcBorders>
              <w:top w:val="nil"/>
              <w:left w:val="nil"/>
              <w:bottom w:val="nil"/>
              <w:right w:val="nil"/>
            </w:tcBorders>
            <w:tcMar>
              <w:top w:w="0" w:type="dxa"/>
              <w:left w:w="62" w:type="dxa"/>
              <w:bottom w:w="0" w:type="dxa"/>
              <w:right w:w="62" w:type="dxa"/>
            </w:tcMar>
          </w:tcPr>
          <w:p w:rsidR="00000000" w:rsidP="00BF76DF">
            <w:pPr>
              <w:pStyle w:val="BodyText"/>
              <w:rPr>
                <w:lang w:val="en-NZ"/>
              </w:rPr>
            </w:pPr>
            <w:r w:rsidRPr="00BF76DF">
              <w:t>Nil</w:t>
            </w:r>
          </w:p>
        </w:tc>
      </w:tr>
      <w:tr w:rsidTr="00631D9C">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P="00BF76DF">
            <w:pPr>
              <w:pStyle w:val="BodyText"/>
              <w:rPr>
                <w:lang w:val="en-NZ"/>
              </w:rPr>
            </w:pPr>
          </w:p>
        </w:tc>
      </w:tr>
      <w:tr w:rsidTr="00631D9C">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BF76DF" w:rsidP="00BF76DF">
            <w:pPr>
              <w:pStyle w:val="BodyText"/>
            </w:pPr>
          </w:p>
        </w:tc>
      </w:tr>
    </w:tbl>
    <w:p w:rsidR="00631D9C" w:rsidP="00BF76DF">
      <w:pPr>
        <w:pStyle w:val="BodyText"/>
      </w:pPr>
    </w:p>
    <w:p w:rsidR="00631D9C" w:rsidP="00BF76DF">
      <w:pPr>
        <w:pStyle w:val="BodyText"/>
      </w:pPr>
    </w:p>
    <w:p w:rsidR="00000000" w:rsidRPr="00BF76DF" w:rsidP="00BF76DF">
      <w:pPr>
        <w:pStyle w:val="Heading1"/>
      </w:pPr>
      <w:bookmarkStart w:id="6" w:name="O_200132"/>
      <w:bookmarkEnd w:id="6"/>
      <w:r w:rsidRPr="00BF76DF">
        <w:t>Employability Skills Information</w:t>
      </w:r>
    </w:p>
    <w:tbl>
      <w:tblPr>
        <w:tblW w:w="0" w:type="auto"/>
        <w:tblLayout w:type="fixed"/>
        <w:tblCellMar>
          <w:left w:w="62" w:type="dxa"/>
          <w:right w:w="62" w:type="dxa"/>
        </w:tblCellMar>
        <w:tblLook w:val="0000"/>
      </w:tblPr>
      <w:tblGrid>
        <w:gridCol w:w="2746"/>
        <w:gridCol w:w="5776"/>
      </w:tblGrid>
      <w:tr w:rsidTr="00631D9C">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BF76DF">
            <w:pPr>
              <w:pStyle w:val="BodyText"/>
              <w:rPr>
                <w:lang w:val="en-NZ"/>
              </w:rPr>
            </w:pPr>
            <w:r w:rsidRPr="00BF76DF">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BF76DF" w:rsidP="00BF76DF">
            <w:pPr>
              <w:pStyle w:val="BodyText"/>
            </w:pPr>
            <w:r w:rsidRPr="00BF76DF">
              <w:t>This unit contains employability skills.</w:t>
            </w:r>
          </w:p>
        </w:tc>
      </w:tr>
    </w:tbl>
    <w:p w:rsidR="00631D9C" w:rsidP="00BF76DF">
      <w:pPr>
        <w:pStyle w:val="BodyText"/>
      </w:pPr>
    </w:p>
    <w:p w:rsidR="00631D9C" w:rsidP="00BF76DF">
      <w:pPr>
        <w:pStyle w:val="BodyText"/>
      </w:pPr>
    </w:p>
    <w:p w:rsidR="00000000" w:rsidRPr="00BF76DF" w:rsidP="00BF76DF">
      <w:pPr>
        <w:pStyle w:val="Heading1"/>
      </w:pPr>
      <w:bookmarkStart w:id="7" w:name="O_287954"/>
      <w:bookmarkEnd w:id="7"/>
      <w:r w:rsidRPr="00BF76DF">
        <w:t>Elements and Performance Criteria Pre-Content</w:t>
      </w:r>
    </w:p>
    <w:tbl>
      <w:tblPr>
        <w:tblW w:w="0" w:type="auto"/>
        <w:tblLayout w:type="fixed"/>
        <w:tblCellMar>
          <w:left w:w="62" w:type="dxa"/>
          <w:right w:w="62" w:type="dxa"/>
        </w:tblCellMar>
        <w:tblLook w:val="0000"/>
      </w:tblPr>
      <w:tblGrid>
        <w:gridCol w:w="2560"/>
        <w:gridCol w:w="5962"/>
      </w:tblGrid>
      <w:tr w:rsidTr="00631D9C">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BF76DF">
            <w:pPr>
              <w:pStyle w:val="BodyText"/>
              <w:rPr>
                <w:lang w:val="en-NZ"/>
              </w:rPr>
            </w:pPr>
            <w:r w:rsidRPr="00BF76DF">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BF76DF" w:rsidP="00BF76DF">
            <w:pPr>
              <w:pStyle w:val="BodyText"/>
            </w:pPr>
            <w:r w:rsidRPr="00BF76DF">
              <w:t>Performance criteria describe the performance needed to demonstrate achievement of the element. Where bold italicised text is used, further info</w:t>
            </w:r>
            <w:r w:rsidRPr="00BF76DF">
              <w:t>rmation is detailed in the required skills and knowledge section and the range statement. Assessment of performance is to be consistent with the evidence guide.</w:t>
            </w:r>
          </w:p>
        </w:tc>
      </w:tr>
    </w:tbl>
    <w:p w:rsidR="00000000" w:rsidRPr="00BF76DF" w:rsidP="00BF76DF">
      <w:pPr>
        <w:pStyle w:val="BodyText"/>
      </w:pPr>
    </w:p>
    <w:p w:rsidR="00000000" w:rsidRPr="00BF76DF" w:rsidP="00BF76DF">
      <w:pPr>
        <w:pStyle w:val="AllowPageBreak"/>
      </w:pPr>
    </w:p>
    <w:p w:rsidR="00000000" w:rsidRPr="00BF76DF" w:rsidP="00BF76DF">
      <w:pPr>
        <w:pStyle w:val="Heading1"/>
      </w:pPr>
      <w:bookmarkStart w:id="8" w:name="O_234621"/>
      <w:bookmarkEnd w:id="8"/>
      <w:r w:rsidRPr="00BF76DF">
        <w:t>Elements and Performance Criteria</w:t>
      </w:r>
    </w:p>
    <w:tbl>
      <w:tblPr>
        <w:tblW w:w="0" w:type="auto"/>
        <w:tblLayout w:type="fixed"/>
        <w:tblCellMar>
          <w:left w:w="62" w:type="dxa"/>
          <w:right w:w="62" w:type="dxa"/>
        </w:tblCellMar>
        <w:tblLook w:val="0000"/>
      </w:tblPr>
      <w:tblGrid>
        <w:gridCol w:w="2560"/>
        <w:gridCol w:w="5962"/>
      </w:tblGrid>
      <w:tr w:rsidTr="00631D9C">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BF76DF" w:rsidP="00BF76DF">
            <w:pPr>
              <w:pStyle w:val="BodyText"/>
            </w:pPr>
            <w:r w:rsidRPr="00BF76DF">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BF76DF">
            <w:pPr>
              <w:pStyle w:val="BodyText"/>
              <w:rPr>
                <w:lang w:val="en-NZ"/>
              </w:rPr>
            </w:pPr>
            <w:r w:rsidRPr="00BF76DF">
              <w:rPr>
                <w:rStyle w:val="SpecialBold"/>
              </w:rPr>
              <w:t>PERFORMANCE CRITERIA</w:t>
            </w:r>
          </w:p>
        </w:tc>
      </w:tr>
      <w:tr w:rsidTr="00631D9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BF76DF">
            <w:pPr>
              <w:pStyle w:val="List"/>
              <w:rPr>
                <w:lang w:val="en-NZ"/>
              </w:rPr>
            </w:pPr>
            <w:r w:rsidRPr="00BF76DF">
              <w:t>1.</w:t>
            </w:r>
            <w:r w:rsidRPr="00BF76DF">
              <w:tab/>
            </w:r>
            <w:r w:rsidRPr="00BF76DF">
              <w:t>Specify local authority inspection requirements.</w:t>
            </w:r>
          </w:p>
        </w:tc>
        <w:tc>
          <w:tcPr>
            <w:tcW w:w="5962" w:type="dxa"/>
            <w:tcBorders>
              <w:top w:val="nil"/>
              <w:left w:val="nil"/>
              <w:bottom w:val="nil"/>
              <w:right w:val="nil"/>
            </w:tcBorders>
            <w:tcMar>
              <w:top w:w="0" w:type="dxa"/>
              <w:left w:w="62" w:type="dxa"/>
              <w:bottom w:w="0" w:type="dxa"/>
              <w:right w:w="62" w:type="dxa"/>
            </w:tcMar>
          </w:tcPr>
          <w:p w:rsidR="00000000" w:rsidRPr="00BF76DF" w:rsidP="00BF76DF">
            <w:pPr>
              <w:pStyle w:val="List2"/>
            </w:pPr>
            <w:r w:rsidRPr="00BF76DF">
              <w:t>1.1.</w:t>
            </w:r>
            <w:r w:rsidRPr="00BF76DF">
              <w:tab/>
              <w:t xml:space="preserve">Local authority inspection requirements for </w:t>
            </w:r>
            <w:r w:rsidRPr="00BF76DF">
              <w:rPr>
                <w:rStyle w:val="BoldandItalics"/>
              </w:rPr>
              <w:t>hydraulic systems</w:t>
            </w:r>
            <w:r w:rsidRPr="00BF76DF">
              <w:t xml:space="preserve"> are specified in accordance with legislation and standards. </w:t>
            </w:r>
          </w:p>
          <w:p w:rsidR="00000000" w:rsidRPr="00BF76DF" w:rsidP="00BF76DF">
            <w:pPr>
              <w:pStyle w:val="List2"/>
            </w:pPr>
            <w:r w:rsidRPr="00BF76DF">
              <w:t>1.2.</w:t>
            </w:r>
            <w:r w:rsidRPr="00BF76DF">
              <w:tab/>
            </w:r>
            <w:r w:rsidRPr="00BF76DF">
              <w:rPr>
                <w:rStyle w:val="BoldandItalics"/>
              </w:rPr>
              <w:t>Approved materials</w:t>
            </w:r>
            <w:r w:rsidRPr="00BF76DF">
              <w:t xml:space="preserve"> are specified for different applications. </w:t>
            </w:r>
          </w:p>
          <w:p w:rsidR="00000000" w:rsidP="00BF76DF">
            <w:pPr>
              <w:pStyle w:val="List2"/>
              <w:rPr>
                <w:lang w:val="en-NZ"/>
              </w:rPr>
            </w:pPr>
            <w:r w:rsidRPr="00BF76DF">
              <w:t>1.3.</w:t>
            </w:r>
            <w:r w:rsidRPr="00BF76DF">
              <w:tab/>
              <w:t>Install</w:t>
            </w:r>
            <w:r w:rsidRPr="00BF76DF">
              <w:t>ation requirements are specified in compliance with manufacturer manuals and regulatory requirements.</w:t>
            </w:r>
          </w:p>
        </w:tc>
      </w:tr>
      <w:tr w:rsidTr="00631D9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BF76DF">
            <w:pPr>
              <w:pStyle w:val="List"/>
              <w:rPr>
                <w:lang w:val="en-NZ"/>
              </w:rPr>
            </w:pPr>
            <w:r w:rsidRPr="00BF76DF">
              <w:t>2.</w:t>
            </w:r>
            <w:r w:rsidRPr="00BF76DF">
              <w:tab/>
              <w:t>Develop inspection procedures.</w:t>
            </w:r>
          </w:p>
        </w:tc>
        <w:tc>
          <w:tcPr>
            <w:tcW w:w="5962" w:type="dxa"/>
            <w:tcBorders>
              <w:top w:val="nil"/>
              <w:left w:val="nil"/>
              <w:bottom w:val="nil"/>
              <w:right w:val="nil"/>
            </w:tcBorders>
            <w:tcMar>
              <w:top w:w="0" w:type="dxa"/>
              <w:left w:w="62" w:type="dxa"/>
              <w:bottom w:w="0" w:type="dxa"/>
              <w:right w:w="62" w:type="dxa"/>
            </w:tcMar>
          </w:tcPr>
          <w:p w:rsidR="00000000" w:rsidRPr="00BF76DF" w:rsidP="00BF76DF">
            <w:pPr>
              <w:pStyle w:val="List2"/>
            </w:pPr>
            <w:r w:rsidRPr="00BF76DF">
              <w:t>2.1.</w:t>
            </w:r>
            <w:r w:rsidRPr="00BF76DF">
              <w:tab/>
            </w:r>
            <w:r w:rsidRPr="00BF76DF">
              <w:rPr>
                <w:rStyle w:val="BoldandItalics"/>
              </w:rPr>
              <w:t>Administrative procedures</w:t>
            </w:r>
            <w:r w:rsidRPr="00BF76DF">
              <w:t xml:space="preserve"> for </w:t>
            </w:r>
            <w:r w:rsidRPr="00BF76DF">
              <w:rPr>
                <w:rStyle w:val="BoldandItalics"/>
              </w:rPr>
              <w:t>inspection projects</w:t>
            </w:r>
            <w:r w:rsidRPr="00BF76DF">
              <w:t xml:space="preserve"> are developed. </w:t>
            </w:r>
          </w:p>
          <w:p w:rsidR="00000000" w:rsidP="00BF76DF">
            <w:pPr>
              <w:pStyle w:val="List2"/>
              <w:rPr>
                <w:lang w:val="en-NZ"/>
              </w:rPr>
            </w:pPr>
            <w:r w:rsidRPr="00BF76DF">
              <w:t>2.2.</w:t>
            </w:r>
            <w:r w:rsidRPr="00BF76DF">
              <w:tab/>
            </w:r>
            <w:r w:rsidRPr="00BF76DF">
              <w:rPr>
                <w:rStyle w:val="BoldandItalics"/>
              </w:rPr>
              <w:t>Inspection checklists</w:t>
            </w:r>
            <w:r w:rsidRPr="00BF76DF">
              <w:t xml:space="preserve"> are developed. </w:t>
            </w:r>
          </w:p>
        </w:tc>
      </w:tr>
      <w:tr w:rsidTr="00631D9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BF76DF">
            <w:pPr>
              <w:pStyle w:val="List"/>
              <w:rPr>
                <w:lang w:val="en-NZ"/>
              </w:rPr>
            </w:pPr>
            <w:r w:rsidRPr="00BF76DF">
              <w:t>3.</w:t>
            </w:r>
            <w:r w:rsidRPr="00BF76DF">
              <w:tab/>
            </w:r>
            <w:r w:rsidRPr="00BF76DF">
              <w:t>Conduct inspections.</w:t>
            </w:r>
          </w:p>
        </w:tc>
        <w:tc>
          <w:tcPr>
            <w:tcW w:w="5962" w:type="dxa"/>
            <w:tcBorders>
              <w:top w:val="nil"/>
              <w:left w:val="nil"/>
              <w:bottom w:val="nil"/>
              <w:right w:val="nil"/>
            </w:tcBorders>
            <w:tcMar>
              <w:top w:w="0" w:type="dxa"/>
              <w:left w:w="62" w:type="dxa"/>
              <w:bottom w:w="0" w:type="dxa"/>
              <w:right w:w="62" w:type="dxa"/>
            </w:tcMar>
          </w:tcPr>
          <w:p w:rsidR="00000000" w:rsidRPr="00BF76DF" w:rsidP="00BF76DF">
            <w:pPr>
              <w:pStyle w:val="List2"/>
            </w:pPr>
            <w:r w:rsidRPr="00BF76DF">
              <w:t>3.1.</w:t>
            </w:r>
            <w:r w:rsidRPr="00BF76DF">
              <w:tab/>
              <w:t>Communication channels are established with relevant site personnel and stakeholders.</w:t>
            </w:r>
          </w:p>
          <w:p w:rsidR="00000000" w:rsidRPr="00BF76DF" w:rsidP="00BF76DF">
            <w:pPr>
              <w:pStyle w:val="List2"/>
            </w:pPr>
            <w:r w:rsidRPr="00BF76DF">
              <w:t>3.2.</w:t>
            </w:r>
            <w:r w:rsidRPr="00BF76DF">
              <w:tab/>
              <w:t>Inspection routes and schedules are planned and detailed.</w:t>
            </w:r>
          </w:p>
          <w:p w:rsidR="00000000" w:rsidRPr="00BF76DF" w:rsidP="00BF76DF">
            <w:pPr>
              <w:pStyle w:val="List2"/>
            </w:pPr>
            <w:r w:rsidRPr="00BF76DF">
              <w:t>3.3.</w:t>
            </w:r>
            <w:r w:rsidRPr="00BF76DF">
              <w:tab/>
              <w:t>OHS guidelines are applied to inspections, and personal protective equipment</w:t>
            </w:r>
            <w:r w:rsidRPr="00BF76DF">
              <w:t xml:space="preserve"> is worn.</w:t>
            </w:r>
          </w:p>
          <w:p w:rsidR="00000000" w:rsidRPr="00BF76DF" w:rsidP="00BF76DF">
            <w:pPr>
              <w:pStyle w:val="List2"/>
            </w:pPr>
            <w:r w:rsidRPr="00BF76DF">
              <w:t>3.4.</w:t>
            </w:r>
            <w:r w:rsidRPr="00BF76DF">
              <w:tab/>
              <w:t>Inspections are conducted to assess compliance with regulatory requirements and professional workmanship standards.</w:t>
            </w:r>
          </w:p>
          <w:p w:rsidR="00000000" w:rsidRPr="00BF76DF" w:rsidP="00BF76DF">
            <w:pPr>
              <w:pStyle w:val="List2"/>
            </w:pPr>
            <w:r w:rsidRPr="00BF76DF">
              <w:t>3.5.</w:t>
            </w:r>
            <w:r w:rsidRPr="00BF76DF">
              <w:tab/>
              <w:t xml:space="preserve">On-site </w:t>
            </w:r>
            <w:r w:rsidRPr="00BF76DF">
              <w:rPr>
                <w:rStyle w:val="BoldandItalics"/>
              </w:rPr>
              <w:t>as</w:t>
            </w:r>
            <w:r w:rsidRPr="00BF76DF">
              <w:t>-</w:t>
            </w:r>
            <w:r w:rsidRPr="00BF76DF">
              <w:rPr>
                <w:rStyle w:val="BoldandItalics"/>
              </w:rPr>
              <w:t>constructed plans</w:t>
            </w:r>
            <w:r w:rsidRPr="00BF76DF">
              <w:t xml:space="preserve"> are hand sketched and measurements are taken. </w:t>
            </w:r>
          </w:p>
          <w:p w:rsidR="00000000" w:rsidRPr="00BF76DF" w:rsidP="00BF76DF">
            <w:pPr>
              <w:pStyle w:val="List2"/>
            </w:pPr>
            <w:r w:rsidRPr="00BF76DF">
              <w:t>3.6.</w:t>
            </w:r>
            <w:r w:rsidRPr="00BF76DF">
              <w:tab/>
            </w:r>
            <w:r w:rsidRPr="00BF76DF">
              <w:rPr>
                <w:rStyle w:val="BoldandItalics"/>
              </w:rPr>
              <w:t>Dispute</w:t>
            </w:r>
            <w:r w:rsidRPr="00BF76DF">
              <w:t>-</w:t>
            </w:r>
            <w:r w:rsidRPr="00BF76DF">
              <w:rPr>
                <w:rStyle w:val="BoldandItalics"/>
              </w:rPr>
              <w:t>resolution techniques</w:t>
            </w:r>
            <w:r w:rsidRPr="00BF76DF">
              <w:t xml:space="preserve"> are imple</w:t>
            </w:r>
            <w:r w:rsidRPr="00BF76DF">
              <w:t xml:space="preserve">mented as necessary when non-compliance is identified. </w:t>
            </w:r>
          </w:p>
          <w:p w:rsidR="00000000" w:rsidRPr="00BF76DF" w:rsidP="00BF76DF">
            <w:pPr>
              <w:pStyle w:val="List2"/>
            </w:pPr>
            <w:r w:rsidRPr="00BF76DF">
              <w:t>3.7.</w:t>
            </w:r>
            <w:r w:rsidRPr="00BF76DF">
              <w:tab/>
            </w:r>
            <w:r w:rsidRPr="00BF76DF">
              <w:rPr>
                <w:rStyle w:val="BoldandItalics"/>
              </w:rPr>
              <w:t>Testing procedures</w:t>
            </w:r>
            <w:r w:rsidRPr="00BF76DF">
              <w:t xml:space="preserve"> are implemented. </w:t>
            </w:r>
          </w:p>
          <w:p w:rsidR="00000000" w:rsidP="00BF76DF">
            <w:pPr>
              <w:pStyle w:val="List2"/>
              <w:rPr>
                <w:lang w:val="en-NZ"/>
              </w:rPr>
            </w:pPr>
            <w:r w:rsidRPr="00BF76DF">
              <w:t>3.8.</w:t>
            </w:r>
            <w:r w:rsidRPr="00BF76DF">
              <w:tab/>
              <w:t>Inspection and testing results are accurately recorded.</w:t>
            </w:r>
          </w:p>
        </w:tc>
      </w:tr>
      <w:tr w:rsidTr="00631D9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BF76DF">
            <w:pPr>
              <w:pStyle w:val="List"/>
              <w:rPr>
                <w:lang w:val="en-NZ"/>
              </w:rPr>
            </w:pPr>
            <w:r w:rsidRPr="00BF76DF">
              <w:t>4.</w:t>
            </w:r>
            <w:r w:rsidRPr="00BF76DF">
              <w:tab/>
              <w:t>Prepare reports.</w:t>
            </w:r>
          </w:p>
        </w:tc>
        <w:tc>
          <w:tcPr>
            <w:tcW w:w="5962" w:type="dxa"/>
            <w:tcBorders>
              <w:top w:val="nil"/>
              <w:left w:val="nil"/>
              <w:bottom w:val="nil"/>
              <w:right w:val="nil"/>
            </w:tcBorders>
            <w:tcMar>
              <w:top w:w="0" w:type="dxa"/>
              <w:left w:w="62" w:type="dxa"/>
              <w:bottom w:w="0" w:type="dxa"/>
              <w:right w:w="62" w:type="dxa"/>
            </w:tcMar>
          </w:tcPr>
          <w:p w:rsidR="00000000" w:rsidRPr="00BF76DF" w:rsidP="00BF76DF">
            <w:pPr>
              <w:pStyle w:val="List2"/>
            </w:pPr>
            <w:r w:rsidRPr="00BF76DF">
              <w:t>4.1.</w:t>
            </w:r>
            <w:r w:rsidRPr="00BF76DF">
              <w:tab/>
            </w:r>
            <w:r w:rsidRPr="00BF76DF">
              <w:rPr>
                <w:rStyle w:val="BoldandItalics"/>
              </w:rPr>
              <w:t>Inspection reports</w:t>
            </w:r>
            <w:r w:rsidRPr="00BF76DF">
              <w:t xml:space="preserve"> are prepared using on-site records, including as-con</w:t>
            </w:r>
            <w:r w:rsidRPr="00BF76DF">
              <w:t xml:space="preserve">structed plans. </w:t>
            </w:r>
          </w:p>
          <w:p w:rsidR="00000000" w:rsidRPr="00BF76DF" w:rsidP="00BF76DF">
            <w:pPr>
              <w:pStyle w:val="List2"/>
            </w:pPr>
            <w:r w:rsidRPr="00BF76DF">
              <w:t>4.2.</w:t>
            </w:r>
            <w:r w:rsidRPr="00BF76DF">
              <w:tab/>
              <w:t>Recommendations are detailed and reported.</w:t>
            </w:r>
          </w:p>
          <w:p w:rsidR="00000000" w:rsidP="00BF76DF">
            <w:pPr>
              <w:pStyle w:val="List2"/>
              <w:rPr>
                <w:lang w:val="en-NZ"/>
              </w:rPr>
            </w:pPr>
            <w:r w:rsidRPr="00BF76DF">
              <w:t>4.3.</w:t>
            </w:r>
            <w:r w:rsidRPr="00BF76DF">
              <w:tab/>
              <w:t>Rectification schedules are produced.</w:t>
            </w:r>
          </w:p>
        </w:tc>
      </w:tr>
      <w:tr w:rsidTr="00631D9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BF76DF">
            <w:pPr>
              <w:pStyle w:val="List"/>
              <w:rPr>
                <w:lang w:val="en-NZ"/>
              </w:rPr>
            </w:pPr>
            <w:r w:rsidRPr="00BF76DF">
              <w:t>5.</w:t>
            </w:r>
            <w:r w:rsidRPr="00BF76DF">
              <w:tab/>
              <w:t>Enforce compliance.</w:t>
            </w:r>
          </w:p>
        </w:tc>
        <w:tc>
          <w:tcPr>
            <w:tcW w:w="5962" w:type="dxa"/>
            <w:tcBorders>
              <w:top w:val="nil"/>
              <w:left w:val="nil"/>
              <w:bottom w:val="nil"/>
              <w:right w:val="nil"/>
            </w:tcBorders>
            <w:tcMar>
              <w:top w:w="0" w:type="dxa"/>
              <w:left w:w="62" w:type="dxa"/>
              <w:bottom w:w="0" w:type="dxa"/>
              <w:right w:w="62" w:type="dxa"/>
            </w:tcMar>
          </w:tcPr>
          <w:p w:rsidR="00000000" w:rsidRPr="00BF76DF" w:rsidP="00BF76DF">
            <w:pPr>
              <w:pStyle w:val="List2"/>
            </w:pPr>
            <w:r w:rsidRPr="00BF76DF">
              <w:t>5.1.</w:t>
            </w:r>
            <w:r w:rsidRPr="00BF76DF">
              <w:tab/>
              <w:t>Breaches of relevant regulation or standard are detailed.</w:t>
            </w:r>
          </w:p>
          <w:p w:rsidR="00000000" w:rsidRPr="00BF76DF" w:rsidP="00BF76DF">
            <w:pPr>
              <w:pStyle w:val="List2"/>
            </w:pPr>
            <w:r w:rsidRPr="00BF76DF">
              <w:t>5.2.</w:t>
            </w:r>
            <w:r w:rsidRPr="00BF76DF">
              <w:tab/>
              <w:t>Infringement notices are issued and relevant follow-up p</w:t>
            </w:r>
            <w:r w:rsidRPr="00BF76DF">
              <w:t>rocedures are implemented.</w:t>
            </w:r>
          </w:p>
          <w:p w:rsidR="00000000" w:rsidP="00BF76DF">
            <w:pPr>
              <w:pStyle w:val="List2"/>
              <w:rPr>
                <w:lang w:val="en-NZ"/>
              </w:rPr>
            </w:pPr>
            <w:r w:rsidRPr="00BF76DF">
              <w:t>5.3.</w:t>
            </w:r>
            <w:r w:rsidRPr="00BF76DF">
              <w:tab/>
              <w:t xml:space="preserve">In cases of non-compliance, </w:t>
            </w:r>
            <w:r w:rsidRPr="00BF76DF">
              <w:rPr>
                <w:rStyle w:val="BoldandItalics"/>
              </w:rPr>
              <w:t>enforcement action</w:t>
            </w:r>
            <w:r w:rsidRPr="00BF76DF">
              <w:t xml:space="preserve"> is implemented with infringement notices. </w:t>
            </w:r>
          </w:p>
        </w:tc>
      </w:tr>
      <w:tr w:rsidTr="00631D9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BF76DF">
            <w:pPr>
              <w:pStyle w:val="List"/>
              <w:rPr>
                <w:lang w:val="en-NZ"/>
              </w:rPr>
            </w:pPr>
            <w:r w:rsidRPr="00BF76DF">
              <w:t>6.</w:t>
            </w:r>
            <w:r w:rsidRPr="00BF76DF">
              <w:tab/>
              <w:t>Maintain records.</w:t>
            </w:r>
          </w:p>
        </w:tc>
        <w:tc>
          <w:tcPr>
            <w:tcW w:w="5962" w:type="dxa"/>
            <w:tcBorders>
              <w:top w:val="nil"/>
              <w:left w:val="nil"/>
              <w:bottom w:val="nil"/>
              <w:right w:val="nil"/>
            </w:tcBorders>
            <w:tcMar>
              <w:top w:w="0" w:type="dxa"/>
              <w:left w:w="62" w:type="dxa"/>
              <w:bottom w:w="0" w:type="dxa"/>
              <w:right w:w="62" w:type="dxa"/>
            </w:tcMar>
          </w:tcPr>
          <w:p w:rsidR="00000000" w:rsidRPr="00BF76DF" w:rsidP="00BF76DF">
            <w:pPr>
              <w:pStyle w:val="List2"/>
            </w:pPr>
            <w:r w:rsidRPr="00BF76DF">
              <w:t>6.1.</w:t>
            </w:r>
            <w:r w:rsidRPr="00BF76DF">
              <w:tab/>
              <w:t>Inspection diary is maintained.</w:t>
            </w:r>
          </w:p>
          <w:p w:rsidR="00000000" w:rsidRPr="00BF76DF" w:rsidP="00BF76DF">
            <w:pPr>
              <w:pStyle w:val="List2"/>
            </w:pPr>
            <w:r w:rsidRPr="00BF76DF">
              <w:t>6.2.</w:t>
            </w:r>
            <w:r w:rsidRPr="00BF76DF">
              <w:tab/>
            </w:r>
            <w:r w:rsidRPr="00BF76DF">
              <w:t>Inspection records are processed according to established administrative procedures.</w:t>
            </w:r>
          </w:p>
        </w:tc>
      </w:tr>
    </w:tbl>
    <w:p w:rsidR="00631D9C" w:rsidP="00BF76DF">
      <w:pPr>
        <w:pStyle w:val="BodyText"/>
      </w:pPr>
    </w:p>
    <w:p w:rsidR="00631D9C" w:rsidP="00BF76DF">
      <w:pPr>
        <w:pStyle w:val="BodyText"/>
      </w:pPr>
    </w:p>
    <w:p w:rsidR="00000000" w:rsidRPr="00BF76DF" w:rsidP="00BF76DF">
      <w:pPr>
        <w:pStyle w:val="Heading1"/>
      </w:pPr>
      <w:bookmarkStart w:id="9" w:name="O_258571"/>
      <w:bookmarkEnd w:id="9"/>
      <w:r w:rsidRPr="00BF76DF">
        <w:t>Required Skills and Knowledge</w:t>
      </w:r>
    </w:p>
    <w:tbl>
      <w:tblPr>
        <w:tblW w:w="0" w:type="auto"/>
        <w:tblLayout w:type="fixed"/>
        <w:tblCellMar>
          <w:left w:w="62" w:type="dxa"/>
          <w:right w:w="62" w:type="dxa"/>
        </w:tblCellMar>
        <w:tblLook w:val="0000"/>
      </w:tblPr>
      <w:tblGrid>
        <w:gridCol w:w="8522"/>
      </w:tblGrid>
      <w:tr w:rsidTr="00631D9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F76DF">
            <w:pPr>
              <w:pStyle w:val="BodyText"/>
              <w:rPr>
                <w:lang w:val="en-NZ"/>
              </w:rPr>
            </w:pPr>
            <w:r w:rsidRPr="00BF76DF">
              <w:rPr>
                <w:rStyle w:val="SpecialBold"/>
              </w:rPr>
              <w:t>REQUIRED SKILLS AND KNOWLEDGE</w:t>
            </w:r>
          </w:p>
        </w:tc>
      </w:tr>
      <w:tr w:rsidTr="00631D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F76DF">
            <w:pPr>
              <w:pStyle w:val="BodyText"/>
              <w:rPr>
                <w:lang w:val="en-NZ"/>
              </w:rPr>
            </w:pPr>
            <w:r w:rsidRPr="00BF76DF">
              <w:t>This section describes the skills and knowledge required for this unit.</w:t>
            </w:r>
          </w:p>
        </w:tc>
      </w:tr>
      <w:tr w:rsidTr="00631D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F76DF">
            <w:pPr>
              <w:pStyle w:val="BodyText"/>
              <w:rPr>
                <w:lang w:val="en-NZ"/>
              </w:rPr>
            </w:pPr>
            <w:r w:rsidRPr="00BF76DF">
              <w:rPr>
                <w:rStyle w:val="SpecialBold"/>
              </w:rPr>
              <w:t>Required skills</w:t>
            </w:r>
          </w:p>
        </w:tc>
      </w:tr>
      <w:tr w:rsidTr="00631D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F76DF" w:rsidP="00BF76DF">
            <w:pPr>
              <w:pStyle w:val="BodyText"/>
            </w:pPr>
            <w:r w:rsidRPr="00BF76DF">
              <w:t>Required skills for this unit are:</w:t>
            </w:r>
          </w:p>
          <w:p w:rsidR="00000000" w:rsidRPr="00BF76DF" w:rsidP="00BF76DF">
            <w:pPr>
              <w:pStyle w:val="ListBullet"/>
            </w:pPr>
            <w:r w:rsidRPr="00BF76DF">
              <w:t>communication skills to:</w:t>
            </w:r>
          </w:p>
          <w:p w:rsidR="00000000" w:rsidRPr="00BF76DF" w:rsidP="00BF76DF">
            <w:pPr>
              <w:pStyle w:val="ListBullet2"/>
            </w:pPr>
            <w:r w:rsidRPr="00BF76DF">
              <w:t>establish communication channels</w:t>
            </w:r>
          </w:p>
          <w:p w:rsidR="00000000" w:rsidRPr="00BF76DF" w:rsidP="00BF76DF">
            <w:pPr>
              <w:pStyle w:val="ListBullet2"/>
            </w:pPr>
            <w:r w:rsidRPr="00BF76DF">
              <w:t>enable clear and direct communication, using questioning to identify and confirm requirements, share information, listen and understand</w:t>
            </w:r>
          </w:p>
          <w:p w:rsidR="00000000" w:rsidRPr="00BF76DF" w:rsidP="00BF76DF">
            <w:pPr>
              <w:pStyle w:val="ListBullet2"/>
            </w:pPr>
            <w:r w:rsidRPr="00BF76DF">
              <w:t>read and interpret:</w:t>
            </w:r>
          </w:p>
          <w:p w:rsidR="00000000" w:rsidRPr="00BF76DF" w:rsidP="00BF76DF">
            <w:pPr>
              <w:pStyle w:val="ListBullet3"/>
            </w:pPr>
            <w:r w:rsidRPr="00BF76DF">
              <w:t>documentation from a variety of sources</w:t>
            </w:r>
          </w:p>
          <w:p w:rsidR="00000000" w:rsidRPr="00BF76DF" w:rsidP="00BF76DF">
            <w:pPr>
              <w:pStyle w:val="ListBullet3"/>
            </w:pPr>
            <w:r w:rsidRPr="00BF76DF">
              <w:t>manufacturers' manuals and regulations</w:t>
            </w:r>
          </w:p>
          <w:p w:rsidR="00000000" w:rsidRPr="00BF76DF" w:rsidP="00BF76DF">
            <w:pPr>
              <w:pStyle w:val="ListBullet3"/>
            </w:pPr>
            <w:r w:rsidRPr="00BF76DF">
              <w:t>plans, specifications and drawings</w:t>
            </w:r>
          </w:p>
          <w:p w:rsidR="00000000" w:rsidRPr="00BF76DF" w:rsidP="00BF76DF">
            <w:pPr>
              <w:pStyle w:val="ListBullet2"/>
            </w:pPr>
            <w:r w:rsidRPr="00BF76DF">
              <w:t>use language and concepts appropriate to cultural differences</w:t>
            </w:r>
          </w:p>
          <w:p w:rsidR="00000000" w:rsidRPr="00BF76DF" w:rsidP="00BF76DF">
            <w:pPr>
              <w:pStyle w:val="ListBullet2"/>
            </w:pPr>
            <w:r w:rsidRPr="00BF76DF">
              <w:t>use and interpret non-verbal communication</w:t>
            </w:r>
            <w:r w:rsidRPr="00BF76DF">
              <w:t>, such as hand signals</w:t>
            </w:r>
          </w:p>
          <w:p w:rsidR="00000000" w:rsidRPr="00BF76DF" w:rsidP="00BF76DF">
            <w:pPr>
              <w:pStyle w:val="ListBullet"/>
            </w:pPr>
            <w:r w:rsidRPr="00BF76DF">
              <w:t>written skills to:</w:t>
            </w:r>
          </w:p>
          <w:p w:rsidR="00000000" w:rsidRPr="00BF76DF" w:rsidP="00BF76DF">
            <w:pPr>
              <w:pStyle w:val="ListBullet2"/>
            </w:pPr>
            <w:r w:rsidRPr="00BF76DF">
              <w:t>develop administrative procedures and checklists</w:t>
            </w:r>
          </w:p>
          <w:p w:rsidR="00000000" w:rsidRPr="00BF76DF" w:rsidP="00BF76DF">
            <w:pPr>
              <w:pStyle w:val="ListBullet2"/>
            </w:pPr>
            <w:r w:rsidRPr="00BF76DF">
              <w:t>issue infringement notices</w:t>
            </w:r>
          </w:p>
          <w:p w:rsidR="00000000" w:rsidRPr="00BF76DF" w:rsidP="00BF76DF">
            <w:pPr>
              <w:pStyle w:val="ListBullet2"/>
            </w:pPr>
            <w:r w:rsidRPr="00BF76DF">
              <w:t>maintain records</w:t>
            </w:r>
          </w:p>
          <w:p w:rsidR="00000000" w:rsidRPr="00BF76DF" w:rsidP="00BF76DF">
            <w:pPr>
              <w:pStyle w:val="ListBullet2"/>
            </w:pPr>
            <w:r w:rsidRPr="00BF76DF">
              <w:t>prepare inspection reports</w:t>
            </w:r>
          </w:p>
          <w:p w:rsidR="00000000" w:rsidRPr="00BF76DF" w:rsidP="00BF76DF">
            <w:pPr>
              <w:pStyle w:val="ListBullet2"/>
            </w:pPr>
            <w:r w:rsidRPr="00BF76DF">
              <w:t>record inspection and testing results</w:t>
            </w:r>
          </w:p>
          <w:p w:rsidR="00000000" w:rsidRPr="00BF76DF" w:rsidP="00BF76DF">
            <w:pPr>
              <w:pStyle w:val="ListBullet"/>
            </w:pPr>
            <w:r w:rsidRPr="00BF76DF">
              <w:t>inspecting hydraulic systems for a range of residential, commercial and industrial buildings to ensure compliance with Australian and New Zealand standards and local authority and operational performance requirements</w:t>
            </w:r>
          </w:p>
          <w:p w:rsidR="00000000" w:rsidRPr="00BF76DF" w:rsidP="00BF76DF">
            <w:pPr>
              <w:pStyle w:val="ListBullet"/>
            </w:pPr>
            <w:r w:rsidRPr="00BF76DF">
              <w:t>numeracy skills to apply measurements a</w:t>
            </w:r>
            <w:r w:rsidRPr="00BF76DF">
              <w:t>nd calculations</w:t>
            </w:r>
          </w:p>
          <w:p w:rsidR="00000000" w:rsidP="00BF76DF">
            <w:pPr>
              <w:pStyle w:val="ListBullet"/>
              <w:rPr>
                <w:lang w:val="en-NZ"/>
              </w:rPr>
            </w:pPr>
            <w:r w:rsidRPr="00BF76DF">
              <w:t>organisational skills, including the ability to plan and set out work.</w:t>
            </w:r>
          </w:p>
        </w:tc>
      </w:tr>
      <w:tr w:rsidTr="00631D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F76DF">
            <w:pPr>
              <w:pStyle w:val="BodyText"/>
              <w:rPr>
                <w:lang w:val="en-NZ"/>
              </w:rPr>
            </w:pPr>
            <w:r w:rsidRPr="00BF76DF">
              <w:rPr>
                <w:rStyle w:val="SpecialBold"/>
              </w:rPr>
              <w:t>Required knowledge</w:t>
            </w:r>
          </w:p>
        </w:tc>
      </w:tr>
      <w:tr w:rsidTr="00631D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F76DF" w:rsidP="00BF76DF">
            <w:pPr>
              <w:pStyle w:val="BodyText"/>
            </w:pPr>
            <w:r w:rsidRPr="00BF76DF">
              <w:t>Required knowledge for this unit is:</w:t>
            </w:r>
          </w:p>
          <w:p w:rsidR="00000000" w:rsidRPr="00BF76DF" w:rsidP="00BF76DF">
            <w:pPr>
              <w:pStyle w:val="ListBullet"/>
            </w:pPr>
            <w:r w:rsidRPr="00BF76DF">
              <w:t>common terminology and definitions used in the design of plumbing and drainage systems</w:t>
            </w:r>
          </w:p>
          <w:p w:rsidR="00000000" w:rsidRPr="00BF76DF" w:rsidP="00BF76DF">
            <w:pPr>
              <w:pStyle w:val="ListBullet"/>
            </w:pPr>
            <w:r w:rsidRPr="00BF76DF">
              <w:t>nature of materials used and effects of performance under various conditions</w:t>
            </w:r>
          </w:p>
          <w:p w:rsidR="00000000" w:rsidRPr="00BF76DF" w:rsidP="00BF76DF">
            <w:pPr>
              <w:pStyle w:val="ListBullet"/>
            </w:pPr>
            <w:r w:rsidRPr="00BF76DF">
              <w:t>principles of technology used in the design of plumbing and drainage systems</w:t>
            </w:r>
          </w:p>
          <w:p w:rsidR="00000000" w:rsidRPr="00BF76DF" w:rsidP="00BF76DF">
            <w:pPr>
              <w:pStyle w:val="ListBullet"/>
            </w:pPr>
            <w:r w:rsidRPr="00BF76DF">
              <w:t>requirements of state regulatory authorities, Australian standards and manufacturer specifications, in</w:t>
            </w:r>
            <w:r w:rsidRPr="00BF76DF">
              <w:t>cluding hazards identified in relation to devices and systems used</w:t>
            </w:r>
          </w:p>
          <w:p w:rsidR="00000000" w:rsidRPr="00BF76DF" w:rsidP="00BF76DF">
            <w:pPr>
              <w:pStyle w:val="ListBullet"/>
            </w:pPr>
            <w:r w:rsidRPr="00BF76DF">
              <w:t>workplace safety requirements, including relevant statutory regulations, codes and standards.</w:t>
            </w:r>
          </w:p>
        </w:tc>
      </w:tr>
    </w:tbl>
    <w:p w:rsidR="00631D9C" w:rsidP="00BF76DF">
      <w:pPr>
        <w:pStyle w:val="BodyText"/>
      </w:pPr>
    </w:p>
    <w:p w:rsidR="00631D9C" w:rsidP="00BF76DF">
      <w:pPr>
        <w:pStyle w:val="BodyText"/>
      </w:pPr>
    </w:p>
    <w:p w:rsidR="00000000" w:rsidRPr="00BF76DF" w:rsidP="00BF76DF">
      <w:pPr>
        <w:pStyle w:val="AllowPageBreak"/>
      </w:pPr>
    </w:p>
    <w:p w:rsidR="00000000" w:rsidRPr="00BF76DF" w:rsidP="00BF76DF">
      <w:pPr>
        <w:pStyle w:val="Heading1"/>
      </w:pPr>
      <w:bookmarkStart w:id="10" w:name="O_242605"/>
      <w:bookmarkEnd w:id="10"/>
      <w:r w:rsidRPr="00BF76DF">
        <w:t>Evidence Guide</w:t>
      </w:r>
    </w:p>
    <w:tbl>
      <w:tblPr>
        <w:tblW w:w="0" w:type="auto"/>
        <w:tblLayout w:type="fixed"/>
        <w:tblCellMar>
          <w:left w:w="62" w:type="dxa"/>
          <w:right w:w="62" w:type="dxa"/>
        </w:tblCellMar>
        <w:tblLook w:val="0000"/>
      </w:tblPr>
      <w:tblGrid>
        <w:gridCol w:w="3505"/>
        <w:gridCol w:w="5017"/>
      </w:tblGrid>
      <w:tr w:rsidTr="00631D9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F76DF">
            <w:pPr>
              <w:pStyle w:val="BodyText"/>
              <w:rPr>
                <w:lang w:val="en-NZ"/>
              </w:rPr>
            </w:pPr>
            <w:r w:rsidRPr="00BF76DF">
              <w:rPr>
                <w:rStyle w:val="SpecialBold"/>
              </w:rPr>
              <w:t>EVIDENCE GUIDE</w:t>
            </w:r>
          </w:p>
        </w:tc>
      </w:tr>
      <w:tr w:rsidTr="00631D9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F76DF">
            <w:pPr>
              <w:pStyle w:val="BodyText"/>
              <w:rPr>
                <w:lang w:val="en-NZ"/>
              </w:rPr>
            </w:pPr>
            <w:r w:rsidRPr="00BF76DF">
              <w:t>The evidence guide provides advice on assessment and must be read in conjunction with the performance criteria, required skills and knowledge, range statement and the Assessment Guidelines for the Training Package.</w:t>
            </w:r>
          </w:p>
        </w:tc>
      </w:tr>
      <w:tr w:rsidTr="00631D9C">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BF76DF">
            <w:pPr>
              <w:pStyle w:val="BodyText"/>
              <w:rPr>
                <w:lang w:val="en-NZ"/>
              </w:rPr>
            </w:pPr>
            <w:r w:rsidRPr="00BF76DF">
              <w:rPr>
                <w:rStyle w:val="SpecialBold"/>
              </w:rPr>
              <w:t>Overview of assessment</w:t>
            </w:r>
          </w:p>
        </w:tc>
        <w:tc>
          <w:tcPr>
            <w:tcW w:w="5017" w:type="dxa"/>
            <w:tcBorders>
              <w:top w:val="nil"/>
              <w:left w:val="nil"/>
              <w:bottom w:val="nil"/>
              <w:right w:val="nil"/>
            </w:tcBorders>
            <w:tcMar>
              <w:top w:w="0" w:type="dxa"/>
              <w:left w:w="62" w:type="dxa"/>
              <w:bottom w:w="0" w:type="dxa"/>
              <w:right w:w="62" w:type="dxa"/>
            </w:tcMar>
          </w:tcPr>
          <w:p w:rsidR="00000000" w:rsidP="00BF76DF">
            <w:pPr>
              <w:pStyle w:val="BodyText"/>
              <w:rPr>
                <w:lang w:val="en-NZ"/>
              </w:rPr>
            </w:pPr>
            <w:r w:rsidRPr="00BF76DF">
              <w:t>This unit of competency could be assessed in the workplace or a close simulation of the workplace environment providing that simulated or project-based assessment techniques fully replicate plumbing and services workplace conditions, materials, activities,</w:t>
            </w:r>
            <w:r w:rsidRPr="00BF76DF">
              <w:t xml:space="preserve"> responsibilities and procedures. </w:t>
            </w:r>
          </w:p>
        </w:tc>
      </w:tr>
      <w:tr w:rsidTr="00631D9C">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BF76DF">
            <w:pPr>
              <w:pStyle w:val="BodyText"/>
              <w:rPr>
                <w:lang w:val="en-NZ"/>
              </w:rPr>
            </w:pPr>
            <w:r w:rsidRPr="00BF76DF">
              <w:rPr>
                <w:rStyle w:val="SpecialBold"/>
              </w:rPr>
              <w:t>Critical aspects for assessment and evidence required to demonstrate competency in this unit</w:t>
            </w:r>
          </w:p>
        </w:tc>
        <w:tc>
          <w:tcPr>
            <w:tcW w:w="5017" w:type="dxa"/>
            <w:tcBorders>
              <w:top w:val="nil"/>
              <w:left w:val="nil"/>
              <w:bottom w:val="nil"/>
              <w:right w:val="nil"/>
            </w:tcBorders>
            <w:tcMar>
              <w:top w:w="0" w:type="dxa"/>
              <w:left w:w="62" w:type="dxa"/>
              <w:bottom w:w="0" w:type="dxa"/>
              <w:right w:w="62" w:type="dxa"/>
            </w:tcMar>
          </w:tcPr>
          <w:p w:rsidR="00000000" w:rsidRPr="00BF76DF" w:rsidP="00BF76DF">
            <w:pPr>
              <w:pStyle w:val="BodyText"/>
            </w:pPr>
            <w:r w:rsidRPr="00BF76DF">
              <w:t>A person who demonstrates competency in this unit must be able to provide evidence of:</w:t>
            </w:r>
          </w:p>
          <w:p w:rsidR="00000000" w:rsidRPr="00BF76DF" w:rsidP="00BF76DF">
            <w:pPr>
              <w:pStyle w:val="ListBullet"/>
            </w:pPr>
            <w:r w:rsidRPr="00BF76DF">
              <w:t>specifying local authority inspection r</w:t>
            </w:r>
            <w:r w:rsidRPr="00BF76DF">
              <w:t>equirements for hydraulic systems in accordance with legislation and standards</w:t>
            </w:r>
          </w:p>
          <w:p w:rsidR="00000000" w:rsidRPr="00BF76DF" w:rsidP="00BF76DF">
            <w:pPr>
              <w:pStyle w:val="ListBullet"/>
            </w:pPr>
            <w:r w:rsidRPr="00BF76DF">
              <w:t>developing administrative procedures for inspection projects</w:t>
            </w:r>
          </w:p>
          <w:p w:rsidR="00000000" w:rsidRPr="00BF76DF" w:rsidP="00BF76DF">
            <w:pPr>
              <w:pStyle w:val="ListBullet"/>
            </w:pPr>
            <w:r w:rsidRPr="00BF76DF">
              <w:t>implementing dispute-resolution techniques</w:t>
            </w:r>
          </w:p>
          <w:p w:rsidR="00000000" w:rsidRPr="00BF76DF" w:rsidP="00BF76DF">
            <w:pPr>
              <w:pStyle w:val="ListBullet"/>
            </w:pPr>
            <w:r w:rsidRPr="00BF76DF">
              <w:t>conducting compliance inspections</w:t>
            </w:r>
          </w:p>
          <w:p w:rsidR="00000000" w:rsidRPr="00BF76DF" w:rsidP="00BF76DF">
            <w:pPr>
              <w:pStyle w:val="ListBullet"/>
            </w:pPr>
            <w:r w:rsidRPr="00BF76DF">
              <w:t>taking relevant measurements and sketching on-site as-constructed plans</w:t>
            </w:r>
          </w:p>
          <w:p w:rsidR="00000000" w:rsidRPr="00BF76DF" w:rsidP="00BF76DF">
            <w:pPr>
              <w:pStyle w:val="ListBullet"/>
            </w:pPr>
            <w:r w:rsidRPr="00BF76DF">
              <w:t>implementing testing procedures</w:t>
            </w:r>
          </w:p>
          <w:p w:rsidR="00000000" w:rsidRPr="00BF76DF" w:rsidP="00BF76DF">
            <w:pPr>
              <w:pStyle w:val="ListBullet"/>
            </w:pPr>
            <w:r w:rsidRPr="00BF76DF">
              <w:t>preparing inspection reports</w:t>
            </w:r>
          </w:p>
          <w:p w:rsidR="00000000" w:rsidRPr="00BF76DF" w:rsidP="00BF76DF">
            <w:pPr>
              <w:pStyle w:val="ListBullet"/>
            </w:pPr>
            <w:r w:rsidRPr="00BF76DF">
              <w:t>detailing breaches to regulations or standards</w:t>
            </w:r>
          </w:p>
          <w:p w:rsidR="00000000" w:rsidP="00BF76DF">
            <w:pPr>
              <w:pStyle w:val="ListBullet"/>
              <w:rPr>
                <w:lang w:val="en-NZ"/>
              </w:rPr>
            </w:pPr>
            <w:r w:rsidRPr="00BF76DF">
              <w:t>maintaining an inspection diary.</w:t>
            </w:r>
          </w:p>
        </w:tc>
      </w:tr>
      <w:tr w:rsidTr="00631D9C">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BF76DF">
            <w:pPr>
              <w:pStyle w:val="BodyText"/>
              <w:rPr>
                <w:lang w:val="en-NZ"/>
              </w:rPr>
            </w:pPr>
            <w:r w:rsidRPr="00BF76DF">
              <w:rPr>
                <w:rStyle w:val="SpecialBold"/>
              </w:rPr>
              <w:t>Context of and specific resources for asse</w:t>
            </w:r>
            <w:r w:rsidRPr="00BF76DF">
              <w:rPr>
                <w:rStyle w:val="SpecialBold"/>
              </w:rPr>
              <w:t>ssment</w:t>
            </w:r>
          </w:p>
        </w:tc>
        <w:tc>
          <w:tcPr>
            <w:tcW w:w="5017" w:type="dxa"/>
            <w:tcBorders>
              <w:top w:val="nil"/>
              <w:left w:val="nil"/>
              <w:bottom w:val="nil"/>
              <w:right w:val="nil"/>
            </w:tcBorders>
            <w:tcMar>
              <w:top w:w="0" w:type="dxa"/>
              <w:left w:w="62" w:type="dxa"/>
              <w:bottom w:w="0" w:type="dxa"/>
              <w:right w:w="62" w:type="dxa"/>
            </w:tcMar>
          </w:tcPr>
          <w:p w:rsidR="00000000" w:rsidRPr="00BF76DF" w:rsidP="00BF76DF">
            <w:pPr>
              <w:pStyle w:val="BodyText"/>
            </w:pPr>
            <w:r w:rsidRPr="00BF76DF">
              <w:t>This competency is to be assessed using standard and authorised work practices, safety requirements and environmental constraints.</w:t>
            </w:r>
          </w:p>
          <w:p w:rsidR="00000000" w:rsidRPr="00BF76DF" w:rsidP="00BF76DF">
            <w:pPr>
              <w:pStyle w:val="BodyText"/>
            </w:pPr>
            <w:r w:rsidRPr="00BF76DF">
              <w:t>Assessment of essential underpinning knowledge will usually be conducted in an off-site context.</w:t>
            </w:r>
          </w:p>
          <w:p w:rsidR="00000000" w:rsidRPr="00BF76DF" w:rsidP="00BF76DF">
            <w:pPr>
              <w:pStyle w:val="BodyText"/>
            </w:pPr>
            <w:r w:rsidRPr="00BF76DF">
              <w:t>Assessment is to comp</w:t>
            </w:r>
            <w:r w:rsidRPr="00BF76DF">
              <w:t>ly with relevant regulatory or Australian standards' requirements.</w:t>
            </w:r>
          </w:p>
          <w:p w:rsidR="00000000" w:rsidRPr="00BF76DF" w:rsidP="00BF76DF">
            <w:pPr>
              <w:pStyle w:val="BodyText"/>
            </w:pPr>
            <w:r w:rsidRPr="00BF76DF">
              <w:t>Resource implications for assessment include:</w:t>
            </w:r>
          </w:p>
          <w:p w:rsidR="00000000" w:rsidRPr="00BF76DF" w:rsidP="00BF76DF">
            <w:pPr>
              <w:pStyle w:val="ListBullet"/>
            </w:pPr>
            <w:r w:rsidRPr="00BF76DF">
              <w:t>an induction procedure and requirement</w:t>
            </w:r>
          </w:p>
          <w:p w:rsidR="00000000" w:rsidRPr="00BF76DF" w:rsidP="00BF76DF">
            <w:pPr>
              <w:pStyle w:val="ListBullet"/>
            </w:pPr>
            <w:r w:rsidRPr="00BF76DF">
              <w:t>realistic tasks or simulated tasks covering the minimum task requirements</w:t>
            </w:r>
          </w:p>
          <w:p w:rsidR="00000000" w:rsidRPr="00BF76DF" w:rsidP="00BF76DF">
            <w:pPr>
              <w:pStyle w:val="ListBullet"/>
            </w:pPr>
            <w:r w:rsidRPr="00BF76DF">
              <w:t>relevant specifications and work instructions, including design brief drawings, specifications, codes, design concepts and construction schedules</w:t>
            </w:r>
          </w:p>
          <w:p w:rsidR="00000000" w:rsidRPr="00BF76DF" w:rsidP="00BF76DF">
            <w:pPr>
              <w:pStyle w:val="ListBullet"/>
            </w:pPr>
            <w:r w:rsidRPr="00BF76DF">
              <w:t>tools and equipment appropriate to applying safe work practices, including computers, software and calculators</w:t>
            </w:r>
          </w:p>
          <w:p w:rsidR="00000000" w:rsidRPr="00BF76DF" w:rsidP="00BF76DF">
            <w:pPr>
              <w:pStyle w:val="ListBullet"/>
            </w:pPr>
            <w:r w:rsidRPr="00BF76DF">
              <w:t>workplace instructions relating to safe working practices and addressing hazards and emergencies</w:t>
            </w:r>
          </w:p>
          <w:p w:rsidR="00000000" w:rsidRPr="00BF76DF" w:rsidP="00BF76DF">
            <w:pPr>
              <w:pStyle w:val="ListBullet"/>
            </w:pPr>
            <w:r w:rsidRPr="00BF76DF">
              <w:t>material safety data sheets</w:t>
            </w:r>
          </w:p>
          <w:p w:rsidR="00000000" w:rsidRPr="00BF76DF" w:rsidP="00BF76DF">
            <w:pPr>
              <w:pStyle w:val="ListBullet"/>
            </w:pPr>
            <w:r w:rsidRPr="00BF76DF">
              <w:t>research resources, including industry related systems information.</w:t>
            </w:r>
          </w:p>
          <w:p w:rsidR="00000000" w:rsidP="00BF76DF">
            <w:pPr>
              <w:pStyle w:val="BodyText"/>
              <w:rPr>
                <w:lang w:val="en-NZ"/>
              </w:rPr>
            </w:pPr>
            <w:r w:rsidRPr="00BF76DF">
              <w:t>Reasonable adjustments for people with disabilities must be ma</w:t>
            </w:r>
            <w:r w:rsidRPr="00BF76DF">
              <w:t xml:space="preserve">de to assessment processes where required. This could include access to modified equipment and other physical resources, and the provision of appropriate assessment support. </w:t>
            </w:r>
          </w:p>
        </w:tc>
      </w:tr>
      <w:tr w:rsidTr="00631D9C">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BF76DF">
            <w:pPr>
              <w:pStyle w:val="BodyText"/>
              <w:rPr>
                <w:lang w:val="en-NZ"/>
              </w:rPr>
            </w:pPr>
            <w:r w:rsidRPr="00BF76DF">
              <w:rPr>
                <w:rStyle w:val="SpecialBold"/>
              </w:rPr>
              <w:t>Method of assessment</w:t>
            </w:r>
          </w:p>
        </w:tc>
        <w:tc>
          <w:tcPr>
            <w:tcW w:w="5017" w:type="dxa"/>
            <w:tcBorders>
              <w:top w:val="nil"/>
              <w:left w:val="nil"/>
              <w:bottom w:val="nil"/>
              <w:right w:val="nil"/>
            </w:tcBorders>
            <w:tcMar>
              <w:top w:w="0" w:type="dxa"/>
              <w:left w:w="62" w:type="dxa"/>
              <w:bottom w:w="0" w:type="dxa"/>
              <w:right w:w="62" w:type="dxa"/>
            </w:tcMar>
          </w:tcPr>
          <w:p w:rsidR="00000000" w:rsidRPr="00BF76DF" w:rsidP="00BF76DF">
            <w:pPr>
              <w:pStyle w:val="BodyText"/>
            </w:pPr>
            <w:r w:rsidRPr="00BF76DF">
              <w:t>Assessment methods must:</w:t>
            </w:r>
          </w:p>
          <w:p w:rsidR="00000000" w:rsidRPr="00BF76DF" w:rsidP="00BF76DF">
            <w:pPr>
              <w:pStyle w:val="ListBullet"/>
            </w:pPr>
            <w:r w:rsidRPr="00BF76DF">
              <w:t>satisfy the endorsed Assessment G</w:t>
            </w:r>
            <w:r w:rsidRPr="00BF76DF">
              <w:t>uidelines of the Construction, Plumbing and Services Training Package</w:t>
            </w:r>
          </w:p>
          <w:p w:rsidR="00000000" w:rsidRPr="00BF76DF" w:rsidP="00BF76DF">
            <w:pPr>
              <w:pStyle w:val="ListBullet"/>
            </w:pPr>
            <w:r w:rsidRPr="00BF76DF">
              <w:t>include direct observation of tasks in real or simulated work conditions, with questioning to confirm the ability to consistently identify and correctly interpret the essential underpinn</w:t>
            </w:r>
            <w:r w:rsidRPr="00BF76DF">
              <w:t>ing knowledge required for practical application</w:t>
            </w:r>
          </w:p>
          <w:p w:rsidR="00000000" w:rsidRPr="00BF76DF" w:rsidP="00BF76DF">
            <w:pPr>
              <w:pStyle w:val="ListBullet"/>
            </w:pPr>
            <w:r w:rsidRPr="00BF76DF">
              <w:t>reinforce the integration of employability skills with workplace tasks and job roles</w:t>
            </w:r>
          </w:p>
          <w:p w:rsidR="00000000" w:rsidRPr="00BF76DF" w:rsidP="00BF76DF">
            <w:pPr>
              <w:pStyle w:val="ListBullet"/>
            </w:pPr>
            <w:r w:rsidRPr="00BF76DF">
              <w:t>confirm that competency is verified and able to be transferred to other circumstances and environments.</w:t>
            </w:r>
          </w:p>
          <w:p w:rsidR="00000000" w:rsidRPr="00BF76DF" w:rsidP="00BF76DF">
            <w:pPr>
              <w:pStyle w:val="BodyText"/>
            </w:pPr>
            <w:r w:rsidRPr="00BF76DF">
              <w:t>Validity and suffi</w:t>
            </w:r>
            <w:r w:rsidRPr="00BF76DF">
              <w:t>ciency of evidence requires that:</w:t>
            </w:r>
          </w:p>
          <w:p w:rsidR="00000000" w:rsidRPr="00BF76DF" w:rsidP="00BF76DF">
            <w:pPr>
              <w:pStyle w:val="ListBullet"/>
            </w:pPr>
            <w:r w:rsidRPr="00BF76DF">
              <w:t>competency will need to be demonstrated over a period of time reflecting the scope of the role and the practical requirements of the workplace</w:t>
            </w:r>
          </w:p>
          <w:p w:rsidR="00000000" w:rsidRPr="00BF76DF" w:rsidP="00BF76DF">
            <w:pPr>
              <w:pStyle w:val="ListBullet"/>
            </w:pPr>
            <w:r w:rsidRPr="00BF76DF">
              <w:t>where the assessment is part of a structured learning experience the evidence collected must relate to a number of performances assessed at different points in time and separated by further learning and practice, with a decision on competency only taken at</w:t>
            </w:r>
            <w:r w:rsidRPr="00BF76DF">
              <w:t xml:space="preserve"> the point when the assessor has complete confidence in the person's demonstrated ability and applied knowledge</w:t>
            </w:r>
          </w:p>
          <w:p w:rsidR="00000000" w:rsidRPr="00BF76DF" w:rsidP="00BF76DF">
            <w:pPr>
              <w:pStyle w:val="ListBullet"/>
            </w:pPr>
            <w:r w:rsidRPr="00BF76DF">
              <w:t>all assessment that is part of a structured learning experience must include a combination of direct, indirect and supplementary evidence.</w:t>
            </w:r>
          </w:p>
          <w:p w:rsidR="00000000" w:rsidRPr="00BF76DF" w:rsidP="00BF76DF">
            <w:pPr>
              <w:pStyle w:val="BodyText"/>
            </w:pPr>
            <w:r w:rsidRPr="00BF76DF">
              <w:t>Asses</w:t>
            </w:r>
            <w:r w:rsidRPr="00BF76DF">
              <w:t>sment processes and techniques should as far as is practical take into account the language, literacy and numeracy capacity of the candidate in relation to the competency being assessed.</w:t>
            </w:r>
          </w:p>
          <w:p w:rsidR="00000000" w:rsidRPr="00BF76DF" w:rsidP="00BF76DF">
            <w:pPr>
              <w:pStyle w:val="BodyText"/>
            </w:pPr>
            <w:r w:rsidRPr="00BF76DF">
              <w:t>Supplementary evidence of competency may be obtained from relevant au</w:t>
            </w:r>
            <w:r w:rsidRPr="00BF76DF">
              <w:t xml:space="preserve">thenticated documentation from third parties, such as existing supervisors, team leaders or specialist training staff. </w:t>
            </w:r>
          </w:p>
        </w:tc>
      </w:tr>
    </w:tbl>
    <w:p w:rsidR="00631D9C" w:rsidP="00BF76DF">
      <w:pPr>
        <w:pStyle w:val="BodyText"/>
      </w:pPr>
    </w:p>
    <w:p w:rsidR="00631D9C" w:rsidP="00BF76DF">
      <w:pPr>
        <w:pStyle w:val="BodyText"/>
      </w:pPr>
    </w:p>
    <w:p w:rsidR="00000000" w:rsidRPr="00BF76DF" w:rsidP="00BF76DF">
      <w:pPr>
        <w:pStyle w:val="Heading1"/>
      </w:pPr>
      <w:bookmarkStart w:id="11" w:name="O_250588"/>
      <w:bookmarkEnd w:id="11"/>
      <w:r w:rsidRPr="00BF76DF">
        <w:t>Range Statement</w:t>
      </w:r>
    </w:p>
    <w:tbl>
      <w:tblPr>
        <w:tblW w:w="0" w:type="auto"/>
        <w:tblLayout w:type="fixed"/>
        <w:tblCellMar>
          <w:left w:w="62" w:type="dxa"/>
          <w:right w:w="62" w:type="dxa"/>
        </w:tblCellMar>
        <w:tblLook w:val="0000"/>
      </w:tblPr>
      <w:tblGrid>
        <w:gridCol w:w="3506"/>
        <w:gridCol w:w="5016"/>
      </w:tblGrid>
      <w:tr w:rsidTr="00631D9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F76DF">
            <w:pPr>
              <w:pStyle w:val="BodyText"/>
              <w:rPr>
                <w:lang w:val="en-NZ"/>
              </w:rPr>
            </w:pPr>
            <w:r w:rsidRPr="00BF76DF">
              <w:rPr>
                <w:rStyle w:val="SpecialBold"/>
              </w:rPr>
              <w:t>RANGE STATEMENT</w:t>
            </w:r>
          </w:p>
        </w:tc>
      </w:tr>
      <w:tr w:rsidTr="00631D9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F76DF">
            <w:pPr>
              <w:pStyle w:val="BodyText"/>
              <w:rPr>
                <w:lang w:val="en-NZ"/>
              </w:rPr>
            </w:pPr>
            <w:r w:rsidRPr="00BF76DF">
              <w:t>The range statement relates to the unit of competency as a whole. It allows for different work environments and situations that may affect performance. Bold italicised wording, if used in the performance criteria, is detailed below. Essential operating con</w:t>
            </w:r>
            <w:r w:rsidRPr="00BF76DF">
              <w:t>ditions that may be present with training and assessment (depending on the work situation, needs of the candidate, accessibility of the item, and local industry and regional contexts) may also be included.</w:t>
            </w:r>
          </w:p>
        </w:tc>
      </w:tr>
      <w:tr w:rsidTr="00631D9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F76DF">
            <w:pPr>
              <w:pStyle w:val="BodyText"/>
              <w:rPr>
                <w:lang w:val="en-NZ"/>
              </w:rPr>
            </w:pPr>
            <w:r w:rsidRPr="00BF76DF">
              <w:rPr>
                <w:rStyle w:val="BoldandItalics"/>
              </w:rPr>
              <w:t>Hydraulic systems</w:t>
            </w:r>
            <w:r w:rsidRPr="00BF76DF">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BF76DF" w:rsidP="00BF76DF">
            <w:pPr>
              <w:pStyle w:val="ListBullet"/>
            </w:pPr>
            <w:r w:rsidRPr="00BF76DF">
              <w:t>fire services</w:t>
            </w:r>
          </w:p>
          <w:p w:rsidR="00000000" w:rsidRPr="00BF76DF" w:rsidP="00BF76DF">
            <w:pPr>
              <w:pStyle w:val="ListBullet"/>
            </w:pPr>
            <w:r w:rsidRPr="00BF76DF">
              <w:t>gas services</w:t>
            </w:r>
          </w:p>
          <w:p w:rsidR="00000000" w:rsidRPr="00BF76DF" w:rsidP="00BF76DF">
            <w:pPr>
              <w:pStyle w:val="ListBullet"/>
            </w:pPr>
            <w:r w:rsidRPr="00BF76DF">
              <w:t>mechanical services</w:t>
            </w:r>
          </w:p>
          <w:p w:rsidR="00000000" w:rsidRPr="00BF76DF" w:rsidP="00BF76DF">
            <w:pPr>
              <w:pStyle w:val="ListBullet"/>
            </w:pPr>
            <w:r w:rsidRPr="00BF76DF">
              <w:t>sanitary plumbing and drainage</w:t>
            </w:r>
          </w:p>
          <w:p w:rsidR="00000000" w:rsidRPr="00BF76DF" w:rsidP="00BF76DF">
            <w:pPr>
              <w:pStyle w:val="ListBullet"/>
            </w:pPr>
            <w:r w:rsidRPr="00BF76DF">
              <w:t>stormwater drainage</w:t>
            </w:r>
          </w:p>
          <w:p w:rsidR="00000000" w:rsidRPr="00BF76DF" w:rsidP="00BF76DF">
            <w:pPr>
              <w:pStyle w:val="ListBullet"/>
            </w:pPr>
            <w:r w:rsidRPr="00BF76DF">
              <w:t>trade waste</w:t>
            </w:r>
          </w:p>
          <w:p w:rsidR="00000000" w:rsidP="00BF76DF">
            <w:pPr>
              <w:pStyle w:val="ListBullet"/>
              <w:rPr>
                <w:lang w:val="en-NZ"/>
              </w:rPr>
            </w:pPr>
            <w:r w:rsidRPr="00BF76DF">
              <w:t>water supply.</w:t>
            </w:r>
          </w:p>
        </w:tc>
      </w:tr>
      <w:tr w:rsidTr="00631D9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F76DF">
            <w:pPr>
              <w:pStyle w:val="BodyText"/>
              <w:rPr>
                <w:lang w:val="en-NZ"/>
              </w:rPr>
            </w:pPr>
            <w:r w:rsidRPr="00BF76DF">
              <w:rPr>
                <w:rStyle w:val="BoldandItalics"/>
              </w:rPr>
              <w:t>Approved materials</w:t>
            </w:r>
            <w:r w:rsidRPr="00BF76DF">
              <w:t xml:space="preserve"> are identified from Australian and New Zealand standards and include:</w:t>
            </w:r>
          </w:p>
        </w:tc>
        <w:tc>
          <w:tcPr>
            <w:tcW w:w="5016" w:type="dxa"/>
            <w:tcBorders>
              <w:top w:val="nil"/>
              <w:left w:val="nil"/>
              <w:bottom w:val="nil"/>
              <w:right w:val="nil"/>
            </w:tcBorders>
            <w:tcMar>
              <w:top w:w="0" w:type="dxa"/>
              <w:left w:w="62" w:type="dxa"/>
              <w:bottom w:w="0" w:type="dxa"/>
              <w:right w:w="62" w:type="dxa"/>
            </w:tcMar>
          </w:tcPr>
          <w:p w:rsidR="00000000" w:rsidRPr="00BF76DF" w:rsidP="00BF76DF">
            <w:pPr>
              <w:pStyle w:val="ListBullet"/>
            </w:pPr>
            <w:r w:rsidRPr="00BF76DF">
              <w:t>fittings</w:t>
            </w:r>
          </w:p>
          <w:p w:rsidR="00000000" w:rsidRPr="00BF76DF" w:rsidP="00BF76DF">
            <w:pPr>
              <w:pStyle w:val="ListBullet"/>
            </w:pPr>
            <w:r w:rsidRPr="00BF76DF">
              <w:t>fixtures</w:t>
            </w:r>
          </w:p>
          <w:p w:rsidR="00000000" w:rsidP="00BF76DF">
            <w:pPr>
              <w:pStyle w:val="ListBullet"/>
              <w:rPr>
                <w:lang w:val="en-NZ"/>
              </w:rPr>
            </w:pPr>
            <w:r w:rsidRPr="00BF76DF">
              <w:t>pipes.</w:t>
            </w:r>
          </w:p>
        </w:tc>
      </w:tr>
      <w:tr w:rsidTr="00631D9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F76DF">
            <w:pPr>
              <w:pStyle w:val="BodyText"/>
              <w:rPr>
                <w:lang w:val="en-NZ"/>
              </w:rPr>
            </w:pPr>
            <w:r w:rsidRPr="00BF76DF">
              <w:rPr>
                <w:rStyle w:val="BoldandItalics"/>
              </w:rPr>
              <w:t>Administrative procedures</w:t>
            </w:r>
            <w:r w:rsidRPr="00BF76DF">
              <w:t xml:space="preserve"> inc</w:t>
            </w:r>
            <w:r w:rsidRPr="00BF76DF">
              <w:t>lude:</w:t>
            </w:r>
          </w:p>
        </w:tc>
        <w:tc>
          <w:tcPr>
            <w:tcW w:w="5016" w:type="dxa"/>
            <w:tcBorders>
              <w:top w:val="nil"/>
              <w:left w:val="nil"/>
              <w:bottom w:val="nil"/>
              <w:right w:val="nil"/>
            </w:tcBorders>
            <w:tcMar>
              <w:top w:w="0" w:type="dxa"/>
              <w:left w:w="62" w:type="dxa"/>
              <w:bottom w:w="0" w:type="dxa"/>
              <w:right w:w="62" w:type="dxa"/>
            </w:tcMar>
          </w:tcPr>
          <w:p w:rsidR="00000000" w:rsidRPr="00BF76DF" w:rsidP="00BF76DF">
            <w:pPr>
              <w:pStyle w:val="ListBullet"/>
            </w:pPr>
            <w:r w:rsidRPr="00BF76DF">
              <w:t>file management</w:t>
            </w:r>
          </w:p>
          <w:p w:rsidR="00000000" w:rsidRPr="00BF76DF" w:rsidP="00BF76DF">
            <w:pPr>
              <w:pStyle w:val="ListBullet"/>
            </w:pPr>
            <w:r w:rsidRPr="00BF76DF">
              <w:t>inspection allocation</w:t>
            </w:r>
          </w:p>
          <w:p w:rsidR="00000000" w:rsidRPr="00BF76DF" w:rsidP="00BF76DF">
            <w:pPr>
              <w:pStyle w:val="ListBullet"/>
            </w:pPr>
            <w:r w:rsidRPr="00BF76DF">
              <w:t>inspection records</w:t>
            </w:r>
          </w:p>
          <w:p w:rsidR="00000000" w:rsidP="00BF76DF">
            <w:pPr>
              <w:pStyle w:val="ListBullet"/>
              <w:rPr>
                <w:lang w:val="en-NZ"/>
              </w:rPr>
            </w:pPr>
            <w:r w:rsidRPr="00BF76DF">
              <w:t>logging inspections.</w:t>
            </w:r>
          </w:p>
        </w:tc>
      </w:tr>
      <w:tr w:rsidTr="00631D9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F76DF">
            <w:pPr>
              <w:pStyle w:val="BodyText"/>
              <w:rPr>
                <w:lang w:val="en-NZ"/>
              </w:rPr>
            </w:pPr>
            <w:r w:rsidRPr="00BF76DF">
              <w:rPr>
                <w:rStyle w:val="BoldandItalics"/>
              </w:rPr>
              <w:t>Inspection projects</w:t>
            </w:r>
            <w:r w:rsidRPr="00BF76DF">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BF76DF" w:rsidP="00BF76DF">
            <w:pPr>
              <w:pStyle w:val="ListBullet"/>
            </w:pPr>
            <w:r w:rsidRPr="00BF76DF">
              <w:t>hydraulic consultant</w:t>
            </w:r>
          </w:p>
          <w:p w:rsidR="00000000" w:rsidRPr="00BF76DF" w:rsidP="00BF76DF">
            <w:pPr>
              <w:pStyle w:val="ListBullet"/>
            </w:pPr>
            <w:r w:rsidRPr="00BF76DF">
              <w:t>local authority</w:t>
            </w:r>
          </w:p>
          <w:p w:rsidR="00000000" w:rsidP="00BF76DF">
            <w:pPr>
              <w:pStyle w:val="ListBullet"/>
              <w:rPr>
                <w:lang w:val="en-NZ"/>
              </w:rPr>
            </w:pPr>
            <w:r w:rsidRPr="00BF76DF">
              <w:t>plumbing supervisor.</w:t>
            </w:r>
          </w:p>
        </w:tc>
      </w:tr>
      <w:tr w:rsidTr="00631D9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F76DF">
            <w:pPr>
              <w:pStyle w:val="BodyText"/>
              <w:rPr>
                <w:lang w:val="en-NZ"/>
              </w:rPr>
            </w:pPr>
            <w:r w:rsidRPr="00BF76DF">
              <w:rPr>
                <w:rStyle w:val="BoldandItalics"/>
              </w:rPr>
              <w:t>Inspection checklists</w:t>
            </w:r>
            <w:r w:rsidRPr="00BF76DF">
              <w:t>:</w:t>
            </w:r>
          </w:p>
        </w:tc>
        <w:tc>
          <w:tcPr>
            <w:tcW w:w="5016" w:type="dxa"/>
            <w:tcBorders>
              <w:top w:val="nil"/>
              <w:left w:val="nil"/>
              <w:bottom w:val="nil"/>
              <w:right w:val="nil"/>
            </w:tcBorders>
            <w:tcMar>
              <w:top w:w="0" w:type="dxa"/>
              <w:left w:w="62" w:type="dxa"/>
              <w:bottom w:w="0" w:type="dxa"/>
              <w:right w:w="62" w:type="dxa"/>
            </w:tcMar>
          </w:tcPr>
          <w:p w:rsidR="00000000" w:rsidRPr="00BF76DF" w:rsidP="00BF76DF">
            <w:pPr>
              <w:pStyle w:val="ListBullet"/>
            </w:pPr>
            <w:r w:rsidRPr="00BF76DF">
              <w:t>include:</w:t>
            </w:r>
          </w:p>
          <w:p w:rsidR="00000000" w:rsidRPr="00BF76DF" w:rsidP="00BF76DF">
            <w:pPr>
              <w:pStyle w:val="ListBullet2"/>
            </w:pPr>
            <w:r w:rsidRPr="00BF76DF">
              <w:t>approved installation methods</w:t>
            </w:r>
          </w:p>
          <w:p w:rsidR="00000000" w:rsidRPr="00BF76DF" w:rsidP="00BF76DF">
            <w:pPr>
              <w:pStyle w:val="ListBullet2"/>
            </w:pPr>
            <w:r w:rsidRPr="00BF76DF">
              <w:t>authorised materials</w:t>
            </w:r>
          </w:p>
          <w:p w:rsidR="00000000" w:rsidRPr="00BF76DF" w:rsidP="00BF76DF">
            <w:pPr>
              <w:pStyle w:val="ListBullet2"/>
            </w:pPr>
            <w:r w:rsidRPr="00BF76DF">
              <w:t>project section</w:t>
            </w:r>
          </w:p>
          <w:p w:rsidR="00000000" w:rsidRPr="00BF76DF" w:rsidP="00BF76DF">
            <w:pPr>
              <w:pStyle w:val="ListBullet"/>
            </w:pPr>
            <w:r w:rsidRPr="00BF76DF">
              <w:t>are in compliance with:</w:t>
            </w:r>
          </w:p>
          <w:p w:rsidR="00000000" w:rsidRPr="00BF76DF" w:rsidP="00BF76DF">
            <w:pPr>
              <w:pStyle w:val="ListBullet2"/>
            </w:pPr>
            <w:r w:rsidRPr="00BF76DF">
              <w:t>Australian and New Zealand standards</w:t>
            </w:r>
          </w:p>
          <w:p w:rsidR="00000000" w:rsidRPr="00BF76DF" w:rsidP="00BF76DF">
            <w:pPr>
              <w:pStyle w:val="ListBullet2"/>
            </w:pPr>
            <w:r w:rsidRPr="00BF76DF">
              <w:t>Building Code of Australia</w:t>
            </w:r>
          </w:p>
          <w:p w:rsidR="00000000" w:rsidRPr="00BF76DF" w:rsidP="00BF76DF">
            <w:pPr>
              <w:pStyle w:val="ListBullet2"/>
            </w:pPr>
            <w:r w:rsidRPr="00BF76DF">
              <w:t>distances</w:t>
            </w:r>
          </w:p>
          <w:p w:rsidR="00000000" w:rsidRPr="00BF76DF" w:rsidP="00BF76DF">
            <w:pPr>
              <w:pStyle w:val="ListBullet2"/>
            </w:pPr>
            <w:r w:rsidRPr="00BF76DF">
              <w:t>limitations</w:t>
            </w:r>
          </w:p>
          <w:p w:rsidR="00000000" w:rsidP="00BF76DF">
            <w:pPr>
              <w:pStyle w:val="ListBullet2"/>
              <w:rPr>
                <w:lang w:val="en-NZ"/>
              </w:rPr>
            </w:pPr>
            <w:r w:rsidRPr="00BF76DF">
              <w:t>other regulatory requirements.</w:t>
            </w:r>
          </w:p>
        </w:tc>
      </w:tr>
      <w:tr w:rsidTr="00631D9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F76DF">
            <w:pPr>
              <w:pStyle w:val="BodyText"/>
              <w:rPr>
                <w:lang w:val="en-NZ"/>
              </w:rPr>
            </w:pPr>
            <w:r w:rsidRPr="00BF76DF">
              <w:rPr>
                <w:rStyle w:val="BoldandItalics"/>
              </w:rPr>
              <w:t>As</w:t>
            </w:r>
            <w:r w:rsidRPr="00BF76DF">
              <w:t>-</w:t>
            </w:r>
            <w:r w:rsidRPr="00BF76DF">
              <w:rPr>
                <w:rStyle w:val="BoldandItalics"/>
              </w:rPr>
              <w:t>constructed plans</w:t>
            </w:r>
            <w:r w:rsidRPr="00BF76DF">
              <w:t xml:space="preserve"> include layout of:</w:t>
            </w:r>
          </w:p>
        </w:tc>
        <w:tc>
          <w:tcPr>
            <w:tcW w:w="5016" w:type="dxa"/>
            <w:tcBorders>
              <w:top w:val="nil"/>
              <w:left w:val="nil"/>
              <w:bottom w:val="nil"/>
              <w:right w:val="nil"/>
            </w:tcBorders>
            <w:tcMar>
              <w:top w:w="0" w:type="dxa"/>
              <w:left w:w="62" w:type="dxa"/>
              <w:bottom w:w="0" w:type="dxa"/>
              <w:right w:w="62" w:type="dxa"/>
            </w:tcMar>
          </w:tcPr>
          <w:p w:rsidR="00000000" w:rsidRPr="00BF76DF" w:rsidP="00BF76DF">
            <w:pPr>
              <w:pStyle w:val="ListBullet"/>
            </w:pPr>
            <w:r w:rsidRPr="00BF76DF">
              <w:t>fire services pipework</w:t>
            </w:r>
          </w:p>
          <w:p w:rsidR="00000000" w:rsidRPr="00BF76DF" w:rsidP="00BF76DF">
            <w:pPr>
              <w:pStyle w:val="ListBullet"/>
            </w:pPr>
            <w:r w:rsidRPr="00BF76DF">
              <w:t>gas pipework</w:t>
            </w:r>
          </w:p>
          <w:p w:rsidR="00000000" w:rsidRPr="00BF76DF" w:rsidP="00BF76DF">
            <w:pPr>
              <w:pStyle w:val="ListBullet"/>
            </w:pPr>
            <w:r w:rsidRPr="00BF76DF">
              <w:t>mechanical services pipework</w:t>
            </w:r>
          </w:p>
          <w:p w:rsidR="00000000" w:rsidRPr="00BF76DF" w:rsidP="00BF76DF">
            <w:pPr>
              <w:pStyle w:val="ListBullet"/>
            </w:pPr>
            <w:r w:rsidRPr="00BF76DF">
              <w:t>sanitary plumbing and drainage pipework</w:t>
            </w:r>
          </w:p>
          <w:p w:rsidR="00000000" w:rsidRPr="00BF76DF" w:rsidP="00BF76DF">
            <w:pPr>
              <w:pStyle w:val="ListBullet"/>
            </w:pPr>
            <w:r w:rsidRPr="00BF76DF">
              <w:t>stormwater pipework</w:t>
            </w:r>
          </w:p>
          <w:p w:rsidR="00000000" w:rsidRPr="00BF76DF" w:rsidP="00BF76DF">
            <w:pPr>
              <w:pStyle w:val="ListBullet"/>
            </w:pPr>
            <w:r w:rsidRPr="00BF76DF">
              <w:t>trade waste drainage systems</w:t>
            </w:r>
          </w:p>
          <w:p w:rsidR="00000000" w:rsidP="00BF76DF">
            <w:pPr>
              <w:pStyle w:val="ListBullet"/>
              <w:rPr>
                <w:lang w:val="en-NZ"/>
              </w:rPr>
            </w:pPr>
            <w:r w:rsidRPr="00BF76DF">
              <w:t>water supply pipework.</w:t>
            </w:r>
          </w:p>
        </w:tc>
      </w:tr>
      <w:tr w:rsidTr="00631D9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F76DF">
            <w:pPr>
              <w:pStyle w:val="BodyText"/>
              <w:rPr>
                <w:lang w:val="en-NZ"/>
              </w:rPr>
            </w:pPr>
            <w:r w:rsidRPr="00BF76DF">
              <w:rPr>
                <w:rStyle w:val="BoldandItalics"/>
              </w:rPr>
              <w:t>Dispute</w:t>
            </w:r>
            <w:r w:rsidRPr="00BF76DF">
              <w:t>-</w:t>
            </w:r>
            <w:r w:rsidRPr="00BF76DF">
              <w:rPr>
                <w:rStyle w:val="BoldandItalics"/>
              </w:rPr>
              <w:t>resolution techniques</w:t>
            </w:r>
            <w:r w:rsidRPr="00BF76DF">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BF76DF" w:rsidP="00BF76DF">
            <w:pPr>
              <w:pStyle w:val="ListBullet"/>
            </w:pPr>
            <w:r w:rsidRPr="00BF76DF">
              <w:t>active listening techniques</w:t>
            </w:r>
          </w:p>
          <w:p w:rsidR="00000000" w:rsidRPr="00BF76DF" w:rsidP="00BF76DF">
            <w:pPr>
              <w:pStyle w:val="ListBullet"/>
            </w:pPr>
            <w:r w:rsidRPr="00BF76DF">
              <w:t>non-threatening body language</w:t>
            </w:r>
          </w:p>
          <w:p w:rsidR="00000000" w:rsidRPr="00BF76DF" w:rsidP="00BF76DF">
            <w:pPr>
              <w:pStyle w:val="ListBullet"/>
            </w:pPr>
            <w:r w:rsidRPr="00BF76DF">
              <w:t>pow</w:t>
            </w:r>
            <w:r w:rsidRPr="00BF76DF">
              <w:t>er neutral relationships</w:t>
            </w:r>
          </w:p>
          <w:p w:rsidR="00000000" w:rsidP="00BF76DF">
            <w:pPr>
              <w:pStyle w:val="ListBullet"/>
              <w:rPr>
                <w:lang w:val="en-NZ"/>
              </w:rPr>
            </w:pPr>
            <w:r w:rsidRPr="00BF76DF">
              <w:t>other recognised dispute avoidance and resolution techniques.</w:t>
            </w:r>
          </w:p>
        </w:tc>
      </w:tr>
      <w:tr w:rsidTr="00631D9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F76DF">
            <w:pPr>
              <w:pStyle w:val="BodyText"/>
              <w:rPr>
                <w:lang w:val="en-NZ"/>
              </w:rPr>
            </w:pPr>
            <w:r w:rsidRPr="00BF76DF">
              <w:rPr>
                <w:rStyle w:val="BoldandItalics"/>
              </w:rPr>
              <w:t>Testing procedures</w:t>
            </w:r>
            <w:r w:rsidRPr="00BF76DF">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BF76DF" w:rsidP="00BF76DF">
            <w:pPr>
              <w:pStyle w:val="ListBullet"/>
            </w:pPr>
            <w:r w:rsidRPr="00BF76DF">
              <w:t>air pressure tests</w:t>
            </w:r>
          </w:p>
          <w:p w:rsidR="00000000" w:rsidRPr="00BF76DF" w:rsidP="00BF76DF">
            <w:pPr>
              <w:pStyle w:val="ListBullet"/>
            </w:pPr>
            <w:r w:rsidRPr="00BF76DF">
              <w:t>compliance checklist</w:t>
            </w:r>
          </w:p>
          <w:p w:rsidR="00000000" w:rsidRPr="00BF76DF" w:rsidP="00BF76DF">
            <w:pPr>
              <w:pStyle w:val="ListBullet"/>
            </w:pPr>
            <w:r w:rsidRPr="00BF76DF">
              <w:t>gas leak detection</w:t>
            </w:r>
          </w:p>
          <w:p w:rsidR="00000000" w:rsidRPr="00BF76DF" w:rsidP="00BF76DF">
            <w:pPr>
              <w:pStyle w:val="ListBullet"/>
            </w:pPr>
            <w:r w:rsidRPr="00BF76DF">
              <w:t>hydrostatic tests</w:t>
            </w:r>
          </w:p>
          <w:p w:rsidR="00000000" w:rsidRPr="00BF76DF" w:rsidP="00BF76DF">
            <w:pPr>
              <w:pStyle w:val="ListBullet"/>
            </w:pPr>
            <w:r w:rsidRPr="00BF76DF">
              <w:t>mirror tests</w:t>
            </w:r>
          </w:p>
          <w:p w:rsidR="00000000" w:rsidRPr="00BF76DF" w:rsidP="00BF76DF">
            <w:pPr>
              <w:pStyle w:val="ListBullet"/>
            </w:pPr>
            <w:r w:rsidRPr="00BF76DF">
              <w:t>quality assurance (QA) audit</w:t>
            </w:r>
          </w:p>
          <w:p w:rsidR="00000000" w:rsidP="00BF76DF">
            <w:pPr>
              <w:pStyle w:val="ListBullet"/>
              <w:rPr>
                <w:lang w:val="en-NZ"/>
              </w:rPr>
            </w:pPr>
            <w:r w:rsidRPr="00BF76DF">
              <w:t>sound testing.</w:t>
            </w:r>
          </w:p>
        </w:tc>
      </w:tr>
      <w:tr w:rsidTr="00631D9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F76DF">
            <w:pPr>
              <w:pStyle w:val="BodyText"/>
              <w:rPr>
                <w:lang w:val="en-NZ"/>
              </w:rPr>
            </w:pPr>
            <w:r w:rsidRPr="00BF76DF">
              <w:rPr>
                <w:rStyle w:val="BoldandItalics"/>
              </w:rPr>
              <w:t>Inspection reports</w:t>
            </w:r>
            <w:r w:rsidRPr="00BF76DF">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BF76DF" w:rsidP="00BF76DF">
            <w:pPr>
              <w:pStyle w:val="ListBullet"/>
            </w:pPr>
            <w:r w:rsidRPr="00BF76DF">
              <w:t>defect</w:t>
            </w:r>
          </w:p>
          <w:p w:rsidR="00000000" w:rsidRPr="00BF76DF" w:rsidP="00BF76DF">
            <w:pPr>
              <w:pStyle w:val="ListBullet"/>
            </w:pPr>
            <w:r w:rsidRPr="00BF76DF">
              <w:t>inspection</w:t>
            </w:r>
          </w:p>
          <w:p w:rsidR="00000000" w:rsidRPr="00BF76DF" w:rsidP="00BF76DF">
            <w:pPr>
              <w:pStyle w:val="ListBullet"/>
            </w:pPr>
            <w:r w:rsidRPr="00BF76DF">
              <w:t>performance</w:t>
            </w:r>
          </w:p>
          <w:p w:rsidR="00000000" w:rsidP="00BF76DF">
            <w:pPr>
              <w:pStyle w:val="ListBullet"/>
              <w:rPr>
                <w:lang w:val="en-NZ"/>
              </w:rPr>
            </w:pPr>
            <w:r w:rsidRPr="00BF76DF">
              <w:t>quality assurance.</w:t>
            </w:r>
          </w:p>
        </w:tc>
      </w:tr>
      <w:tr w:rsidTr="00631D9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F76DF">
            <w:pPr>
              <w:pStyle w:val="BodyText"/>
              <w:rPr>
                <w:lang w:val="en-NZ"/>
              </w:rPr>
            </w:pPr>
            <w:r w:rsidRPr="00BF76DF">
              <w:rPr>
                <w:rStyle w:val="BoldandItalics"/>
              </w:rPr>
              <w:t>Enforcement action</w:t>
            </w:r>
            <w:r w:rsidRPr="00BF76DF">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BF76DF" w:rsidP="00BF76DF">
            <w:pPr>
              <w:pStyle w:val="ListBullet"/>
            </w:pPr>
            <w:r w:rsidRPr="00BF76DF">
              <w:t>fines</w:t>
            </w:r>
          </w:p>
          <w:p w:rsidR="00000000" w:rsidRPr="00BF76DF" w:rsidP="00BF76DF">
            <w:pPr>
              <w:pStyle w:val="ListBullet"/>
            </w:pPr>
            <w:r w:rsidRPr="00BF76DF">
              <w:t>legal action</w:t>
            </w:r>
          </w:p>
          <w:p w:rsidR="00000000" w:rsidRPr="00BF76DF" w:rsidP="00BF76DF">
            <w:pPr>
              <w:pStyle w:val="ListBullet"/>
            </w:pPr>
            <w:r w:rsidRPr="00BF76DF">
              <w:t>notification to plumbing licensing body</w:t>
            </w:r>
          </w:p>
          <w:p w:rsidR="00000000" w:rsidRPr="00BF76DF" w:rsidP="00BF76DF">
            <w:pPr>
              <w:pStyle w:val="ListBullet"/>
            </w:pPr>
            <w:r w:rsidRPr="00BF76DF">
              <w:t>penalties.</w:t>
            </w:r>
          </w:p>
        </w:tc>
      </w:tr>
    </w:tbl>
    <w:p w:rsidR="00631D9C" w:rsidP="00BF76DF">
      <w:pPr>
        <w:pStyle w:val="BodyText"/>
      </w:pPr>
    </w:p>
    <w:p w:rsidR="00631D9C" w:rsidP="00BF76DF">
      <w:pPr>
        <w:pStyle w:val="BodyText"/>
      </w:pPr>
    </w:p>
    <w:p w:rsidR="00000000" w:rsidRPr="00BF76DF" w:rsidP="00BF76DF">
      <w:pPr>
        <w:pStyle w:val="Heading1"/>
      </w:pPr>
      <w:bookmarkStart w:id="12" w:name="O_200137"/>
      <w:bookmarkEnd w:id="12"/>
      <w:r w:rsidRPr="00BF76DF">
        <w:t>Unit Sector(s)</w:t>
      </w:r>
    </w:p>
    <w:tbl>
      <w:tblPr>
        <w:tblW w:w="0" w:type="auto"/>
        <w:tblLayout w:type="fixed"/>
        <w:tblCellMar>
          <w:left w:w="62" w:type="dxa"/>
          <w:right w:w="62" w:type="dxa"/>
        </w:tblCellMar>
        <w:tblLook w:val="0000"/>
      </w:tblPr>
      <w:tblGrid>
        <w:gridCol w:w="2618"/>
        <w:gridCol w:w="5904"/>
      </w:tblGrid>
      <w:tr w:rsidTr="00631D9C">
        <w:tblPrEx>
          <w:tblW w:w="0" w:type="auto"/>
          <w:tblLayout w:type="fixed"/>
          <w:tblCellMar>
            <w:left w:w="62" w:type="dxa"/>
            <w:right w:w="62" w:type="dxa"/>
          </w:tblCellMar>
          <w:tblLook w:val="0000"/>
        </w:tblPrEx>
        <w:trPr>
          <w:tblHeader/>
        </w:trPr>
        <w:tc>
          <w:tcPr>
            <w:tcW w:w="2618" w:type="dxa"/>
            <w:tcBorders>
              <w:top w:val="nil"/>
              <w:left w:val="nil"/>
              <w:bottom w:val="nil"/>
              <w:right w:val="nil"/>
            </w:tcBorders>
            <w:tcMar>
              <w:top w:w="0" w:type="dxa"/>
              <w:left w:w="62" w:type="dxa"/>
              <w:bottom w:w="0" w:type="dxa"/>
              <w:right w:w="62" w:type="dxa"/>
            </w:tcMar>
          </w:tcPr>
          <w:p w:rsidR="00000000" w:rsidP="00BF76DF">
            <w:pPr>
              <w:pStyle w:val="BodyText"/>
              <w:rPr>
                <w:lang w:val="en-NZ"/>
              </w:rPr>
            </w:pPr>
            <w:r w:rsidRPr="00BF76DF">
              <w:rPr>
                <w:rStyle w:val="SpecialBold"/>
              </w:rPr>
              <w:t>Unit sector</w:t>
            </w:r>
          </w:p>
        </w:tc>
        <w:tc>
          <w:tcPr>
            <w:tcW w:w="5904" w:type="dxa"/>
            <w:tcBorders>
              <w:top w:val="nil"/>
              <w:left w:val="nil"/>
              <w:bottom w:val="nil"/>
              <w:right w:val="nil"/>
            </w:tcBorders>
            <w:tcMar>
              <w:top w:w="0" w:type="dxa"/>
              <w:left w:w="62" w:type="dxa"/>
              <w:bottom w:w="0" w:type="dxa"/>
              <w:right w:w="62" w:type="dxa"/>
            </w:tcMar>
          </w:tcPr>
          <w:p w:rsidR="00000000" w:rsidRPr="00BF76DF" w:rsidP="00BF76DF">
            <w:pPr>
              <w:pStyle w:val="BodyText"/>
            </w:pPr>
            <w:r w:rsidRPr="00BF76DF">
              <w:t>Plumbi</w:t>
            </w:r>
            <w:r w:rsidRPr="00BF76DF">
              <w:t>ng and services</w:t>
            </w:r>
          </w:p>
        </w:tc>
      </w:tr>
    </w:tbl>
    <w:p w:rsidR="00631D9C" w:rsidP="00BF76DF">
      <w:pPr>
        <w:pStyle w:val="BodyText"/>
      </w:pPr>
    </w:p>
    <w:p w:rsidR="00631D9C" w:rsidP="00BF76DF">
      <w:pPr>
        <w:pStyle w:val="BodyText"/>
      </w:pPr>
    </w:p>
    <w:p w:rsidR="00000000" w:rsidRPr="00BF76DF" w:rsidP="00BF76DF">
      <w:pPr>
        <w:pStyle w:val="Heading1"/>
      </w:pPr>
      <w:bookmarkStart w:id="13" w:name="O_200134"/>
      <w:bookmarkEnd w:id="13"/>
      <w:r w:rsidRPr="00BF76DF">
        <w:t>Co-requisite units</w:t>
      </w:r>
    </w:p>
    <w:tbl>
      <w:tblPr>
        <w:tblW w:w="0" w:type="auto"/>
        <w:tblLayout w:type="fixed"/>
        <w:tblCellMar>
          <w:left w:w="62" w:type="dxa"/>
          <w:right w:w="62" w:type="dxa"/>
        </w:tblCellMar>
        <w:tblLook w:val="0000"/>
      </w:tblPr>
      <w:tblGrid>
        <w:gridCol w:w="2621"/>
        <w:gridCol w:w="1339"/>
        <w:gridCol w:w="4562"/>
      </w:tblGrid>
      <w:tr w:rsidTr="00631D9C">
        <w:tblPrEx>
          <w:tblW w:w="0" w:type="auto"/>
          <w:tblLayout w:type="fixed"/>
          <w:tblCellMar>
            <w:left w:w="62" w:type="dxa"/>
            <w:right w:w="62" w:type="dxa"/>
          </w:tblCellMar>
          <w:tblLook w:val="0000"/>
        </w:tblPrEx>
        <w:trPr>
          <w:tblHeader/>
        </w:trPr>
        <w:tc>
          <w:tcPr>
            <w:tcW w:w="2621" w:type="dxa"/>
            <w:tcBorders>
              <w:top w:val="nil"/>
              <w:left w:val="nil"/>
              <w:bottom w:val="nil"/>
              <w:right w:val="nil"/>
            </w:tcBorders>
            <w:tcMar>
              <w:top w:w="0" w:type="dxa"/>
              <w:left w:w="62" w:type="dxa"/>
              <w:bottom w:w="0" w:type="dxa"/>
              <w:right w:w="62" w:type="dxa"/>
            </w:tcMar>
          </w:tcPr>
          <w:p w:rsidR="00000000" w:rsidP="00BF76DF">
            <w:pPr>
              <w:pStyle w:val="BodyText"/>
              <w:rPr>
                <w:lang w:val="en-NZ"/>
              </w:rPr>
            </w:pPr>
            <w:r w:rsidRPr="00BF76DF">
              <w:rPr>
                <w:rStyle w:val="SpecialBold"/>
              </w:rPr>
              <w:t>Co-requisite units</w:t>
            </w:r>
          </w:p>
        </w:tc>
        <w:tc>
          <w:tcPr>
            <w:tcW w:w="5901" w:type="dxa"/>
            <w:gridSpan w:val="2"/>
            <w:tcBorders>
              <w:top w:val="nil"/>
              <w:left w:val="nil"/>
              <w:bottom w:val="nil"/>
              <w:right w:val="nil"/>
            </w:tcBorders>
            <w:tcMar>
              <w:top w:w="0" w:type="dxa"/>
              <w:left w:w="62" w:type="dxa"/>
              <w:bottom w:w="0" w:type="dxa"/>
              <w:right w:w="62" w:type="dxa"/>
            </w:tcMar>
          </w:tcPr>
          <w:p w:rsidR="00000000" w:rsidP="00BF76DF">
            <w:pPr>
              <w:pStyle w:val="BodyText"/>
              <w:rPr>
                <w:lang w:val="en-NZ"/>
              </w:rPr>
            </w:pPr>
            <w:r w:rsidRPr="00BF76DF">
              <w:t>Nil</w:t>
            </w:r>
          </w:p>
        </w:tc>
      </w:tr>
      <w:tr w:rsidTr="00631D9C">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BF76DF">
            <w:pPr>
              <w:pStyle w:val="BodyText"/>
              <w:rPr>
                <w:lang w:val="en-NZ"/>
              </w:rPr>
            </w:pPr>
          </w:p>
        </w:tc>
      </w:tr>
      <w:tr w:rsidTr="00631D9C">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BF76DF" w:rsidP="00BF76DF">
            <w:pPr>
              <w:pStyle w:val="BodyText"/>
            </w:pPr>
          </w:p>
        </w:tc>
      </w:tr>
    </w:tbl>
    <w:p w:rsidR="00631D9C" w:rsidP="00BF76DF">
      <w:pPr>
        <w:pStyle w:val="BodyText"/>
      </w:pPr>
    </w:p>
    <w:p w:rsidR="00631D9C" w:rsidP="00BF76DF">
      <w:pPr>
        <w:pStyle w:val="BodyText"/>
      </w:pPr>
    </w:p>
    <w:p w:rsidR="00000000" w:rsidRPr="00BF76DF" w:rsidP="00BF76DF">
      <w:pPr>
        <w:pStyle w:val="Heading1"/>
      </w:pPr>
      <w:bookmarkStart w:id="14" w:name="O_200136"/>
      <w:bookmarkEnd w:id="14"/>
      <w:r w:rsidRPr="00BF76DF">
        <w:t>Functional area</w:t>
      </w:r>
    </w:p>
    <w:tbl>
      <w:tblPr>
        <w:tblW w:w="0" w:type="auto"/>
        <w:tblLayout w:type="fixed"/>
        <w:tblCellMar>
          <w:left w:w="62" w:type="dxa"/>
          <w:right w:w="62" w:type="dxa"/>
        </w:tblCellMar>
        <w:tblLook w:val="0000"/>
      </w:tblPr>
      <w:tblGrid>
        <w:gridCol w:w="2712"/>
        <w:gridCol w:w="5810"/>
      </w:tblGrid>
      <w:tr w:rsidTr="00631D9C">
        <w:tblPrEx>
          <w:tblW w:w="0" w:type="auto"/>
          <w:tblLayout w:type="fixed"/>
          <w:tblCellMar>
            <w:left w:w="62" w:type="dxa"/>
            <w:right w:w="62" w:type="dxa"/>
          </w:tblCellMar>
          <w:tblLook w:val="0000"/>
        </w:tblPrEx>
        <w:trPr>
          <w:tblHeader/>
        </w:trPr>
        <w:tc>
          <w:tcPr>
            <w:tcW w:w="2712" w:type="dxa"/>
            <w:tcBorders>
              <w:top w:val="nil"/>
              <w:left w:val="nil"/>
              <w:bottom w:val="nil"/>
              <w:right w:val="nil"/>
            </w:tcBorders>
            <w:tcMar>
              <w:top w:w="0" w:type="dxa"/>
              <w:left w:w="62" w:type="dxa"/>
              <w:bottom w:w="0" w:type="dxa"/>
              <w:right w:w="62" w:type="dxa"/>
            </w:tcMar>
          </w:tcPr>
          <w:p w:rsidR="00000000" w:rsidP="00BF76DF">
            <w:pPr>
              <w:pStyle w:val="BodyText"/>
              <w:rPr>
                <w:lang w:val="en-NZ"/>
              </w:rPr>
            </w:pPr>
            <w:r w:rsidRPr="00BF76DF">
              <w:rPr>
                <w:rStyle w:val="SpecialBold"/>
              </w:rPr>
              <w:t>Functional area</w:t>
            </w:r>
          </w:p>
        </w:tc>
        <w:tc>
          <w:tcPr>
            <w:tcW w:w="5810" w:type="dxa"/>
            <w:tcBorders>
              <w:top w:val="nil"/>
              <w:left w:val="nil"/>
              <w:bottom w:val="nil"/>
              <w:right w:val="nil"/>
            </w:tcBorders>
            <w:tcMar>
              <w:top w:w="0" w:type="dxa"/>
              <w:left w:w="62" w:type="dxa"/>
              <w:bottom w:w="0" w:type="dxa"/>
              <w:right w:w="62" w:type="dxa"/>
            </w:tcMar>
          </w:tcPr>
          <w:p w:rsidR="00000000" w:rsidRPr="00BF76DF" w:rsidP="00BF76DF">
            <w:pPr>
              <w:pStyle w:val="BodyText"/>
            </w:pPr>
          </w:p>
        </w:tc>
      </w:tr>
    </w:tbl>
    <w:p w:rsidR="00631D9C" w:rsidP="00BF76DF">
      <w:pPr>
        <w:pStyle w:val="BodyText"/>
      </w:pPr>
    </w:p>
    <w:p w:rsidR="00631D9C" w:rsidP="00BF76DF">
      <w:pPr>
        <w:pStyle w:val="BodyText"/>
      </w:pPr>
    </w:p>
    <w:p w:rsidR="00000000" w:rsidRPr="00BF76DF" w:rsidP="00BF76DF"/>
    <w:sectPr w:rsidSect="00BF76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6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1D9C" w:rsidP="00631D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6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D9C" w:rsidP="00BF76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31D9C" w:rsidP="00BF76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31D9C" w:rsidP="00BF76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6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1D9C" w:rsidP="00631D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6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D9C" w:rsidP="00BF76DF">
    <w:pPr>
      <w:pStyle w:val="Header"/>
      <w:framePr w:wrap="around"/>
    </w:pPr>
    <w:r>
      <w:fldChar w:fldCharType="begin"/>
    </w:r>
    <w:r>
      <w:instrText xml:space="preserve"> TITLE   \* MERGEFORMAT </w:instrText>
    </w:r>
    <w:r>
      <w:fldChar w:fldCharType="separate"/>
    </w:r>
    <w:r>
      <w:t>CPCPPS5015A Inspect plumbing and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31D9C" w:rsidP="00BF76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7232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8871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561A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6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76DF"/>
    <w:pPr>
      <w:spacing w:before="360" w:after="60"/>
      <w:outlineLvl w:val="0"/>
    </w:pPr>
    <w:rPr>
      <w:sz w:val="32"/>
    </w:rPr>
  </w:style>
  <w:style w:type="paragraph" w:styleId="Heading2">
    <w:name w:val="heading 2"/>
    <w:basedOn w:val="HeadingBase"/>
    <w:next w:val="BodyText"/>
    <w:link w:val="Heading2Char"/>
    <w:qFormat/>
    <w:rsid w:val="00BF76DF"/>
    <w:pPr>
      <w:keepLines/>
      <w:spacing w:before="240" w:after="120"/>
      <w:outlineLvl w:val="1"/>
    </w:pPr>
    <w:rPr>
      <w:sz w:val="28"/>
      <w:szCs w:val="40"/>
    </w:rPr>
  </w:style>
  <w:style w:type="paragraph" w:styleId="Heading3">
    <w:name w:val="heading 3"/>
    <w:basedOn w:val="HeadingBase"/>
    <w:next w:val="BodyText"/>
    <w:link w:val="Heading3Char"/>
    <w:qFormat/>
    <w:rsid w:val="00BF76DF"/>
    <w:pPr>
      <w:spacing w:before="180" w:after="120"/>
      <w:outlineLvl w:val="2"/>
    </w:pPr>
    <w:rPr>
      <w:spacing w:val="-10"/>
      <w:kern w:val="32"/>
    </w:rPr>
  </w:style>
  <w:style w:type="paragraph" w:styleId="Heading4">
    <w:name w:val="heading 4"/>
    <w:basedOn w:val="HeadingBase"/>
    <w:next w:val="BodyText"/>
    <w:link w:val="Heading4Char"/>
    <w:qFormat/>
    <w:rsid w:val="00BF76DF"/>
    <w:pPr>
      <w:spacing w:before="160" w:after="120"/>
      <w:outlineLvl w:val="3"/>
    </w:pPr>
    <w:rPr>
      <w:sz w:val="22"/>
    </w:rPr>
  </w:style>
  <w:style w:type="paragraph" w:styleId="Heading5">
    <w:name w:val="heading 5"/>
    <w:basedOn w:val="HeadingBase"/>
    <w:next w:val="Normal"/>
    <w:link w:val="Heading5Char"/>
    <w:qFormat/>
    <w:rsid w:val="00BF76DF"/>
    <w:pPr>
      <w:spacing w:before="80"/>
      <w:outlineLvl w:val="4"/>
    </w:pPr>
    <w:rPr>
      <w:color w:val="918585"/>
      <w:sz w:val="20"/>
    </w:rPr>
  </w:style>
  <w:style w:type="paragraph" w:styleId="Heading6">
    <w:name w:val="heading 6"/>
    <w:basedOn w:val="HeadingBase"/>
    <w:next w:val="Normal"/>
    <w:link w:val="Heading6Char"/>
    <w:qFormat/>
    <w:rsid w:val="00BF76DF"/>
    <w:pPr>
      <w:spacing w:before="60"/>
      <w:outlineLvl w:val="5"/>
    </w:pPr>
    <w:rPr>
      <w:color w:val="918585"/>
      <w:sz w:val="20"/>
    </w:rPr>
  </w:style>
  <w:style w:type="paragraph" w:styleId="Heading7">
    <w:name w:val="heading 7"/>
    <w:basedOn w:val="Normal"/>
    <w:next w:val="Normal"/>
    <w:link w:val="Heading7Char"/>
    <w:qFormat/>
    <w:rsid w:val="00BF76DF"/>
    <w:pPr>
      <w:ind w:left="720"/>
      <w:outlineLvl w:val="6"/>
    </w:pPr>
    <w:rPr>
      <w:i/>
    </w:rPr>
  </w:style>
  <w:style w:type="paragraph" w:styleId="Heading8">
    <w:name w:val="heading 8"/>
    <w:basedOn w:val="Normal"/>
    <w:next w:val="Normal"/>
    <w:link w:val="Heading8Char"/>
    <w:qFormat/>
    <w:rsid w:val="00BF76DF"/>
    <w:pPr>
      <w:ind w:left="720"/>
      <w:outlineLvl w:val="7"/>
    </w:pPr>
    <w:rPr>
      <w:i/>
    </w:rPr>
  </w:style>
  <w:style w:type="paragraph" w:styleId="Heading9">
    <w:name w:val="heading 9"/>
    <w:basedOn w:val="Normal"/>
    <w:next w:val="Normal"/>
    <w:link w:val="Heading9Char"/>
    <w:qFormat/>
    <w:rsid w:val="00BF76DF"/>
    <w:pPr>
      <w:ind w:left="720"/>
      <w:outlineLvl w:val="8"/>
    </w:pPr>
    <w:rPr>
      <w:i/>
    </w:rPr>
  </w:style>
  <w:style w:type="character" w:default="1" w:styleId="DefaultParagraphFont">
    <w:name w:val="Default Paragraph Font"/>
    <w:uiPriority w:val="1"/>
    <w:unhideWhenUsed/>
    <w:rsid w:val="00BF76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76DF"/>
  </w:style>
  <w:style w:type="character" w:customStyle="1" w:styleId="Heading1Char">
    <w:name w:val="Heading 1 Char"/>
    <w:basedOn w:val="DefaultParagraphFont"/>
    <w:link w:val="Heading1"/>
    <w:rsid w:val="00BF76DF"/>
    <w:rPr>
      <w:rFonts w:ascii="Times New Roman" w:eastAsia="Times New Roman" w:hAnsi="Times New Roman" w:cs="Times New Roman"/>
      <w:b/>
      <w:sz w:val="32"/>
      <w:szCs w:val="20"/>
      <w:lang w:eastAsia="en-US"/>
    </w:rPr>
  </w:style>
  <w:style w:type="paragraph" w:styleId="BodyText">
    <w:name w:val="Body Text"/>
    <w:basedOn w:val="Normal"/>
    <w:link w:val="BodyTextChar"/>
    <w:rsid w:val="00BF76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76DF"/>
    <w:rPr>
      <w:rFonts w:ascii="Times New Roman" w:eastAsia="Times New Roman" w:hAnsi="Times New Roman" w:cs="Times New Roman"/>
      <w:sz w:val="24"/>
      <w:lang w:val="en-US" w:eastAsia="en-US"/>
    </w:rPr>
  </w:style>
  <w:style w:type="paragraph" w:styleId="Footer">
    <w:name w:val="footer"/>
    <w:basedOn w:val="Normal"/>
    <w:link w:val="FooterChar"/>
    <w:rsid w:val="00BF76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76DF"/>
    <w:rPr>
      <w:rFonts w:ascii="Times New Roman" w:eastAsia="Times New Roman" w:hAnsi="Times New Roman" w:cs="Times New Roman"/>
      <w:sz w:val="16"/>
      <w:lang w:val="en-US" w:eastAsia="en-US"/>
    </w:rPr>
  </w:style>
  <w:style w:type="paragraph" w:styleId="List">
    <w:name w:val="List"/>
    <w:basedOn w:val="BodyText"/>
    <w:next w:val="BodyText"/>
    <w:rsid w:val="00BF76DF"/>
    <w:pPr>
      <w:tabs>
        <w:tab w:val="left" w:pos="340"/>
      </w:tabs>
      <w:spacing w:before="60" w:after="60"/>
      <w:ind w:left="340" w:hanging="340"/>
    </w:pPr>
  </w:style>
  <w:style w:type="paragraph" w:styleId="ListBullet">
    <w:name w:val="List Bullet"/>
    <w:basedOn w:val="List"/>
    <w:rsid w:val="00BF76DF"/>
    <w:pPr>
      <w:numPr>
        <w:numId w:val="14"/>
      </w:numPr>
      <w:tabs>
        <w:tab w:val="clear" w:pos="340"/>
      </w:tabs>
      <w:spacing w:before="40" w:after="40"/>
    </w:pPr>
  </w:style>
  <w:style w:type="character" w:customStyle="1" w:styleId="SpecialBold">
    <w:name w:val="Special Bold"/>
    <w:basedOn w:val="DefaultParagraphFont"/>
    <w:rsid w:val="00BF76DF"/>
    <w:rPr>
      <w:b/>
      <w:spacing w:val="0"/>
    </w:rPr>
  </w:style>
  <w:style w:type="paragraph" w:styleId="ListBullet2">
    <w:name w:val="List Bullet 2"/>
    <w:basedOn w:val="List2"/>
    <w:rsid w:val="00BF76DF"/>
    <w:pPr>
      <w:numPr>
        <w:numId w:val="15"/>
      </w:numPr>
      <w:tabs>
        <w:tab w:val="clear" w:pos="680"/>
      </w:tabs>
    </w:pPr>
  </w:style>
  <w:style w:type="paragraph" w:styleId="Header">
    <w:name w:val="header"/>
    <w:basedOn w:val="Normal"/>
    <w:link w:val="HeaderChar"/>
    <w:rsid w:val="00BF76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76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76DF"/>
    <w:pPr>
      <w:spacing w:before="240" w:after="120"/>
      <w:outlineLvl w:val="0"/>
    </w:pPr>
    <w:rPr>
      <w:rFonts w:ascii="Times New Roman" w:hAnsi="Times New Roman"/>
      <w:b/>
      <w:sz w:val="28"/>
    </w:rPr>
  </w:style>
  <w:style w:type="paragraph" w:customStyle="1" w:styleId="AllowPageBreak">
    <w:name w:val="AllowPageBreak"/>
    <w:rsid w:val="00BF76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76DF"/>
    <w:pPr>
      <w:tabs>
        <w:tab w:val="left" w:pos="680"/>
      </w:tabs>
      <w:spacing w:before="60" w:after="60"/>
      <w:ind w:left="680" w:hanging="340"/>
    </w:pPr>
  </w:style>
  <w:style w:type="paragraph" w:styleId="ListBullet3">
    <w:name w:val="List Bullet 3"/>
    <w:basedOn w:val="List3"/>
    <w:rsid w:val="00BF76DF"/>
    <w:pPr>
      <w:numPr>
        <w:numId w:val="3"/>
      </w:numPr>
      <w:tabs>
        <w:tab w:val="clear" w:pos="1021"/>
      </w:tabs>
      <w:ind w:left="1037" w:hanging="357"/>
    </w:pPr>
  </w:style>
  <w:style w:type="character" w:customStyle="1" w:styleId="BoldandItalics">
    <w:name w:val="Bold and Italics"/>
    <w:qFormat/>
    <w:rsid w:val="00BF76DF"/>
    <w:rPr>
      <w:b/>
      <w:i/>
      <w:u w:val="none"/>
    </w:rPr>
  </w:style>
  <w:style w:type="character" w:customStyle="1" w:styleId="Heading2Char">
    <w:name w:val="Heading 2 Char"/>
    <w:basedOn w:val="DefaultParagraphFont"/>
    <w:link w:val="Heading2"/>
    <w:rsid w:val="00BF76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76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76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76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76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76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76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76DF"/>
    <w:rPr>
      <w:rFonts w:ascii="Courier New" w:eastAsia="Times New Roman" w:hAnsi="Courier New" w:cs="Times New Roman"/>
      <w:i/>
      <w:szCs w:val="20"/>
      <w:lang w:val="en-US" w:eastAsia="en-US"/>
    </w:rPr>
  </w:style>
  <w:style w:type="paragraph" w:customStyle="1" w:styleId="HeadingBase">
    <w:name w:val="Heading Base"/>
    <w:rsid w:val="00BF76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76DF"/>
    <w:pPr>
      <w:tabs>
        <w:tab w:val="right" w:leader="dot" w:pos="9072"/>
      </w:tabs>
      <w:ind w:left="567"/>
    </w:pPr>
    <w:rPr>
      <w:szCs w:val="22"/>
    </w:rPr>
  </w:style>
  <w:style w:type="paragraph" w:customStyle="1" w:styleId="TOCBase">
    <w:name w:val="TOC Base"/>
    <w:rsid w:val="00BF76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76DF"/>
    <w:pPr>
      <w:tabs>
        <w:tab w:val="right" w:leader="dot" w:pos="9072"/>
      </w:tabs>
      <w:spacing w:before="40" w:after="40"/>
      <w:ind w:left="284"/>
    </w:pPr>
    <w:rPr>
      <w:rFonts w:ascii="Times New Roman" w:hAnsi="Times New Roman"/>
    </w:rPr>
  </w:style>
  <w:style w:type="paragraph" w:styleId="TOC1">
    <w:name w:val="toc 1"/>
    <w:basedOn w:val="TOCBase"/>
    <w:next w:val="Normal"/>
    <w:rsid w:val="00BF76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76DF"/>
    <w:pPr>
      <w:spacing w:before="5040"/>
      <w:jc w:val="center"/>
    </w:pPr>
    <w:rPr>
      <w:sz w:val="48"/>
      <w:szCs w:val="72"/>
      <w:lang w:val="en-US"/>
    </w:rPr>
  </w:style>
  <w:style w:type="character" w:customStyle="1" w:styleId="TitleChar">
    <w:name w:val="Title Char"/>
    <w:basedOn w:val="DefaultParagraphFont"/>
    <w:link w:val="Title"/>
    <w:rsid w:val="00BF76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76DF"/>
    <w:pPr>
      <w:tabs>
        <w:tab w:val="left" w:pos="3600"/>
        <w:tab w:val="left" w:pos="3958"/>
      </w:tabs>
    </w:pPr>
  </w:style>
  <w:style w:type="paragraph" w:customStyle="1" w:styleId="Note">
    <w:name w:val="Note"/>
    <w:basedOn w:val="BodyText"/>
    <w:rsid w:val="00BF76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76DF"/>
    <w:pPr>
      <w:framePr w:wrap="auto" w:hAnchor="text" w:y="6049"/>
    </w:pPr>
    <w:rPr>
      <w:color w:val="000000"/>
      <w:sz w:val="40"/>
    </w:rPr>
  </w:style>
  <w:style w:type="paragraph" w:customStyle="1" w:styleId="TOCTitle">
    <w:name w:val="TOCTitle"/>
    <w:basedOn w:val="Heading1"/>
    <w:rsid w:val="00BF76DF"/>
    <w:pPr>
      <w:spacing w:after="240"/>
      <w:jc w:val="center"/>
      <w:outlineLvl w:val="9"/>
    </w:pPr>
    <w:rPr>
      <w:caps/>
    </w:rPr>
  </w:style>
  <w:style w:type="paragraph" w:customStyle="1" w:styleId="Version">
    <w:name w:val="Version"/>
    <w:rsid w:val="00BF76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76DF"/>
    <w:pPr>
      <w:keepNext w:val="0"/>
      <w:tabs>
        <w:tab w:val="right" w:pos="4176"/>
      </w:tabs>
      <w:ind w:left="198" w:hanging="198"/>
    </w:pPr>
    <w:rPr>
      <w:rFonts w:ascii="Garamond" w:hAnsi="Garamond"/>
    </w:rPr>
  </w:style>
  <w:style w:type="paragraph" w:styleId="IndexHeading">
    <w:name w:val="index heading"/>
    <w:basedOn w:val="Normal"/>
    <w:next w:val="Index1"/>
    <w:semiHidden/>
    <w:rsid w:val="00BF76DF"/>
    <w:pPr>
      <w:spacing w:before="120" w:after="120"/>
    </w:pPr>
    <w:rPr>
      <w:rFonts w:ascii="Arial" w:hAnsi="Arial"/>
      <w:b/>
      <w:color w:val="918585"/>
      <w:sz w:val="24"/>
    </w:rPr>
  </w:style>
  <w:style w:type="paragraph" w:customStyle="1" w:styleId="Chapter">
    <w:name w:val="Chapter"/>
    <w:basedOn w:val="Normal"/>
    <w:rsid w:val="00BF76DF"/>
    <w:pPr>
      <w:spacing w:before="240"/>
    </w:pPr>
    <w:rPr>
      <w:rFonts w:ascii="Times New Roman" w:hAnsi="Times New Roman"/>
      <w:smallCaps/>
      <w:spacing w:val="80"/>
      <w:sz w:val="28"/>
    </w:rPr>
  </w:style>
  <w:style w:type="paragraph" w:customStyle="1" w:styleId="InChapter">
    <w:name w:val="InChapter"/>
    <w:basedOn w:val="Heading3"/>
    <w:rsid w:val="00BF76DF"/>
    <w:pPr>
      <w:spacing w:after="240"/>
      <w:outlineLvl w:val="9"/>
    </w:pPr>
    <w:rPr>
      <w:noProof/>
    </w:rPr>
  </w:style>
  <w:style w:type="paragraph" w:styleId="Index2">
    <w:name w:val="index 2"/>
    <w:basedOn w:val="Normal"/>
    <w:next w:val="Normal"/>
    <w:semiHidden/>
    <w:rsid w:val="00BF76DF"/>
    <w:pPr>
      <w:tabs>
        <w:tab w:val="right" w:pos="4176"/>
      </w:tabs>
      <w:ind w:left="568" w:hanging="284"/>
    </w:pPr>
    <w:rPr>
      <w:rFonts w:ascii="Garamond" w:hAnsi="Garamond"/>
    </w:rPr>
  </w:style>
  <w:style w:type="paragraph" w:customStyle="1" w:styleId="Byline">
    <w:name w:val="Byline"/>
    <w:rsid w:val="00BF76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76DF"/>
    <w:pPr>
      <w:tabs>
        <w:tab w:val="clear" w:pos="3600"/>
        <w:tab w:val="clear" w:pos="3958"/>
      </w:tabs>
      <w:jc w:val="right"/>
    </w:pPr>
  </w:style>
  <w:style w:type="character" w:styleId="Emphasis">
    <w:name w:val="Emphasis"/>
    <w:basedOn w:val="DefaultParagraphFont"/>
    <w:qFormat/>
    <w:rsid w:val="00BF76DF"/>
    <w:rPr>
      <w:i/>
    </w:rPr>
  </w:style>
  <w:style w:type="paragraph" w:styleId="Caption">
    <w:name w:val="caption"/>
    <w:basedOn w:val="BodyText"/>
    <w:next w:val="Normal"/>
    <w:qFormat/>
    <w:rsid w:val="00BF76DF"/>
    <w:pPr>
      <w:framePr w:w="2268" w:hSpace="181" w:vSpace="181" w:wrap="around" w:vAnchor="text" w:hAnchor="page" w:x="1135" w:y="285" w:anchorLock="1"/>
    </w:pPr>
    <w:rPr>
      <w:i/>
    </w:rPr>
  </w:style>
  <w:style w:type="paragraph" w:customStyle="1" w:styleId="MiniTOCTitle">
    <w:name w:val="MiniTOCTitle"/>
    <w:basedOn w:val="Heading4"/>
    <w:rsid w:val="00BF76DF"/>
    <w:pPr>
      <w:spacing w:before="240"/>
      <w:outlineLvl w:val="9"/>
    </w:pPr>
    <w:rPr>
      <w:noProof/>
      <w:sz w:val="24"/>
    </w:rPr>
  </w:style>
  <w:style w:type="paragraph" w:customStyle="1" w:styleId="MiniTOCItem">
    <w:name w:val="MiniTOCItem"/>
    <w:basedOn w:val="ListBullet"/>
    <w:rsid w:val="00BF76DF"/>
    <w:pPr>
      <w:numPr>
        <w:numId w:val="0"/>
      </w:numPr>
      <w:tabs>
        <w:tab w:val="right" w:leader="dot" w:pos="6521"/>
      </w:tabs>
      <w:spacing w:before="0" w:after="0"/>
    </w:pPr>
  </w:style>
  <w:style w:type="paragraph" w:customStyle="1" w:styleId="TOFTitle">
    <w:name w:val="TOFTitle"/>
    <w:basedOn w:val="TOCTitle"/>
    <w:rsid w:val="00BF76DF"/>
  </w:style>
  <w:style w:type="paragraph" w:styleId="TableofFigures">
    <w:name w:val="table of figures"/>
    <w:basedOn w:val="Normal"/>
    <w:next w:val="Normal"/>
    <w:semiHidden/>
    <w:rsid w:val="00BF76DF"/>
    <w:pPr>
      <w:tabs>
        <w:tab w:val="right" w:leader="dot" w:pos="9072"/>
      </w:tabs>
      <w:ind w:left="970" w:hanging="403"/>
    </w:pPr>
    <w:rPr>
      <w:rFonts w:ascii="Times New Roman" w:hAnsi="Times New Roman"/>
      <w:b/>
    </w:rPr>
  </w:style>
  <w:style w:type="paragraph" w:styleId="ListNumber">
    <w:name w:val="List Number"/>
    <w:basedOn w:val="List"/>
    <w:rsid w:val="00BF76DF"/>
    <w:pPr>
      <w:numPr>
        <w:numId w:val="12"/>
      </w:numPr>
    </w:pPr>
  </w:style>
  <w:style w:type="character" w:customStyle="1" w:styleId="WingdingSymbols">
    <w:name w:val="Wingding Symbols"/>
    <w:rsid w:val="00BF76DF"/>
    <w:rPr>
      <w:rFonts w:ascii="Wingdings" w:hAnsi="Wingdings"/>
    </w:rPr>
  </w:style>
  <w:style w:type="paragraph" w:customStyle="1" w:styleId="TableHeading">
    <w:name w:val="Table Heading"/>
    <w:basedOn w:val="HeadingBase"/>
    <w:rsid w:val="00BF76DF"/>
    <w:pPr>
      <w:keepLines/>
      <w:pBdr>
        <w:bottom w:val="single" w:sz="6" w:space="1" w:color="918585"/>
      </w:pBdr>
      <w:spacing w:before="240"/>
    </w:pPr>
  </w:style>
  <w:style w:type="character" w:customStyle="1" w:styleId="HotSpot">
    <w:name w:val="HotSpot"/>
    <w:rsid w:val="00BF76DF"/>
    <w:rPr>
      <w:color w:val="0033CC"/>
      <w:u w:val="none"/>
    </w:rPr>
  </w:style>
  <w:style w:type="paragraph" w:customStyle="1" w:styleId="BodyTextRight">
    <w:name w:val="Body Text Right"/>
    <w:basedOn w:val="BodyText"/>
    <w:rsid w:val="00BF76DF"/>
    <w:pPr>
      <w:spacing w:before="0" w:after="0"/>
      <w:jc w:val="right"/>
    </w:pPr>
  </w:style>
  <w:style w:type="paragraph" w:styleId="Index3">
    <w:name w:val="index 3"/>
    <w:basedOn w:val="ListNumber2"/>
    <w:next w:val="Normal"/>
    <w:semiHidden/>
    <w:rsid w:val="00BF76DF"/>
    <w:pPr>
      <w:numPr>
        <w:numId w:val="0"/>
      </w:numPr>
      <w:tabs>
        <w:tab w:val="right" w:leader="dot" w:pos="4176"/>
      </w:tabs>
    </w:pPr>
  </w:style>
  <w:style w:type="paragraph" w:styleId="ListNumber2">
    <w:name w:val="List Number 2"/>
    <w:basedOn w:val="List2"/>
    <w:rsid w:val="00BF76DF"/>
    <w:pPr>
      <w:numPr>
        <w:numId w:val="11"/>
      </w:numPr>
      <w:tabs>
        <w:tab w:val="clear" w:pos="1060"/>
      </w:tabs>
    </w:pPr>
  </w:style>
  <w:style w:type="paragraph" w:customStyle="1" w:styleId="MarginNote">
    <w:name w:val="Margin Note"/>
    <w:basedOn w:val="BodyText"/>
    <w:rsid w:val="00BF76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76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76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76DF"/>
    <w:rPr>
      <w:sz w:val="32"/>
    </w:rPr>
  </w:style>
  <w:style w:type="paragraph" w:customStyle="1" w:styleId="HeadingProcedure">
    <w:name w:val="Heading Procedure"/>
    <w:basedOn w:val="HeadingBase"/>
    <w:next w:val="Normal"/>
    <w:rsid w:val="00BF76DF"/>
    <w:pPr>
      <w:tabs>
        <w:tab w:val="left" w:pos="0"/>
      </w:tabs>
      <w:spacing w:before="120" w:after="60"/>
    </w:pPr>
    <w:rPr>
      <w:i/>
      <w:color w:val="918585"/>
      <w:sz w:val="22"/>
    </w:rPr>
  </w:style>
  <w:style w:type="paragraph" w:customStyle="1" w:styleId="TableBodyText">
    <w:name w:val="Table Body Text"/>
    <w:basedOn w:val="BodyText"/>
    <w:rsid w:val="00BF76DF"/>
    <w:pPr>
      <w:spacing w:before="60" w:after="60"/>
    </w:pPr>
  </w:style>
  <w:style w:type="paragraph" w:styleId="ListContinue">
    <w:name w:val="List Continue"/>
    <w:basedOn w:val="List"/>
    <w:rsid w:val="00BF76DF"/>
    <w:pPr>
      <w:ind w:firstLine="0"/>
    </w:pPr>
  </w:style>
  <w:style w:type="paragraph" w:customStyle="1" w:styleId="ListNote">
    <w:name w:val="List Note"/>
    <w:basedOn w:val="List"/>
    <w:rsid w:val="00BF76DF"/>
    <w:pPr>
      <w:pBdr>
        <w:top w:val="single" w:sz="6" w:space="2" w:color="918585"/>
        <w:bottom w:val="single" w:sz="6" w:space="2" w:color="918585"/>
      </w:pBdr>
      <w:tabs>
        <w:tab w:val="left" w:pos="1021"/>
      </w:tabs>
      <w:ind w:firstLine="0"/>
    </w:pPr>
  </w:style>
  <w:style w:type="paragraph" w:customStyle="1" w:styleId="Warning">
    <w:name w:val="Warning"/>
    <w:basedOn w:val="BodyText"/>
    <w:rsid w:val="00BF76DF"/>
    <w:pPr>
      <w:shd w:val="clear" w:color="auto" w:fill="D9D9D9"/>
      <w:tabs>
        <w:tab w:val="left" w:pos="992"/>
      </w:tabs>
      <w:ind w:left="119" w:right="119"/>
    </w:pPr>
    <w:rPr>
      <w:sz w:val="20"/>
    </w:rPr>
  </w:style>
  <w:style w:type="paragraph" w:customStyle="1" w:styleId="MarginIcons">
    <w:name w:val="Margin Icons"/>
    <w:basedOn w:val="BodyText"/>
    <w:rsid w:val="00BF76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76DF"/>
    <w:rPr>
      <w:rFonts w:ascii="Courier New" w:hAnsi="Courier New"/>
    </w:rPr>
  </w:style>
  <w:style w:type="paragraph" w:customStyle="1" w:styleId="NoteBullet">
    <w:name w:val="Note Bullet"/>
    <w:basedOn w:val="Note"/>
    <w:rsid w:val="00BF76DF"/>
    <w:pPr>
      <w:tabs>
        <w:tab w:val="clear" w:pos="680"/>
      </w:tabs>
      <w:spacing w:before="60" w:after="60"/>
    </w:pPr>
  </w:style>
  <w:style w:type="paragraph" w:customStyle="1" w:styleId="SubHeading2">
    <w:name w:val="SubHeading2"/>
    <w:basedOn w:val="HeadingBase"/>
    <w:rsid w:val="00BF76DF"/>
    <w:pPr>
      <w:spacing w:before="240" w:after="60"/>
    </w:pPr>
    <w:rPr>
      <w:sz w:val="20"/>
    </w:rPr>
  </w:style>
  <w:style w:type="paragraph" w:customStyle="1" w:styleId="SubHeading1">
    <w:name w:val="SubHeading1"/>
    <w:basedOn w:val="HeadingBase"/>
    <w:rsid w:val="00BF76DF"/>
    <w:pPr>
      <w:spacing w:before="240" w:after="60"/>
    </w:pPr>
    <w:rPr>
      <w:color w:val="918585"/>
      <w:sz w:val="22"/>
    </w:rPr>
  </w:style>
  <w:style w:type="paragraph" w:customStyle="1" w:styleId="SideHeading">
    <w:name w:val="Side Heading"/>
    <w:basedOn w:val="HeadingBase"/>
    <w:rsid w:val="00BF76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76DF"/>
    <w:pPr>
      <w:numPr>
        <w:numId w:val="13"/>
      </w:numPr>
    </w:pPr>
  </w:style>
  <w:style w:type="paragraph" w:styleId="PlainText">
    <w:name w:val="Plain Text"/>
    <w:basedOn w:val="Normal"/>
    <w:link w:val="PlainTextChar"/>
    <w:rsid w:val="00BF76DF"/>
    <w:rPr>
      <w:sz w:val="20"/>
    </w:rPr>
  </w:style>
  <w:style w:type="character" w:customStyle="1" w:styleId="PlainTextChar">
    <w:name w:val="Plain Text Char"/>
    <w:basedOn w:val="DefaultParagraphFont"/>
    <w:link w:val="PlainText"/>
    <w:rsid w:val="00BF76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76DF"/>
    <w:rPr>
      <w:b/>
      <w:smallCaps/>
    </w:rPr>
  </w:style>
  <w:style w:type="paragraph" w:customStyle="1" w:styleId="TableListNumber">
    <w:name w:val="Table List Number"/>
    <w:basedOn w:val="ListNumber"/>
    <w:rsid w:val="00BF76DF"/>
    <w:pPr>
      <w:numPr>
        <w:numId w:val="0"/>
      </w:numPr>
    </w:pPr>
  </w:style>
  <w:style w:type="paragraph" w:styleId="TOC4">
    <w:name w:val="toc 4"/>
    <w:basedOn w:val="TOCBase"/>
    <w:next w:val="Normal"/>
    <w:semiHidden/>
    <w:rsid w:val="00BF76DF"/>
    <w:pPr>
      <w:tabs>
        <w:tab w:val="right" w:leader="dot" w:pos="9071"/>
      </w:tabs>
      <w:ind w:left="1701"/>
    </w:pPr>
  </w:style>
  <w:style w:type="paragraph" w:customStyle="1" w:styleId="ListAlpha">
    <w:name w:val="List Alpha"/>
    <w:basedOn w:val="List"/>
    <w:rsid w:val="00BF76DF"/>
    <w:pPr>
      <w:numPr>
        <w:numId w:val="10"/>
      </w:numPr>
    </w:pPr>
  </w:style>
  <w:style w:type="paragraph" w:customStyle="1" w:styleId="ListAlpha2">
    <w:name w:val="List Alpha 2"/>
    <w:basedOn w:val="List2"/>
    <w:rsid w:val="00BF76DF"/>
    <w:pPr>
      <w:numPr>
        <w:numId w:val="9"/>
      </w:numPr>
    </w:pPr>
  </w:style>
  <w:style w:type="paragraph" w:styleId="List3">
    <w:name w:val="List 3"/>
    <w:basedOn w:val="BodyText"/>
    <w:rsid w:val="00BF76DF"/>
    <w:pPr>
      <w:tabs>
        <w:tab w:val="left" w:pos="1021"/>
      </w:tabs>
      <w:spacing w:before="60" w:after="60"/>
      <w:ind w:left="1020" w:hanging="340"/>
    </w:pPr>
  </w:style>
  <w:style w:type="paragraph" w:styleId="List4">
    <w:name w:val="List 4"/>
    <w:basedOn w:val="BodyText"/>
    <w:rsid w:val="00BF76DF"/>
    <w:pPr>
      <w:tabs>
        <w:tab w:val="left" w:pos="1361"/>
      </w:tabs>
      <w:spacing w:before="60" w:after="60"/>
      <w:ind w:left="1361" w:hanging="340"/>
    </w:pPr>
  </w:style>
  <w:style w:type="paragraph" w:styleId="List5">
    <w:name w:val="List 5"/>
    <w:basedOn w:val="BodyText"/>
    <w:rsid w:val="00BF76DF"/>
    <w:pPr>
      <w:tabs>
        <w:tab w:val="left" w:pos="1701"/>
      </w:tabs>
      <w:spacing w:before="60" w:after="60"/>
      <w:ind w:left="1701" w:hanging="340"/>
    </w:pPr>
  </w:style>
  <w:style w:type="paragraph" w:styleId="ListBullet4">
    <w:name w:val="List Bullet 4"/>
    <w:basedOn w:val="List4"/>
    <w:rsid w:val="00BF76DF"/>
    <w:pPr>
      <w:numPr>
        <w:numId w:val="4"/>
      </w:numPr>
    </w:pPr>
  </w:style>
  <w:style w:type="paragraph" w:styleId="ListBullet5">
    <w:name w:val="List Bullet 5"/>
    <w:basedOn w:val="List5"/>
    <w:rsid w:val="00BF76DF"/>
    <w:pPr>
      <w:numPr>
        <w:numId w:val="5"/>
      </w:numPr>
    </w:pPr>
  </w:style>
  <w:style w:type="paragraph" w:styleId="ListContinue2">
    <w:name w:val="List Continue 2"/>
    <w:basedOn w:val="List2"/>
    <w:rsid w:val="00BF76DF"/>
    <w:pPr>
      <w:ind w:firstLine="0"/>
    </w:pPr>
  </w:style>
  <w:style w:type="paragraph" w:styleId="ListContinue3">
    <w:name w:val="List Continue 3"/>
    <w:basedOn w:val="List3"/>
    <w:rsid w:val="00BF76DF"/>
    <w:pPr>
      <w:ind w:left="1021" w:firstLine="0"/>
    </w:pPr>
  </w:style>
  <w:style w:type="paragraph" w:styleId="ListContinue4">
    <w:name w:val="List Continue 4"/>
    <w:basedOn w:val="List4"/>
    <w:rsid w:val="00BF76DF"/>
    <w:pPr>
      <w:ind w:firstLine="0"/>
    </w:pPr>
  </w:style>
  <w:style w:type="paragraph" w:styleId="ListContinue5">
    <w:name w:val="List Continue 5"/>
    <w:basedOn w:val="List5"/>
    <w:rsid w:val="00BF76DF"/>
    <w:pPr>
      <w:ind w:firstLine="0"/>
    </w:pPr>
  </w:style>
  <w:style w:type="paragraph" w:styleId="ListNumber3">
    <w:name w:val="List Number 3"/>
    <w:basedOn w:val="List3"/>
    <w:rsid w:val="00BF76DF"/>
    <w:pPr>
      <w:numPr>
        <w:numId w:val="6"/>
      </w:numPr>
    </w:pPr>
  </w:style>
  <w:style w:type="paragraph" w:styleId="ListNumber4">
    <w:name w:val="List Number 4"/>
    <w:basedOn w:val="List4"/>
    <w:rsid w:val="00BF76DF"/>
    <w:pPr>
      <w:numPr>
        <w:numId w:val="7"/>
      </w:numPr>
    </w:pPr>
  </w:style>
  <w:style w:type="paragraph" w:styleId="ListNumber5">
    <w:name w:val="List Number 5"/>
    <w:basedOn w:val="List5"/>
    <w:rsid w:val="00BF76DF"/>
    <w:pPr>
      <w:numPr>
        <w:numId w:val="8"/>
      </w:numPr>
    </w:pPr>
  </w:style>
  <w:style w:type="paragraph" w:styleId="BlockText">
    <w:name w:val="Block Text"/>
    <w:basedOn w:val="Normal"/>
    <w:rsid w:val="00BF76DF"/>
    <w:pPr>
      <w:spacing w:after="120"/>
      <w:ind w:left="1440" w:right="1440"/>
    </w:pPr>
  </w:style>
  <w:style w:type="character" w:customStyle="1" w:styleId="Subscript">
    <w:name w:val="Subscript"/>
    <w:basedOn w:val="DefaultParagraphFont"/>
    <w:rsid w:val="00BF76DF"/>
    <w:rPr>
      <w:sz w:val="16"/>
      <w:vertAlign w:val="subscript"/>
    </w:rPr>
  </w:style>
  <w:style w:type="character" w:customStyle="1" w:styleId="Superscript">
    <w:name w:val="Superscript"/>
    <w:basedOn w:val="DefaultParagraphFont"/>
    <w:rsid w:val="00BF76DF"/>
    <w:rPr>
      <w:sz w:val="16"/>
      <w:vertAlign w:val="superscript"/>
    </w:rPr>
  </w:style>
  <w:style w:type="character" w:customStyle="1" w:styleId="Symbols">
    <w:name w:val="Symbols"/>
    <w:basedOn w:val="DefaultParagraphFont"/>
    <w:rsid w:val="00BF76DF"/>
    <w:rPr>
      <w:rFonts w:ascii="Symbol" w:hAnsi="Symbol"/>
    </w:rPr>
  </w:style>
  <w:style w:type="character" w:customStyle="1" w:styleId="MenuOptions">
    <w:name w:val="Menu Options"/>
    <w:basedOn w:val="DefaultParagraphFont"/>
    <w:rsid w:val="00BF76DF"/>
    <w:rPr>
      <w:rFonts w:ascii="Arial Narrow" w:hAnsi="Arial Narrow"/>
      <w:smallCaps/>
    </w:rPr>
  </w:style>
  <w:style w:type="character" w:customStyle="1" w:styleId="Buttons">
    <w:name w:val="Buttons"/>
    <w:basedOn w:val="DefaultParagraphFont"/>
    <w:rsid w:val="00BF76DF"/>
    <w:rPr>
      <w:b/>
    </w:rPr>
  </w:style>
  <w:style w:type="character" w:customStyle="1" w:styleId="Underlined">
    <w:name w:val="Underlined"/>
    <w:basedOn w:val="DefaultParagraphFont"/>
    <w:rsid w:val="00BF76DF"/>
    <w:rPr>
      <w:u w:val="single"/>
    </w:rPr>
  </w:style>
  <w:style w:type="paragraph" w:customStyle="1" w:styleId="TableBodyTextRight">
    <w:name w:val="Table Body Text Right"/>
    <w:basedOn w:val="TableBodyText"/>
    <w:rsid w:val="00BF76DF"/>
    <w:pPr>
      <w:widowControl w:val="0"/>
      <w:autoSpaceDE w:val="0"/>
      <w:autoSpaceDN w:val="0"/>
      <w:adjustRightInd w:val="0"/>
      <w:jc w:val="right"/>
    </w:pPr>
    <w:rPr>
      <w:rFonts w:cs="Arial"/>
      <w:szCs w:val="18"/>
    </w:rPr>
  </w:style>
  <w:style w:type="paragraph" w:customStyle="1" w:styleId="CopyrightText">
    <w:name w:val="Copyright Text"/>
    <w:basedOn w:val="BodyText"/>
    <w:rsid w:val="00BF76DF"/>
    <w:rPr>
      <w:sz w:val="18"/>
    </w:rPr>
  </w:style>
  <w:style w:type="paragraph" w:customStyle="1" w:styleId="BodySmallRight">
    <w:name w:val="Body Small Right"/>
    <w:basedOn w:val="BodyTextRight"/>
    <w:rsid w:val="00BF76DF"/>
    <w:rPr>
      <w:sz w:val="18"/>
      <w:szCs w:val="18"/>
    </w:rPr>
  </w:style>
  <w:style w:type="paragraph" w:customStyle="1" w:styleId="MarginEdition">
    <w:name w:val="Margin Edition"/>
    <w:basedOn w:val="MarginNote"/>
    <w:rsid w:val="00BF76DF"/>
    <w:pPr>
      <w:spacing w:before="0" w:after="0"/>
    </w:pPr>
    <w:rPr>
      <w:rFonts w:ascii="Times New Roman" w:hAnsi="Times New Roman"/>
      <w:color w:val="999999"/>
    </w:rPr>
  </w:style>
  <w:style w:type="paragraph" w:customStyle="1" w:styleId="Spacer">
    <w:name w:val="Spacer"/>
    <w:basedOn w:val="Normal"/>
    <w:rsid w:val="00BF76DF"/>
    <w:rPr>
      <w:sz w:val="2"/>
      <w:szCs w:val="2"/>
    </w:rPr>
  </w:style>
  <w:style w:type="character" w:customStyle="1" w:styleId="Small">
    <w:name w:val="Small"/>
    <w:basedOn w:val="DefaultParagraphFont"/>
    <w:rsid w:val="00BF76DF"/>
    <w:rPr>
      <w:sz w:val="16"/>
    </w:rPr>
  </w:style>
  <w:style w:type="paragraph" w:customStyle="1" w:styleId="WideTable">
    <w:name w:val="Wide Table"/>
    <w:basedOn w:val="Normal"/>
    <w:rsid w:val="00BF76DF"/>
    <w:pPr>
      <w:ind w:left="-1418"/>
    </w:pPr>
    <w:rPr>
      <w:sz w:val="2"/>
      <w:szCs w:val="2"/>
    </w:rPr>
  </w:style>
  <w:style w:type="character" w:styleId="PageNumber">
    <w:name w:val="page number"/>
    <w:basedOn w:val="DefaultParagraphFont"/>
    <w:rsid w:val="00BF76DF"/>
  </w:style>
  <w:style w:type="paragraph" w:styleId="Quote">
    <w:name w:val="Quote"/>
    <w:basedOn w:val="Heading1"/>
    <w:link w:val="QuoteChar"/>
    <w:qFormat/>
    <w:rsid w:val="00BF76DF"/>
    <w:rPr>
      <w:b w:val="0"/>
      <w:sz w:val="72"/>
      <w:szCs w:val="72"/>
      <w:lang w:val="en-NZ"/>
    </w:rPr>
  </w:style>
  <w:style w:type="character" w:customStyle="1" w:styleId="QuoteChar">
    <w:name w:val="Quote Char"/>
    <w:basedOn w:val="DefaultParagraphFont"/>
    <w:link w:val="Quote"/>
    <w:rsid w:val="00BF76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76DF"/>
    <w:pPr>
      <w:pageBreakBefore/>
    </w:pPr>
  </w:style>
  <w:style w:type="paragraph" w:customStyle="1" w:styleId="Border">
    <w:name w:val="Border"/>
    <w:basedOn w:val="Normal"/>
    <w:qFormat/>
    <w:rsid w:val="00BF76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76DF"/>
    <w:rPr>
      <w:b/>
      <w:bCs/>
      <w:i/>
      <w:iCs/>
      <w:color w:val="auto"/>
    </w:rPr>
  </w:style>
  <w:style w:type="paragraph" w:styleId="IntenseQuote">
    <w:name w:val="Intense Quote"/>
    <w:basedOn w:val="Normal"/>
    <w:next w:val="Normal"/>
    <w:link w:val="IntenseQuoteChar"/>
    <w:uiPriority w:val="30"/>
    <w:qFormat/>
    <w:rsid w:val="00BF76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76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76DF"/>
    <w:rPr>
      <w:smallCaps/>
      <w:color w:val="auto"/>
      <w:u w:val="single"/>
    </w:rPr>
  </w:style>
  <w:style w:type="character" w:styleId="IntenseReference">
    <w:name w:val="Intense Reference"/>
    <w:basedOn w:val="DefaultParagraphFont"/>
    <w:uiPriority w:val="32"/>
    <w:qFormat/>
    <w:rsid w:val="00BF76DF"/>
    <w:rPr>
      <w:b/>
      <w:bCs/>
      <w:smallCaps/>
      <w:color w:val="auto"/>
      <w:spacing w:val="5"/>
      <w:u w:val="single"/>
    </w:rPr>
  </w:style>
  <w:style w:type="paragraph" w:customStyle="1" w:styleId="2ColumnHeading">
    <w:name w:val="2Column Heading"/>
    <w:basedOn w:val="BodyText"/>
    <w:qFormat/>
    <w:rsid w:val="00BF76DF"/>
    <w:pPr>
      <w:spacing w:after="60"/>
      <w:ind w:left="-2268"/>
    </w:pPr>
    <w:rPr>
      <w:b/>
    </w:rPr>
  </w:style>
  <w:style w:type="paragraph" w:customStyle="1" w:styleId="Heading1TOC">
    <w:name w:val="Heading1 TOC"/>
    <w:basedOn w:val="Normal"/>
    <w:qFormat/>
    <w:rsid w:val="00BF76DF"/>
    <w:pPr>
      <w:spacing w:before="240" w:after="120"/>
    </w:pPr>
    <w:rPr>
      <w:rFonts w:ascii="Times New Roman" w:hAnsi="Times New Roman"/>
      <w:b/>
      <w:sz w:val="32"/>
    </w:rPr>
  </w:style>
  <w:style w:type="paragraph" w:customStyle="1" w:styleId="Heading2TOC">
    <w:name w:val="Heading2 TOC"/>
    <w:basedOn w:val="Normal"/>
    <w:qFormat/>
    <w:rsid w:val="00BF76DF"/>
    <w:pPr>
      <w:spacing w:before="240" w:after="60"/>
    </w:pPr>
    <w:rPr>
      <w:rFonts w:ascii="Times New Roman" w:hAnsi="Times New Roman"/>
      <w:b/>
      <w:sz w:val="28"/>
    </w:rPr>
  </w:style>
  <w:style w:type="character" w:customStyle="1" w:styleId="Underline">
    <w:name w:val="Underline"/>
    <w:basedOn w:val="DefaultParagraphFont"/>
    <w:qFormat/>
    <w:rsid w:val="00BF76DF"/>
    <w:rPr>
      <w:u w:val="single"/>
    </w:rPr>
  </w:style>
  <w:style w:type="paragraph" w:styleId="BalloonText">
    <w:name w:val="Balloon Text"/>
    <w:basedOn w:val="Normal"/>
    <w:link w:val="BalloonTextChar"/>
    <w:rsid w:val="00BF76DF"/>
    <w:rPr>
      <w:rFonts w:ascii="Tahoma" w:hAnsi="Tahoma" w:cs="Tahoma"/>
      <w:sz w:val="16"/>
      <w:szCs w:val="16"/>
    </w:rPr>
  </w:style>
  <w:style w:type="character" w:customStyle="1" w:styleId="BalloonTextChar">
    <w:name w:val="Balloon Text Char"/>
    <w:basedOn w:val="DefaultParagraphFont"/>
    <w:link w:val="BalloonText"/>
    <w:rsid w:val="00BF76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76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76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1432</Words>
  <Characters>9696</Characters>
  <Application>Microsoft Office Word</Application>
  <DocSecurity>0</DocSecurity>
  <Lines>358</Lines>
  <Paragraphs>197</Paragraphs>
  <ScaleCrop>false</ScaleCrop>
  <Company>Author-it Software Corporation Ltd.</Company>
  <LinksUpToDate>false</LinksUpToDate>
  <CharactersWithSpaces>11042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CPCPPS5015A Inspect plumbing and drainage systems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2012-05-26T05:51:00Z</dcterms:created>
  <dcterms:modified xsi:type="dcterms:W3CDTF">2012-05-26T05:51:00Z</dcterms:modified>
</cp:coreProperties>
</file>