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E2C" w:rsidP="00E25E2C">
      <w:pPr>
        <w:pStyle w:val="Title"/>
      </w:pPr>
      <w:r>
        <w:fldChar w:fldCharType="begin"/>
      </w:r>
      <w:r>
        <w:instrText xml:space="preserve"> TITLE   \* MERGEFORMAT </w:instrText>
      </w:r>
      <w:r>
        <w:fldChar w:fldCharType="separate"/>
      </w:r>
      <w:r>
        <w:t>CPCPPS5009A Analyse and report on technical plumbing systems</w:t>
      </w:r>
      <w:r>
        <w:fldChar w:fldCharType="end"/>
      </w:r>
    </w:p>
    <w:p w:rsidR="00E25E2C" w:rsidP="00E25E2C">
      <w:pPr>
        <w:pStyle w:val="Version"/>
        <w:sectPr w:rsidSect="00EB36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6C1" w:rsidP="00EB36C1">
      <w:pPr>
        <w:pStyle w:val="SuperHeading"/>
      </w:pPr>
      <w:r w:rsidRPr="00EB36C1">
        <w:t>CPCPPS5009A Analyse and report on technical plumbing systems</w:t>
      </w:r>
    </w:p>
    <w:p w:rsidR="00000000" w:rsidRPr="00EB36C1" w:rsidP="00EB36C1">
      <w:pPr>
        <w:pStyle w:val="Heading1"/>
      </w:pPr>
      <w:bookmarkStart w:id="1" w:name="O_269902"/>
      <w:bookmarkEnd w:id="1"/>
      <w:r w:rsidRPr="00EB36C1">
        <w:t>Modification History</w:t>
      </w:r>
    </w:p>
    <w:p w:rsidR="00000000" w:rsidRPr="00EB36C1" w:rsidP="00EB36C1">
      <w:pPr>
        <w:pStyle w:val="BodyText"/>
      </w:pPr>
      <w:r w:rsidRPr="00EB36C1">
        <w:t>Not Applicable</w:t>
      </w:r>
    </w:p>
    <w:p w:rsidR="00000000" w:rsidRPr="00EB36C1" w:rsidP="00EB36C1">
      <w:pPr>
        <w:pStyle w:val="AllowPageBreak"/>
      </w:pPr>
    </w:p>
    <w:p w:rsidR="00000000" w:rsidRPr="00EB36C1" w:rsidP="00EB36C1">
      <w:pPr>
        <w:pStyle w:val="Heading1"/>
      </w:pPr>
      <w:bookmarkStart w:id="2" w:name="O_200089"/>
      <w:bookmarkEnd w:id="2"/>
      <w:r w:rsidRPr="00EB36C1">
        <w:t>Unit Descriptor</w:t>
      </w:r>
    </w:p>
    <w:tbl>
      <w:tblPr>
        <w:tblW w:w="0" w:type="auto"/>
        <w:tblLayout w:type="fixed"/>
        <w:tblCellMar>
          <w:left w:w="62" w:type="dxa"/>
          <w:right w:w="62" w:type="dxa"/>
        </w:tblCellMar>
        <w:tblLook w:val="0000"/>
      </w:tblPr>
      <w:tblGrid>
        <w:gridCol w:w="2648"/>
        <w:gridCol w:w="5874"/>
      </w:tblGrid>
      <w:tr w:rsidTr="00E25E2C">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SpecialBold"/>
              </w:rPr>
              <w:t>Unit descriptor</w:t>
            </w:r>
          </w:p>
        </w:tc>
        <w:tc>
          <w:tcPr>
            <w:tcW w:w="5874" w:type="dxa"/>
            <w:tcBorders>
              <w:top w:val="nil"/>
              <w:left w:val="nil"/>
              <w:bottom w:val="nil"/>
              <w:right w:val="nil"/>
            </w:tcBorders>
            <w:tcMar>
              <w:top w:w="0" w:type="dxa"/>
              <w:left w:w="62" w:type="dxa"/>
              <w:bottom w:w="0" w:type="dxa"/>
              <w:right w:w="62" w:type="dxa"/>
            </w:tcMar>
          </w:tcPr>
          <w:p w:rsidR="00000000" w:rsidRPr="00EB36C1" w:rsidP="00EB36C1">
            <w:pPr>
              <w:pStyle w:val="BodyText"/>
            </w:pPr>
            <w:r w:rsidRPr="00EB36C1">
              <w:t xml:space="preserve">This unit of competency specifies the outcomes required to analyse and report </w:t>
            </w:r>
            <w:r w:rsidRPr="00EB36C1">
              <w:t>on technical aspects of plumbing systems. It entails analysis of plumbing systems, processes, legislation, practices, materials, installation methods, and safety procedures and impacts. It covers the preparation and publishing of plumbing and services tech</w:t>
            </w:r>
            <w:r w:rsidRPr="00EB36C1">
              <w:t>nical reports.</w:t>
            </w:r>
          </w:p>
        </w:tc>
      </w:tr>
    </w:tbl>
    <w:p w:rsidR="00E25E2C" w:rsidP="00EB36C1">
      <w:pPr>
        <w:pStyle w:val="BodyText"/>
      </w:pPr>
    </w:p>
    <w:p w:rsidR="00E25E2C" w:rsidP="00EB36C1">
      <w:pPr>
        <w:pStyle w:val="BodyText"/>
      </w:pPr>
    </w:p>
    <w:p w:rsidR="00000000" w:rsidRPr="00EB36C1" w:rsidP="00EB36C1">
      <w:pPr>
        <w:pStyle w:val="Heading1"/>
      </w:pPr>
      <w:bookmarkStart w:id="3" w:name="O_200093"/>
      <w:bookmarkEnd w:id="3"/>
      <w:r w:rsidRPr="00EB36C1">
        <w:t>Application of the Unit</w:t>
      </w:r>
    </w:p>
    <w:tbl>
      <w:tblPr>
        <w:tblW w:w="0" w:type="auto"/>
        <w:tblLayout w:type="fixed"/>
        <w:tblCellMar>
          <w:left w:w="62" w:type="dxa"/>
          <w:right w:w="62" w:type="dxa"/>
        </w:tblCellMar>
        <w:tblLook w:val="0000"/>
      </w:tblPr>
      <w:tblGrid>
        <w:gridCol w:w="2711"/>
        <w:gridCol w:w="5811"/>
      </w:tblGrid>
      <w:tr w:rsidTr="00E25E2C">
        <w:tblPrEx>
          <w:tblW w:w="0" w:type="auto"/>
          <w:tblLayout w:type="fixed"/>
          <w:tblCellMar>
            <w:left w:w="62" w:type="dxa"/>
            <w:right w:w="62" w:type="dxa"/>
          </w:tblCellMar>
          <w:tblLook w:val="0000"/>
        </w:tblPrEx>
        <w:trPr>
          <w:tblHeader/>
        </w:trPr>
        <w:tc>
          <w:tcPr>
            <w:tcW w:w="2711"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EB36C1" w:rsidP="00EB36C1">
            <w:pPr>
              <w:pStyle w:val="BodyText"/>
            </w:pPr>
            <w:r w:rsidRPr="00EB36C1">
              <w:t xml:space="preserve">This unit of competency supports development of skills and knowledge required for competent workplace performance in a consultancy or supervisory </w:t>
            </w:r>
            <w:r w:rsidRPr="00EB36C1">
              <w:t xml:space="preserve">capacity in relation to plumbing services and hydraulics. </w:t>
            </w:r>
          </w:p>
        </w:tc>
      </w:tr>
    </w:tbl>
    <w:p w:rsidR="00E25E2C" w:rsidP="00EB36C1">
      <w:pPr>
        <w:pStyle w:val="BodyText"/>
      </w:pPr>
    </w:p>
    <w:p w:rsidR="00E25E2C" w:rsidP="00EB36C1">
      <w:pPr>
        <w:pStyle w:val="BodyText"/>
      </w:pPr>
    </w:p>
    <w:p w:rsidR="00000000" w:rsidRPr="00EB36C1" w:rsidP="00EB36C1">
      <w:pPr>
        <w:pStyle w:val="Heading1"/>
      </w:pPr>
      <w:bookmarkStart w:id="4" w:name="O_278162"/>
      <w:bookmarkEnd w:id="4"/>
      <w:r w:rsidRPr="00EB36C1">
        <w:t>Licensing/Regulatory Information</w:t>
      </w:r>
    </w:p>
    <w:p w:rsidR="00000000" w:rsidRPr="00EB36C1" w:rsidP="00EB36C1">
      <w:pPr>
        <w:pStyle w:val="BodyText"/>
      </w:pPr>
      <w:r w:rsidRPr="00EB36C1">
        <w:t>Not Applicable</w:t>
      </w:r>
    </w:p>
    <w:p w:rsidR="00000000" w:rsidRPr="00EB36C1" w:rsidP="00EB36C1">
      <w:pPr>
        <w:pStyle w:val="AllowPageBreak"/>
      </w:pPr>
    </w:p>
    <w:p w:rsidR="00000000" w:rsidRPr="00EB36C1" w:rsidP="00EB36C1">
      <w:pPr>
        <w:pStyle w:val="Heading1"/>
      </w:pPr>
      <w:bookmarkStart w:id="5" w:name="O_200091"/>
      <w:bookmarkEnd w:id="5"/>
      <w:r w:rsidRPr="00EB36C1">
        <w:t>Pre-Requisites</w:t>
      </w:r>
    </w:p>
    <w:tbl>
      <w:tblPr>
        <w:tblW w:w="0" w:type="auto"/>
        <w:tblLayout w:type="fixed"/>
        <w:tblCellMar>
          <w:left w:w="62" w:type="dxa"/>
          <w:right w:w="62" w:type="dxa"/>
        </w:tblCellMar>
        <w:tblLook w:val="0000"/>
      </w:tblPr>
      <w:tblGrid>
        <w:gridCol w:w="2720"/>
        <w:gridCol w:w="1321"/>
        <w:gridCol w:w="4481"/>
      </w:tblGrid>
      <w:tr w:rsidTr="00E25E2C">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t>Nil</w:t>
            </w:r>
          </w:p>
        </w:tc>
      </w:tr>
      <w:tr w:rsidTr="00E25E2C">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p>
        </w:tc>
      </w:tr>
      <w:tr w:rsidTr="00E25E2C">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EB36C1" w:rsidP="00EB36C1">
            <w:pPr>
              <w:pStyle w:val="BodyText"/>
            </w:pPr>
          </w:p>
        </w:tc>
      </w:tr>
    </w:tbl>
    <w:p w:rsidR="00E25E2C" w:rsidP="00EB36C1">
      <w:pPr>
        <w:pStyle w:val="BodyText"/>
      </w:pPr>
    </w:p>
    <w:p w:rsidR="00E25E2C" w:rsidP="00EB36C1">
      <w:pPr>
        <w:pStyle w:val="BodyText"/>
      </w:pPr>
    </w:p>
    <w:p w:rsidR="00000000" w:rsidRPr="00EB36C1" w:rsidP="00EB36C1">
      <w:pPr>
        <w:pStyle w:val="Heading1"/>
      </w:pPr>
      <w:bookmarkStart w:id="6" w:name="O_200090"/>
      <w:bookmarkEnd w:id="6"/>
      <w:r w:rsidRPr="00EB36C1">
        <w:t>Employability Skills Information</w:t>
      </w:r>
    </w:p>
    <w:tbl>
      <w:tblPr>
        <w:tblW w:w="0" w:type="auto"/>
        <w:tblLayout w:type="fixed"/>
        <w:tblCellMar>
          <w:left w:w="62" w:type="dxa"/>
          <w:right w:w="62" w:type="dxa"/>
        </w:tblCellMar>
        <w:tblLook w:val="0000"/>
      </w:tblPr>
      <w:tblGrid>
        <w:gridCol w:w="2746"/>
        <w:gridCol w:w="5776"/>
      </w:tblGrid>
      <w:tr w:rsidTr="00E25E2C">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EB36C1" w:rsidP="00EB36C1">
            <w:pPr>
              <w:pStyle w:val="BodyText"/>
            </w:pPr>
            <w:r w:rsidRPr="00EB36C1">
              <w:t>This unit contains employability skills.</w:t>
            </w:r>
          </w:p>
        </w:tc>
      </w:tr>
    </w:tbl>
    <w:p w:rsidR="00E25E2C" w:rsidP="00EB36C1">
      <w:pPr>
        <w:pStyle w:val="BodyText"/>
      </w:pPr>
    </w:p>
    <w:p w:rsidR="00E25E2C" w:rsidP="00EB36C1">
      <w:pPr>
        <w:pStyle w:val="BodyText"/>
      </w:pPr>
    </w:p>
    <w:p w:rsidR="00000000" w:rsidRPr="00EB36C1" w:rsidP="00EB36C1">
      <w:pPr>
        <w:pStyle w:val="Heading1"/>
      </w:pPr>
      <w:bookmarkStart w:id="7" w:name="O_287948"/>
      <w:bookmarkEnd w:id="7"/>
      <w:r w:rsidRPr="00EB36C1">
        <w:t>Elements and Performance Criteria Pre-Content</w:t>
      </w:r>
    </w:p>
    <w:tbl>
      <w:tblPr>
        <w:tblW w:w="0" w:type="auto"/>
        <w:tblLayout w:type="fixed"/>
        <w:tblCellMar>
          <w:left w:w="62" w:type="dxa"/>
          <w:right w:w="62" w:type="dxa"/>
        </w:tblCellMar>
        <w:tblLook w:val="0000"/>
      </w:tblPr>
      <w:tblGrid>
        <w:gridCol w:w="2567"/>
        <w:gridCol w:w="5955"/>
      </w:tblGrid>
      <w:tr w:rsidTr="00E25E2C">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EB36C1">
            <w:pPr>
              <w:pStyle w:val="BodyText"/>
              <w:rPr>
                <w:lang w:val="en-NZ"/>
              </w:rPr>
            </w:pPr>
            <w:r w:rsidRPr="00EB36C1">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EB36C1" w:rsidP="00EB36C1">
            <w:pPr>
              <w:pStyle w:val="BodyText"/>
            </w:pPr>
            <w:r w:rsidRPr="00EB36C1">
              <w:t>Performance criteria describe the performance needed to demons</w:t>
            </w:r>
            <w:r w:rsidRPr="00EB36C1">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B36C1" w:rsidP="00EB36C1">
      <w:pPr>
        <w:pStyle w:val="BodyText"/>
      </w:pPr>
    </w:p>
    <w:p w:rsidR="00000000" w:rsidRPr="00EB36C1" w:rsidP="00EB36C1">
      <w:pPr>
        <w:pStyle w:val="AllowPageBreak"/>
      </w:pPr>
    </w:p>
    <w:p w:rsidR="00000000" w:rsidRPr="00EB36C1" w:rsidP="00EB36C1">
      <w:pPr>
        <w:pStyle w:val="Heading1"/>
      </w:pPr>
      <w:bookmarkStart w:id="8" w:name="O_234615"/>
      <w:bookmarkEnd w:id="8"/>
      <w:r w:rsidRPr="00EB36C1">
        <w:t>Elements and Performance Criteria</w:t>
      </w:r>
    </w:p>
    <w:tbl>
      <w:tblPr>
        <w:tblW w:w="0" w:type="auto"/>
        <w:tblLayout w:type="fixed"/>
        <w:tblCellMar>
          <w:left w:w="62" w:type="dxa"/>
          <w:right w:w="62" w:type="dxa"/>
        </w:tblCellMar>
        <w:tblLook w:val="0000"/>
      </w:tblPr>
      <w:tblGrid>
        <w:gridCol w:w="2567"/>
        <w:gridCol w:w="5955"/>
      </w:tblGrid>
      <w:tr w:rsidTr="00E25E2C">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EB36C1" w:rsidP="00EB36C1">
            <w:pPr>
              <w:pStyle w:val="BodyText"/>
            </w:pPr>
            <w:r w:rsidRPr="00EB36C1">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EB36C1">
            <w:pPr>
              <w:pStyle w:val="BodyText"/>
              <w:rPr>
                <w:lang w:val="en-NZ"/>
              </w:rPr>
            </w:pPr>
            <w:r w:rsidRPr="00EB36C1">
              <w:rPr>
                <w:rStyle w:val="SpecialBold"/>
              </w:rPr>
              <w:t>PERFORMANCE CRITERIA</w:t>
            </w:r>
          </w:p>
        </w:tc>
      </w:tr>
      <w:tr w:rsidTr="00E25E2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36C1">
            <w:pPr>
              <w:pStyle w:val="List"/>
              <w:rPr>
                <w:lang w:val="en-NZ"/>
              </w:rPr>
            </w:pPr>
            <w:r w:rsidRPr="00EB36C1">
              <w:t>1.</w:t>
            </w:r>
            <w:r w:rsidRPr="00EB36C1">
              <w:tab/>
              <w:t>Select and analyse a plumbing system or aspect of a plumbing system.</w:t>
            </w:r>
          </w:p>
        </w:tc>
        <w:tc>
          <w:tcPr>
            <w:tcW w:w="5955" w:type="dxa"/>
            <w:tcBorders>
              <w:top w:val="nil"/>
              <w:left w:val="nil"/>
              <w:bottom w:val="nil"/>
              <w:right w:val="nil"/>
            </w:tcBorders>
            <w:tcMar>
              <w:top w:w="0" w:type="dxa"/>
              <w:left w:w="62" w:type="dxa"/>
              <w:bottom w:w="0" w:type="dxa"/>
              <w:right w:w="62" w:type="dxa"/>
            </w:tcMar>
          </w:tcPr>
          <w:p w:rsidR="00000000" w:rsidRPr="00EB36C1" w:rsidP="00EB36C1">
            <w:pPr>
              <w:pStyle w:val="List2"/>
            </w:pPr>
            <w:r w:rsidRPr="00EB36C1">
              <w:t>1.1.</w:t>
            </w:r>
            <w:r w:rsidRPr="00EB36C1">
              <w:tab/>
            </w:r>
            <w:r w:rsidRPr="00EB36C1">
              <w:rPr>
                <w:rStyle w:val="BoldandItalics"/>
              </w:rPr>
              <w:t>Plumbing system</w:t>
            </w:r>
            <w:r w:rsidRPr="00EB36C1">
              <w:t xml:space="preserve"> or </w:t>
            </w:r>
            <w:r w:rsidRPr="00EB36C1">
              <w:rPr>
                <w:rStyle w:val="BoldandItalics"/>
              </w:rPr>
              <w:t>aspect of a plumbing system</w:t>
            </w:r>
            <w:r w:rsidRPr="00EB36C1">
              <w:t xml:space="preserve"> is selected with a view to improve or better understand the system or aspect of the system. </w:t>
            </w:r>
          </w:p>
          <w:p w:rsidR="00000000" w:rsidP="00EB36C1">
            <w:pPr>
              <w:pStyle w:val="List2"/>
              <w:rPr>
                <w:lang w:val="en-NZ"/>
              </w:rPr>
            </w:pPr>
            <w:r w:rsidRPr="00EB36C1">
              <w:t>1.2.</w:t>
            </w:r>
            <w:r w:rsidRPr="00EB36C1">
              <w:tab/>
              <w:t xml:space="preserve">Detailed and comprehensive </w:t>
            </w:r>
            <w:r w:rsidRPr="00EB36C1">
              <w:rPr>
                <w:rStyle w:val="BoldandItalics"/>
              </w:rPr>
              <w:t>analysis</w:t>
            </w:r>
            <w:r w:rsidRPr="00EB36C1">
              <w:t xml:space="preserve"> is made of the plumbing and hydraulic system or aspect of the system and impacts are identified and documented. </w:t>
            </w:r>
          </w:p>
        </w:tc>
      </w:tr>
      <w:tr w:rsidTr="00E25E2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36C1">
            <w:pPr>
              <w:pStyle w:val="List"/>
              <w:rPr>
                <w:lang w:val="en-NZ"/>
              </w:rPr>
            </w:pPr>
            <w:r w:rsidRPr="00EB36C1">
              <w:t>2.</w:t>
            </w:r>
            <w:r w:rsidRPr="00EB36C1">
              <w:tab/>
              <w:t>Rese</w:t>
            </w:r>
            <w:r w:rsidRPr="00EB36C1">
              <w:t>arch and trial the system.</w:t>
            </w:r>
          </w:p>
        </w:tc>
        <w:tc>
          <w:tcPr>
            <w:tcW w:w="5955" w:type="dxa"/>
            <w:tcBorders>
              <w:top w:val="nil"/>
              <w:left w:val="nil"/>
              <w:bottom w:val="nil"/>
              <w:right w:val="nil"/>
            </w:tcBorders>
            <w:tcMar>
              <w:top w:w="0" w:type="dxa"/>
              <w:left w:w="62" w:type="dxa"/>
              <w:bottom w:w="0" w:type="dxa"/>
              <w:right w:w="62" w:type="dxa"/>
            </w:tcMar>
          </w:tcPr>
          <w:p w:rsidR="00000000" w:rsidRPr="00EB36C1" w:rsidP="00EB36C1">
            <w:pPr>
              <w:pStyle w:val="List2"/>
            </w:pPr>
            <w:r w:rsidRPr="00EB36C1">
              <w:t>2.1.</w:t>
            </w:r>
            <w:r w:rsidRPr="00EB36C1">
              <w:tab/>
              <w:t xml:space="preserve">Appropriate comprehensive </w:t>
            </w:r>
            <w:r w:rsidRPr="00EB36C1">
              <w:rPr>
                <w:rStyle w:val="BoldandItalics"/>
              </w:rPr>
              <w:t>literature review and research</w:t>
            </w:r>
            <w:r w:rsidRPr="00EB36C1">
              <w:t xml:space="preserve"> are undertaken. </w:t>
            </w:r>
          </w:p>
          <w:p w:rsidR="00000000" w:rsidRPr="00EB36C1" w:rsidP="00EB36C1">
            <w:pPr>
              <w:pStyle w:val="List2"/>
            </w:pPr>
            <w:r w:rsidRPr="00EB36C1">
              <w:t>2.2.</w:t>
            </w:r>
            <w:r w:rsidRPr="00EB36C1">
              <w:tab/>
              <w:t>Alternative solutions are trialled and evaluated for suitability.</w:t>
            </w:r>
          </w:p>
          <w:p w:rsidR="00000000" w:rsidP="00EB36C1">
            <w:pPr>
              <w:pStyle w:val="List2"/>
              <w:rPr>
                <w:lang w:val="en-NZ"/>
              </w:rPr>
            </w:pPr>
            <w:r w:rsidRPr="00EB36C1">
              <w:t>2.3.</w:t>
            </w:r>
            <w:r w:rsidRPr="00EB36C1">
              <w:tab/>
              <w:t xml:space="preserve">Results from </w:t>
            </w:r>
            <w:r w:rsidRPr="00EB36C1">
              <w:rPr>
                <w:rStyle w:val="BoldandItalics"/>
              </w:rPr>
              <w:t>evaluations</w:t>
            </w:r>
            <w:r w:rsidRPr="00EB36C1">
              <w:t xml:space="preserve"> are documented. </w:t>
            </w:r>
          </w:p>
        </w:tc>
      </w:tr>
      <w:tr w:rsidTr="00E25E2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EB36C1">
            <w:pPr>
              <w:pStyle w:val="List"/>
              <w:rPr>
                <w:lang w:val="en-NZ"/>
              </w:rPr>
            </w:pPr>
            <w:r w:rsidRPr="00EB36C1">
              <w:t>3.</w:t>
            </w:r>
            <w:r w:rsidRPr="00EB36C1">
              <w:tab/>
            </w:r>
            <w:r w:rsidRPr="00EB36C1">
              <w:t>Evaluate and report on the system or aspect of the system.</w:t>
            </w:r>
          </w:p>
        </w:tc>
        <w:tc>
          <w:tcPr>
            <w:tcW w:w="5955" w:type="dxa"/>
            <w:tcBorders>
              <w:top w:val="nil"/>
              <w:left w:val="nil"/>
              <w:bottom w:val="nil"/>
              <w:right w:val="nil"/>
            </w:tcBorders>
            <w:tcMar>
              <w:top w:w="0" w:type="dxa"/>
              <w:left w:w="62" w:type="dxa"/>
              <w:bottom w:w="0" w:type="dxa"/>
              <w:right w:w="62" w:type="dxa"/>
            </w:tcMar>
          </w:tcPr>
          <w:p w:rsidR="00000000" w:rsidRPr="00EB36C1" w:rsidP="00EB36C1">
            <w:pPr>
              <w:pStyle w:val="List2"/>
            </w:pPr>
            <w:r w:rsidRPr="00EB36C1">
              <w:t>3.1.</w:t>
            </w:r>
            <w:r w:rsidRPr="00EB36C1">
              <w:tab/>
              <w:t xml:space="preserve">System or aspect of the system is evaluated, identifying </w:t>
            </w:r>
            <w:r w:rsidRPr="00EB36C1">
              <w:rPr>
                <w:rStyle w:val="BoldandItalics"/>
              </w:rPr>
              <w:t>alternatives and redundancies</w:t>
            </w:r>
            <w:r w:rsidRPr="00EB36C1">
              <w:t xml:space="preserve">. </w:t>
            </w:r>
          </w:p>
          <w:p w:rsidR="00000000" w:rsidRPr="00EB36C1" w:rsidP="00EB36C1">
            <w:pPr>
              <w:pStyle w:val="List2"/>
            </w:pPr>
            <w:r w:rsidRPr="00EB36C1">
              <w:t>3.2.</w:t>
            </w:r>
            <w:r w:rsidRPr="00EB36C1">
              <w:tab/>
            </w:r>
            <w:r w:rsidRPr="00EB36C1">
              <w:rPr>
                <w:rStyle w:val="BoldandItalics"/>
              </w:rPr>
              <w:t>Conclusions</w:t>
            </w:r>
            <w:r w:rsidRPr="00EB36C1">
              <w:t xml:space="preserve"> are drawn and changes </w:t>
            </w:r>
            <w:r w:rsidRPr="00EB36C1">
              <w:rPr>
                <w:rStyle w:val="BoldandItalics"/>
              </w:rPr>
              <w:t>recommended</w:t>
            </w:r>
            <w:r w:rsidRPr="00EB36C1">
              <w:t xml:space="preserve">. </w:t>
            </w:r>
          </w:p>
          <w:p w:rsidR="00000000" w:rsidRPr="00EB36C1" w:rsidP="00EB36C1">
            <w:pPr>
              <w:pStyle w:val="List2"/>
            </w:pPr>
            <w:r w:rsidRPr="00EB36C1">
              <w:t>3.3.</w:t>
            </w:r>
            <w:r w:rsidRPr="00EB36C1">
              <w:tab/>
              <w:t xml:space="preserve">Comprehensive and professional </w:t>
            </w:r>
            <w:r w:rsidRPr="00EB36C1">
              <w:rPr>
                <w:rStyle w:val="BoldandItalics"/>
              </w:rPr>
              <w:t>report</w:t>
            </w:r>
            <w:r w:rsidRPr="00EB36C1">
              <w:t xml:space="preserve"> is prod</w:t>
            </w:r>
            <w:r w:rsidRPr="00EB36C1">
              <w:t xml:space="preserve">uced. </w:t>
            </w:r>
          </w:p>
          <w:p w:rsidR="00000000" w:rsidRPr="00EB36C1" w:rsidP="00EB36C1">
            <w:pPr>
              <w:pStyle w:val="List2"/>
            </w:pPr>
            <w:r w:rsidRPr="00EB36C1">
              <w:t>3.4.</w:t>
            </w:r>
            <w:r w:rsidRPr="00EB36C1">
              <w:tab/>
              <w:t xml:space="preserve">Report is </w:t>
            </w:r>
            <w:r w:rsidRPr="00EB36C1">
              <w:rPr>
                <w:rStyle w:val="BoldandItalics"/>
              </w:rPr>
              <w:t>published</w:t>
            </w:r>
            <w:r w:rsidRPr="00EB36C1">
              <w:t xml:space="preserve"> to increase the body of knowledge within the plumbing and hydraulic field. </w:t>
            </w:r>
          </w:p>
        </w:tc>
      </w:tr>
    </w:tbl>
    <w:p w:rsidR="00E25E2C" w:rsidP="00EB36C1">
      <w:pPr>
        <w:pStyle w:val="BodyText"/>
      </w:pPr>
    </w:p>
    <w:p w:rsidR="00E25E2C" w:rsidP="00EB36C1">
      <w:pPr>
        <w:pStyle w:val="BodyText"/>
      </w:pPr>
    </w:p>
    <w:p w:rsidR="00000000" w:rsidRPr="00EB36C1" w:rsidP="00EB36C1">
      <w:pPr>
        <w:pStyle w:val="Heading1"/>
      </w:pPr>
      <w:bookmarkStart w:id="9" w:name="O_258565"/>
      <w:bookmarkEnd w:id="9"/>
      <w:r w:rsidRPr="00EB36C1">
        <w:t>Required Skills and Knowledge</w:t>
      </w:r>
    </w:p>
    <w:tbl>
      <w:tblPr>
        <w:tblW w:w="0" w:type="auto"/>
        <w:tblLayout w:type="fixed"/>
        <w:tblCellMar>
          <w:left w:w="62" w:type="dxa"/>
          <w:right w:w="62" w:type="dxa"/>
        </w:tblCellMar>
        <w:tblLook w:val="0000"/>
      </w:tblPr>
      <w:tblGrid>
        <w:gridCol w:w="8522"/>
      </w:tblGrid>
      <w:tr w:rsidTr="00E25E2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SpecialBold"/>
              </w:rPr>
              <w:t>REQUIRED SKILLS AND KNOWLEDGE</w:t>
            </w:r>
          </w:p>
        </w:tc>
      </w:tr>
      <w:tr w:rsidTr="00E25E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t>This section describes the skills and knowledge required for this unit.</w:t>
            </w:r>
          </w:p>
        </w:tc>
      </w:tr>
      <w:tr w:rsidTr="00E25E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SpecialBold"/>
              </w:rPr>
              <w:t>Required skills</w:t>
            </w:r>
          </w:p>
        </w:tc>
      </w:tr>
      <w:tr w:rsidTr="00E25E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B36C1" w:rsidP="00EB36C1">
            <w:pPr>
              <w:pStyle w:val="BodyText"/>
            </w:pPr>
            <w:r w:rsidRPr="00EB36C1">
              <w:t>Required skills for this unit are:</w:t>
            </w:r>
          </w:p>
          <w:p w:rsidR="00000000" w:rsidRPr="00EB36C1" w:rsidP="00EB36C1">
            <w:pPr>
              <w:pStyle w:val="ListBullet"/>
            </w:pPr>
            <w:r w:rsidRPr="00EB36C1">
              <w:t>carry out research to develop own learning and capabilities in relevant field of plumbing and hydraulics</w:t>
            </w:r>
          </w:p>
          <w:p w:rsidR="00000000" w:rsidRPr="00EB36C1" w:rsidP="00EB36C1">
            <w:pPr>
              <w:pStyle w:val="ListBullet"/>
            </w:pPr>
            <w:r w:rsidRPr="00EB36C1">
              <w:t>communication skills to:</w:t>
            </w:r>
          </w:p>
          <w:p w:rsidR="00000000" w:rsidRPr="00EB36C1" w:rsidP="00EB36C1">
            <w:pPr>
              <w:pStyle w:val="ListBullet2"/>
            </w:pPr>
            <w:r w:rsidRPr="00EB36C1">
              <w:t>communicate with others to ensure safe and effective work practices</w:t>
            </w:r>
          </w:p>
          <w:p w:rsidR="00000000" w:rsidRPr="00EB36C1" w:rsidP="00EB36C1">
            <w:pPr>
              <w:pStyle w:val="ListBullet2"/>
            </w:pPr>
            <w:r w:rsidRPr="00EB36C1">
              <w:t>confirm job specifications and client requirements</w:t>
            </w:r>
          </w:p>
          <w:p w:rsidR="00000000" w:rsidRPr="00EB36C1" w:rsidP="00EB36C1">
            <w:pPr>
              <w:pStyle w:val="ListBullet2"/>
            </w:pPr>
            <w:r w:rsidRPr="00EB36C1">
              <w:t>enable clear and direct communication, using questioning to identify and confirm requirements, share information, listen and understand</w:t>
            </w:r>
          </w:p>
          <w:p w:rsidR="00000000" w:rsidRPr="00EB36C1" w:rsidP="00EB36C1">
            <w:pPr>
              <w:pStyle w:val="ListBullet2"/>
            </w:pPr>
            <w:r w:rsidRPr="00EB36C1">
              <w:t>read and interpret:</w:t>
            </w:r>
          </w:p>
          <w:p w:rsidR="00000000" w:rsidRPr="00EB36C1" w:rsidP="00EB36C1">
            <w:pPr>
              <w:pStyle w:val="ListBullet3"/>
            </w:pPr>
            <w:r w:rsidRPr="00EB36C1">
              <w:t>plans, specifications, drawings and design briefs</w:t>
            </w:r>
          </w:p>
          <w:p w:rsidR="00000000" w:rsidRPr="00EB36C1" w:rsidP="00EB36C1">
            <w:pPr>
              <w:pStyle w:val="ListBullet3"/>
            </w:pPr>
            <w:r w:rsidRPr="00EB36C1">
              <w:t>standards and manufacturer requirements and manuals</w:t>
            </w:r>
          </w:p>
          <w:p w:rsidR="00000000" w:rsidRPr="00EB36C1" w:rsidP="00EB36C1">
            <w:pPr>
              <w:pStyle w:val="ListBullet3"/>
            </w:pPr>
            <w:r w:rsidRPr="00EB36C1">
              <w:t>statutory and regulatory requirements</w:t>
            </w:r>
          </w:p>
          <w:p w:rsidR="00000000" w:rsidRPr="00EB36C1" w:rsidP="00EB36C1">
            <w:pPr>
              <w:pStyle w:val="ListBullet2"/>
            </w:pPr>
            <w:r w:rsidRPr="00EB36C1">
              <w:t>use language and concepts appropriate to cultural differences</w:t>
            </w:r>
          </w:p>
          <w:p w:rsidR="00000000" w:rsidRPr="00EB36C1" w:rsidP="00EB36C1">
            <w:pPr>
              <w:pStyle w:val="ListBullet2"/>
            </w:pPr>
            <w:r w:rsidRPr="00EB36C1">
              <w:t>use and interpret non-verbal communication, such as hand signals</w:t>
            </w:r>
          </w:p>
          <w:p w:rsidR="00000000" w:rsidRPr="00EB36C1" w:rsidP="00EB36C1">
            <w:pPr>
              <w:pStyle w:val="ListBullet"/>
            </w:pPr>
            <w:r w:rsidRPr="00EB36C1">
              <w:t>written skills to prepare documentation, including:</w:t>
            </w:r>
          </w:p>
          <w:p w:rsidR="00000000" w:rsidRPr="00EB36C1" w:rsidP="00EB36C1">
            <w:pPr>
              <w:pStyle w:val="ListBullet2"/>
            </w:pPr>
            <w:r w:rsidRPr="00EB36C1">
              <w:t>operation and maintenance manual</w:t>
            </w:r>
          </w:p>
          <w:p w:rsidR="00000000" w:rsidRPr="00EB36C1" w:rsidP="00EB36C1">
            <w:pPr>
              <w:pStyle w:val="ListBullet2"/>
            </w:pPr>
            <w:r w:rsidRPr="00EB36C1">
              <w:t>plans, specifications and schedules</w:t>
            </w:r>
          </w:p>
          <w:p w:rsidR="00000000" w:rsidRPr="00EB36C1" w:rsidP="00EB36C1">
            <w:pPr>
              <w:pStyle w:val="ListBullet"/>
            </w:pPr>
            <w:r w:rsidRPr="00EB36C1">
              <w:t>hazard identification skills, including the ability to identify hazard categories according to Australian and New Zealand standards, legislation and manufacturer specifications</w:t>
            </w:r>
          </w:p>
          <w:p w:rsidR="00000000" w:rsidRPr="00EB36C1" w:rsidP="00EB36C1">
            <w:pPr>
              <w:pStyle w:val="ListBullet"/>
            </w:pPr>
            <w:r w:rsidRPr="00EB36C1">
              <w:t>planning and organisational skills to collect, organise and analyse information</w:t>
            </w:r>
          </w:p>
          <w:p w:rsidR="00000000" w:rsidRPr="00EB36C1" w:rsidP="00EB36C1">
            <w:pPr>
              <w:pStyle w:val="ListBullet"/>
            </w:pPr>
            <w:r w:rsidRPr="00EB36C1">
              <w:t>problem solving skills to analyse information and check integrity of data</w:t>
            </w:r>
          </w:p>
          <w:p w:rsidR="00000000" w:rsidRPr="00EB36C1" w:rsidP="00EB36C1">
            <w:pPr>
              <w:pStyle w:val="ListBullet"/>
            </w:pPr>
            <w:r w:rsidRPr="00EB36C1">
              <w:t>teamwork skills to work with others to action tasks and relate to people from a range of cultural and ethnic backgrounds and with varying physical and mental abilities</w:t>
            </w:r>
          </w:p>
          <w:p w:rsidR="00000000" w:rsidP="00EB36C1">
            <w:pPr>
              <w:pStyle w:val="ListBullet"/>
              <w:rPr>
                <w:lang w:val="en-NZ"/>
              </w:rPr>
            </w:pPr>
            <w:r w:rsidRPr="00EB36C1">
              <w:t>technological</w:t>
            </w:r>
            <w:r w:rsidRPr="00EB36C1">
              <w:t xml:space="preserve"> skills to use technology and the internet to identify and access relevant information.</w:t>
            </w:r>
          </w:p>
        </w:tc>
      </w:tr>
      <w:tr w:rsidTr="00E25E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SpecialBold"/>
              </w:rPr>
              <w:t>Required knowledge</w:t>
            </w:r>
          </w:p>
        </w:tc>
      </w:tr>
      <w:tr w:rsidTr="00E25E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B36C1" w:rsidP="00EB36C1">
            <w:pPr>
              <w:pStyle w:val="BodyText"/>
            </w:pPr>
            <w:r w:rsidRPr="00EB36C1">
              <w:t>Required knowledge for this unit is:</w:t>
            </w:r>
          </w:p>
          <w:p w:rsidR="00000000" w:rsidRPr="00EB36C1" w:rsidP="00EB36C1">
            <w:pPr>
              <w:pStyle w:val="ListBullet"/>
            </w:pPr>
            <w:r w:rsidRPr="00EB36C1">
              <w:t>design principles relating to performance of plumbing systems and their components</w:t>
            </w:r>
          </w:p>
          <w:p w:rsidR="00000000" w:rsidRPr="00EB36C1" w:rsidP="00EB36C1">
            <w:pPr>
              <w:pStyle w:val="ListBullet"/>
            </w:pPr>
            <w:r w:rsidRPr="00EB36C1">
              <w:t>plumbing systems, including plumbing system components and impact of various components</w:t>
            </w:r>
          </w:p>
          <w:p w:rsidR="00000000" w:rsidRPr="00EB36C1" w:rsidP="00EB36C1">
            <w:pPr>
              <w:pStyle w:val="ListBullet"/>
            </w:pPr>
            <w:r w:rsidRPr="00EB36C1">
              <w:t>workplace and equipment safety requirements, including relevant statutory regulations, codes and standards.</w:t>
            </w:r>
          </w:p>
        </w:tc>
      </w:tr>
    </w:tbl>
    <w:p w:rsidR="00E25E2C" w:rsidP="00EB36C1">
      <w:pPr>
        <w:pStyle w:val="BodyText"/>
      </w:pPr>
    </w:p>
    <w:p w:rsidR="00E25E2C" w:rsidP="00EB36C1">
      <w:pPr>
        <w:pStyle w:val="BodyText"/>
      </w:pPr>
    </w:p>
    <w:p w:rsidR="00000000" w:rsidRPr="00EB36C1" w:rsidP="00EB36C1">
      <w:pPr>
        <w:pStyle w:val="AllowPageBreak"/>
      </w:pPr>
    </w:p>
    <w:p w:rsidR="00000000" w:rsidRPr="00EB36C1" w:rsidP="00EB36C1">
      <w:pPr>
        <w:pStyle w:val="Heading1"/>
      </w:pPr>
      <w:bookmarkStart w:id="10" w:name="O_242599"/>
      <w:bookmarkEnd w:id="10"/>
      <w:r w:rsidRPr="00EB36C1">
        <w:t>Evidence Guide</w:t>
      </w:r>
    </w:p>
    <w:tbl>
      <w:tblPr>
        <w:tblW w:w="0" w:type="auto"/>
        <w:tblLayout w:type="fixed"/>
        <w:tblCellMar>
          <w:left w:w="62" w:type="dxa"/>
          <w:right w:w="62" w:type="dxa"/>
        </w:tblCellMar>
        <w:tblLook w:val="0000"/>
      </w:tblPr>
      <w:tblGrid>
        <w:gridCol w:w="3506"/>
        <w:gridCol w:w="5016"/>
      </w:tblGrid>
      <w:tr w:rsidTr="00E25E2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B36C1">
            <w:pPr>
              <w:pStyle w:val="BodyText"/>
              <w:rPr>
                <w:lang w:val="en-NZ"/>
              </w:rPr>
            </w:pPr>
            <w:r w:rsidRPr="00EB36C1">
              <w:rPr>
                <w:rStyle w:val="SpecialBold"/>
              </w:rPr>
              <w:t>EVIDENCE GUIDE</w:t>
            </w:r>
          </w:p>
        </w:tc>
      </w:tr>
      <w:tr w:rsidTr="00E25E2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B36C1">
            <w:pPr>
              <w:pStyle w:val="BodyText"/>
              <w:rPr>
                <w:lang w:val="en-NZ"/>
              </w:rPr>
            </w:pPr>
            <w:r w:rsidRPr="00EB36C1">
              <w:t>The evidence guide provides advice on assessment and must be read in conjunction with the performance criteria, required skills and knowledge, range statement and the Assessment Guidelines for the Training Package.</w:t>
            </w:r>
          </w:p>
        </w:tc>
      </w:tr>
      <w:tr w:rsidTr="00E25E2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SpecialBold"/>
              </w:rPr>
              <w:t>Overview of assessment</w:t>
            </w:r>
          </w:p>
        </w:tc>
        <w:tc>
          <w:tcPr>
            <w:tcW w:w="5016"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t>This unit of competency could be assessed in the workplace or a close simulation of the workplace environment providing that simulated or project-based assessment techniques fully replicate plumbing and services workplace conditions, materials, activities</w:t>
            </w:r>
            <w:r w:rsidRPr="00EB36C1">
              <w:t xml:space="preserve">, responsibilities and procedures. </w:t>
            </w:r>
          </w:p>
        </w:tc>
      </w:tr>
      <w:tr w:rsidTr="00E25E2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SpecialBold"/>
              </w:rPr>
              <w:t>Critical aspects for assessment and evidence required to demonstrate competency in this unit</w:t>
            </w:r>
          </w:p>
        </w:tc>
        <w:tc>
          <w:tcPr>
            <w:tcW w:w="5016" w:type="dxa"/>
            <w:tcBorders>
              <w:top w:val="nil"/>
              <w:left w:val="nil"/>
              <w:bottom w:val="nil"/>
              <w:right w:val="nil"/>
            </w:tcBorders>
            <w:tcMar>
              <w:top w:w="0" w:type="dxa"/>
              <w:left w:w="62" w:type="dxa"/>
              <w:bottom w:w="0" w:type="dxa"/>
              <w:right w:w="62" w:type="dxa"/>
            </w:tcMar>
          </w:tcPr>
          <w:p w:rsidR="00000000" w:rsidRPr="00EB36C1" w:rsidP="00EB36C1">
            <w:pPr>
              <w:pStyle w:val="BodyText"/>
            </w:pPr>
            <w:r w:rsidRPr="00EB36C1">
              <w:t>A person who demonstrates competency in this unit must be able to provide evidence of:</w:t>
            </w:r>
          </w:p>
          <w:p w:rsidR="00000000" w:rsidRPr="00EB36C1" w:rsidP="00EB36C1">
            <w:pPr>
              <w:pStyle w:val="ListBullet"/>
            </w:pPr>
            <w:r w:rsidRPr="00EB36C1">
              <w:t>analysing and evaluating plumbing systems</w:t>
            </w:r>
          </w:p>
          <w:p w:rsidR="00000000" w:rsidRPr="00EB36C1" w:rsidP="00EB36C1">
            <w:pPr>
              <w:pStyle w:val="ListBullet"/>
            </w:pPr>
            <w:r w:rsidRPr="00EB36C1">
              <w:t>trialling and evaluating alternative solutions</w:t>
            </w:r>
          </w:p>
          <w:p w:rsidR="00000000" w:rsidRPr="00EB36C1" w:rsidP="00EB36C1">
            <w:pPr>
              <w:pStyle w:val="ListBullet"/>
            </w:pPr>
            <w:r w:rsidRPr="00EB36C1">
              <w:t>complying with OHS regulations applicable to workplace operations</w:t>
            </w:r>
          </w:p>
          <w:p w:rsidR="00000000" w:rsidRPr="00EB36C1" w:rsidP="00EB36C1">
            <w:pPr>
              <w:pStyle w:val="ListBullet"/>
            </w:pPr>
            <w:r w:rsidRPr="00EB36C1">
              <w:t>applying organisational quality procedures and processes within context of analysing and reporting on technical plumbing systems</w:t>
            </w:r>
          </w:p>
          <w:p w:rsidR="00000000" w:rsidRPr="00EB36C1" w:rsidP="00EB36C1">
            <w:pPr>
              <w:pStyle w:val="ListBullet"/>
            </w:pPr>
            <w:r w:rsidRPr="00EB36C1">
              <w:t>writing a report to professional standards</w:t>
            </w:r>
          </w:p>
          <w:p w:rsidR="00000000" w:rsidRPr="00EB36C1" w:rsidP="00EB36C1">
            <w:pPr>
              <w:pStyle w:val="ListBullet"/>
            </w:pPr>
            <w:r w:rsidRPr="00EB36C1">
              <w:t>making appropriate supported recommendations</w:t>
            </w:r>
          </w:p>
          <w:p w:rsidR="00000000" w:rsidRPr="00EB36C1" w:rsidP="00EB36C1">
            <w:pPr>
              <w:pStyle w:val="ListBullet"/>
            </w:pPr>
            <w:r w:rsidRPr="00EB36C1">
              <w:t>using appropriate techniques to publish</w:t>
            </w:r>
            <w:r w:rsidRPr="00EB36C1">
              <w:t xml:space="preserve"> reports</w:t>
            </w:r>
          </w:p>
          <w:p w:rsidR="00000000" w:rsidP="00EB36C1">
            <w:pPr>
              <w:pStyle w:val="ListBullet"/>
              <w:rPr>
                <w:lang w:val="en-NZ"/>
              </w:rPr>
            </w:pPr>
            <w:r w:rsidRPr="00EB36C1">
              <w:t>interactive communication with others to ensure safe and effective work site operations.</w:t>
            </w:r>
          </w:p>
        </w:tc>
      </w:tr>
      <w:tr w:rsidTr="00E25E2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SpecialBold"/>
              </w:rPr>
              <w:t>Context of and specific resources for assessment</w:t>
            </w:r>
          </w:p>
        </w:tc>
        <w:tc>
          <w:tcPr>
            <w:tcW w:w="5016" w:type="dxa"/>
            <w:tcBorders>
              <w:top w:val="nil"/>
              <w:left w:val="nil"/>
              <w:bottom w:val="nil"/>
              <w:right w:val="nil"/>
            </w:tcBorders>
            <w:tcMar>
              <w:top w:w="0" w:type="dxa"/>
              <w:left w:w="62" w:type="dxa"/>
              <w:bottom w:w="0" w:type="dxa"/>
              <w:right w:w="62" w:type="dxa"/>
            </w:tcMar>
          </w:tcPr>
          <w:p w:rsidR="00000000" w:rsidRPr="00EB36C1" w:rsidP="00EB36C1">
            <w:pPr>
              <w:pStyle w:val="BodyText"/>
            </w:pPr>
            <w:r w:rsidRPr="00EB36C1">
              <w:t>This competency is to be assessed using standard and authorised work practices, safety requirements and envi</w:t>
            </w:r>
            <w:r w:rsidRPr="00EB36C1">
              <w:t>ronmental constraints.</w:t>
            </w:r>
          </w:p>
          <w:p w:rsidR="00000000" w:rsidRPr="00EB36C1" w:rsidP="00EB36C1">
            <w:pPr>
              <w:pStyle w:val="BodyText"/>
            </w:pPr>
            <w:r w:rsidRPr="00EB36C1">
              <w:t>Assessment of essential underpinning knowledge will usually be conducted in an off-site context.</w:t>
            </w:r>
          </w:p>
          <w:p w:rsidR="00000000" w:rsidRPr="00EB36C1" w:rsidP="00EB36C1">
            <w:pPr>
              <w:pStyle w:val="BodyText"/>
            </w:pPr>
            <w:r w:rsidRPr="00EB36C1">
              <w:t>Assessment is to comply with relevant regulatory or Australian standards' requirements.</w:t>
            </w:r>
          </w:p>
          <w:p w:rsidR="00000000" w:rsidRPr="00EB36C1" w:rsidP="00EB36C1">
            <w:pPr>
              <w:pStyle w:val="BodyText"/>
            </w:pPr>
            <w:r w:rsidRPr="00EB36C1">
              <w:t>Resource implications for assessment include:</w:t>
            </w:r>
          </w:p>
          <w:p w:rsidR="00000000" w:rsidRPr="00EB36C1" w:rsidP="00EB36C1">
            <w:pPr>
              <w:pStyle w:val="ListBullet"/>
            </w:pPr>
            <w:r w:rsidRPr="00EB36C1">
              <w:t>a</w:t>
            </w:r>
            <w:r w:rsidRPr="00EB36C1">
              <w:t>n induction procedure and requirement</w:t>
            </w:r>
          </w:p>
          <w:p w:rsidR="00000000" w:rsidRPr="00EB36C1" w:rsidP="00EB36C1">
            <w:pPr>
              <w:pStyle w:val="ListBullet"/>
            </w:pPr>
            <w:r w:rsidRPr="00EB36C1">
              <w:t>realistic tasks or simulated tasks covering the minimum task requirements</w:t>
            </w:r>
          </w:p>
          <w:p w:rsidR="00000000" w:rsidRPr="00EB36C1" w:rsidP="00EB36C1">
            <w:pPr>
              <w:pStyle w:val="ListBullet"/>
            </w:pPr>
            <w:r w:rsidRPr="00EB36C1">
              <w:t>relevant specifications and work instructions, including design brief drawings, specifications, codes, design concepts and construction schedule</w:t>
            </w:r>
            <w:r w:rsidRPr="00EB36C1">
              <w:t>s</w:t>
            </w:r>
          </w:p>
          <w:p w:rsidR="00000000" w:rsidRPr="00EB36C1" w:rsidP="00EB36C1">
            <w:pPr>
              <w:pStyle w:val="ListBullet"/>
            </w:pPr>
            <w:r w:rsidRPr="00EB36C1">
              <w:t>tools and equipment appropriate to applying safe work practices, including computers, software and calculators</w:t>
            </w:r>
          </w:p>
          <w:p w:rsidR="00000000" w:rsidRPr="00EB36C1" w:rsidP="00EB36C1">
            <w:pPr>
              <w:pStyle w:val="ListBullet"/>
            </w:pPr>
            <w:r w:rsidRPr="00EB36C1">
              <w:t>workplace instructions relating to safe working practices and addressing hazards and emergencies</w:t>
            </w:r>
          </w:p>
          <w:p w:rsidR="00000000" w:rsidRPr="00EB36C1" w:rsidP="00EB36C1">
            <w:pPr>
              <w:pStyle w:val="ListBullet"/>
            </w:pPr>
            <w:r w:rsidRPr="00EB36C1">
              <w:t>material safety data sheets</w:t>
            </w:r>
          </w:p>
          <w:p w:rsidR="00000000" w:rsidRPr="00EB36C1" w:rsidP="00EB36C1">
            <w:pPr>
              <w:pStyle w:val="ListBullet"/>
            </w:pPr>
            <w:r w:rsidRPr="00EB36C1">
              <w:t>research resources, including industry related systems information.</w:t>
            </w:r>
          </w:p>
          <w:p w:rsidR="00000000" w:rsidP="00EB36C1">
            <w:pPr>
              <w:pStyle w:val="BodyText"/>
              <w:rPr>
                <w:lang w:val="en-NZ"/>
              </w:rPr>
            </w:pPr>
            <w:r w:rsidRPr="00EB36C1">
              <w:t>Reasonable adjustments for people with disabilities must be made to assessment processes where required. This could include access to modified equipment and other physical resources, and t</w:t>
            </w:r>
            <w:r w:rsidRPr="00EB36C1">
              <w:t xml:space="preserve">he provision of appropriate assessment support. </w:t>
            </w:r>
          </w:p>
        </w:tc>
      </w:tr>
      <w:tr w:rsidTr="00E25E2C">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SpecialBold"/>
              </w:rPr>
              <w:t>Method of assessment</w:t>
            </w:r>
          </w:p>
        </w:tc>
        <w:tc>
          <w:tcPr>
            <w:tcW w:w="5016" w:type="dxa"/>
            <w:tcBorders>
              <w:top w:val="nil"/>
              <w:left w:val="nil"/>
              <w:bottom w:val="nil"/>
              <w:right w:val="nil"/>
            </w:tcBorders>
            <w:tcMar>
              <w:top w:w="0" w:type="dxa"/>
              <w:left w:w="62" w:type="dxa"/>
              <w:bottom w:w="0" w:type="dxa"/>
              <w:right w:w="62" w:type="dxa"/>
            </w:tcMar>
          </w:tcPr>
          <w:p w:rsidR="00000000" w:rsidRPr="00EB36C1" w:rsidP="00EB36C1">
            <w:pPr>
              <w:pStyle w:val="BodyText"/>
            </w:pPr>
            <w:r w:rsidRPr="00EB36C1">
              <w:t>Assessment methods must:</w:t>
            </w:r>
          </w:p>
          <w:p w:rsidR="00000000" w:rsidRPr="00EB36C1" w:rsidP="00EB36C1">
            <w:pPr>
              <w:pStyle w:val="ListBullet"/>
            </w:pPr>
            <w:r w:rsidRPr="00EB36C1">
              <w:t>satisfy the endorsed Assessment Guidelines of the Construction, Plumbing and Services Training Package</w:t>
            </w:r>
          </w:p>
          <w:p w:rsidR="00000000" w:rsidRPr="00EB36C1" w:rsidP="00EB36C1">
            <w:pPr>
              <w:pStyle w:val="ListBullet"/>
            </w:pPr>
            <w:r w:rsidRPr="00EB36C1">
              <w:t>include direct observation of tasks in real or simulated</w:t>
            </w:r>
            <w:r w:rsidRPr="00EB36C1">
              <w:t xml:space="preserve"> work conditions, with questioning to confirm the ability to consistently identify and correctly interpret the essential underpinning knowledge required for practical application</w:t>
            </w:r>
          </w:p>
          <w:p w:rsidR="00000000" w:rsidRPr="00EB36C1" w:rsidP="00EB36C1">
            <w:pPr>
              <w:pStyle w:val="ListBullet"/>
            </w:pPr>
            <w:r w:rsidRPr="00EB36C1">
              <w:t>reinforce the integration of employability skills with workplace tasks and jo</w:t>
            </w:r>
            <w:r w:rsidRPr="00EB36C1">
              <w:t>b roles</w:t>
            </w:r>
          </w:p>
          <w:p w:rsidR="00000000" w:rsidRPr="00EB36C1" w:rsidP="00EB36C1">
            <w:pPr>
              <w:pStyle w:val="ListBullet"/>
            </w:pPr>
            <w:r w:rsidRPr="00EB36C1">
              <w:t>confirm that competency is verified and able to be transferred to other circumstances and environments.</w:t>
            </w:r>
          </w:p>
          <w:p w:rsidR="00000000" w:rsidRPr="00EB36C1" w:rsidP="00EB36C1">
            <w:pPr>
              <w:pStyle w:val="BodyText"/>
            </w:pPr>
            <w:r w:rsidRPr="00EB36C1">
              <w:t>Validity and sufficiency of evidence requires that:</w:t>
            </w:r>
          </w:p>
          <w:p w:rsidR="00000000" w:rsidRPr="00EB36C1" w:rsidP="00EB36C1">
            <w:pPr>
              <w:pStyle w:val="ListBullet"/>
            </w:pPr>
            <w:r w:rsidRPr="00EB36C1">
              <w:t>competency will need to be demonstrated over a period of time reflecting the scope of the r</w:t>
            </w:r>
            <w:r w:rsidRPr="00EB36C1">
              <w:t>ole and the practical requirements of the workplace</w:t>
            </w:r>
          </w:p>
          <w:p w:rsidR="00000000" w:rsidRPr="00EB36C1" w:rsidP="00EB36C1">
            <w:pPr>
              <w:pStyle w:val="ListBullet"/>
            </w:pPr>
            <w:r w:rsidRPr="00EB36C1">
              <w:t>where the assessment is part of a structured learning experience the evidence collected must relate to a number of performances assessed at different points in time and separated by further learning and p</w:t>
            </w:r>
            <w:r w:rsidRPr="00EB36C1">
              <w:t>ractice, with a decision on competency only taken at the point when the assessor has complete confidence in the person's demonstrated ability and applied knowledge</w:t>
            </w:r>
          </w:p>
          <w:p w:rsidR="00000000" w:rsidRPr="00EB36C1" w:rsidP="00EB36C1">
            <w:pPr>
              <w:pStyle w:val="ListBullet"/>
            </w:pPr>
            <w:r w:rsidRPr="00EB36C1">
              <w:t>all assessment that is part of a structured learning experience must include a combination o</w:t>
            </w:r>
            <w:r w:rsidRPr="00EB36C1">
              <w:t>f direct, indirect and supplementary evidence.</w:t>
            </w:r>
          </w:p>
          <w:p w:rsidR="00000000" w:rsidRPr="00EB36C1" w:rsidP="00EB36C1">
            <w:pPr>
              <w:pStyle w:val="BodyText"/>
            </w:pPr>
            <w:r w:rsidRPr="00EB36C1">
              <w:t>Assessment processes and techniques should as far as is practical take into account the language, literacy and numeracy capacity of the candidate in relation to the competency being assessed.</w:t>
            </w:r>
          </w:p>
          <w:p w:rsidR="00000000" w:rsidRPr="00EB36C1" w:rsidP="00EB36C1">
            <w:pPr>
              <w:pStyle w:val="BodyText"/>
            </w:pPr>
            <w:r w:rsidRPr="00EB36C1">
              <w:t xml:space="preserve">Supplementary evidence of competency may be obtained from relevant authenticated documentation from third parties, such as existing supervisors, team leaders or specialist training staff. </w:t>
            </w:r>
          </w:p>
        </w:tc>
      </w:tr>
    </w:tbl>
    <w:p w:rsidR="00E25E2C" w:rsidP="00EB36C1">
      <w:pPr>
        <w:pStyle w:val="BodyText"/>
      </w:pPr>
    </w:p>
    <w:p w:rsidR="00E25E2C" w:rsidP="00EB36C1">
      <w:pPr>
        <w:pStyle w:val="BodyText"/>
      </w:pPr>
    </w:p>
    <w:p w:rsidR="00000000" w:rsidRPr="00EB36C1" w:rsidP="00EB36C1">
      <w:pPr>
        <w:pStyle w:val="Heading1"/>
      </w:pPr>
      <w:bookmarkStart w:id="11" w:name="O_250582"/>
      <w:bookmarkEnd w:id="11"/>
      <w:r w:rsidRPr="00EB36C1">
        <w:t>Range Statement</w:t>
      </w:r>
    </w:p>
    <w:tbl>
      <w:tblPr>
        <w:tblW w:w="0" w:type="auto"/>
        <w:tblLayout w:type="fixed"/>
        <w:tblCellMar>
          <w:left w:w="62" w:type="dxa"/>
          <w:right w:w="62" w:type="dxa"/>
        </w:tblCellMar>
        <w:tblLook w:val="0000"/>
      </w:tblPr>
      <w:tblGrid>
        <w:gridCol w:w="3500"/>
        <w:gridCol w:w="5022"/>
      </w:tblGrid>
      <w:tr w:rsidTr="00E25E2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B36C1">
            <w:pPr>
              <w:pStyle w:val="BodyText"/>
              <w:rPr>
                <w:lang w:val="en-NZ"/>
              </w:rPr>
            </w:pPr>
            <w:r w:rsidRPr="00EB36C1">
              <w:rPr>
                <w:rStyle w:val="SpecialBold"/>
              </w:rPr>
              <w:t>RANGE STATEMENT</w:t>
            </w:r>
          </w:p>
        </w:tc>
      </w:tr>
      <w:tr w:rsidTr="00E25E2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B36C1">
            <w:pPr>
              <w:pStyle w:val="BodyText"/>
              <w:rPr>
                <w:lang w:val="en-NZ"/>
              </w:rPr>
            </w:pPr>
            <w:r w:rsidRPr="00EB36C1">
              <w:t>The range statement relates to the unit of competency as a whole. It allows for different work environments and situations that may affect performance. Bold italicised wording, if used in the performance criteria, is detailed below. Essential operating con</w:t>
            </w:r>
            <w:r w:rsidRPr="00EB36C1">
              <w:t>ditions that may be present with training and assessment (depending on the work situation, needs of the candidate, accessibility of the item, and local industry and regional contexts) may also be included.</w:t>
            </w:r>
          </w:p>
        </w:tc>
      </w:tr>
      <w:tr w:rsidTr="00E25E2C">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BoldandItalics"/>
              </w:rPr>
              <w:t>Plumbing system</w:t>
            </w:r>
            <w:r w:rsidRPr="00EB36C1">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EB36C1" w:rsidP="00EB36C1">
            <w:pPr>
              <w:pStyle w:val="ListBullet"/>
            </w:pPr>
            <w:r w:rsidRPr="00EB36C1">
              <w:t>air conditioning</w:t>
            </w:r>
          </w:p>
          <w:p w:rsidR="00000000" w:rsidRPr="00EB36C1" w:rsidP="00EB36C1">
            <w:pPr>
              <w:pStyle w:val="ListBullet"/>
            </w:pPr>
            <w:r w:rsidRPr="00EB36C1">
              <w:t>c</w:t>
            </w:r>
            <w:r w:rsidRPr="00EB36C1">
              <w:t>ompressed air</w:t>
            </w:r>
          </w:p>
          <w:p w:rsidR="00000000" w:rsidRPr="00EB36C1" w:rsidP="00EB36C1">
            <w:pPr>
              <w:pStyle w:val="ListBullet"/>
            </w:pPr>
            <w:r w:rsidRPr="00EB36C1">
              <w:t>hose reels</w:t>
            </w:r>
          </w:p>
          <w:p w:rsidR="00000000" w:rsidRPr="00EB36C1" w:rsidP="00EB36C1">
            <w:pPr>
              <w:pStyle w:val="ListBullet"/>
            </w:pPr>
            <w:r w:rsidRPr="00EB36C1">
              <w:t>hydrants</w:t>
            </w:r>
          </w:p>
          <w:p w:rsidR="00000000" w:rsidRPr="00EB36C1" w:rsidP="00EB36C1">
            <w:pPr>
              <w:pStyle w:val="ListBullet"/>
            </w:pPr>
            <w:r w:rsidRPr="00EB36C1">
              <w:t>roofing</w:t>
            </w:r>
          </w:p>
          <w:p w:rsidR="00000000" w:rsidRPr="00EB36C1" w:rsidP="00EB36C1">
            <w:pPr>
              <w:pStyle w:val="ListBullet"/>
            </w:pPr>
            <w:r w:rsidRPr="00EB36C1">
              <w:t>sanitary plumbing and drainage</w:t>
            </w:r>
          </w:p>
          <w:p w:rsidR="00000000" w:rsidRPr="00EB36C1" w:rsidP="00EB36C1">
            <w:pPr>
              <w:pStyle w:val="ListBullet"/>
            </w:pPr>
            <w:r w:rsidRPr="00EB36C1">
              <w:t>sprinklers</w:t>
            </w:r>
          </w:p>
          <w:p w:rsidR="00000000" w:rsidRPr="00EB36C1" w:rsidP="00EB36C1">
            <w:pPr>
              <w:pStyle w:val="ListBullet"/>
            </w:pPr>
            <w:r w:rsidRPr="00EB36C1">
              <w:t>steam</w:t>
            </w:r>
          </w:p>
          <w:p w:rsidR="00000000" w:rsidRPr="00EB36C1" w:rsidP="00EB36C1">
            <w:pPr>
              <w:pStyle w:val="ListBullet"/>
            </w:pPr>
            <w:r w:rsidRPr="00EB36C1">
              <w:t>stormwater</w:t>
            </w:r>
          </w:p>
          <w:p w:rsidR="00000000" w:rsidRPr="00EB36C1" w:rsidP="00EB36C1">
            <w:pPr>
              <w:pStyle w:val="ListBullet"/>
            </w:pPr>
            <w:r w:rsidRPr="00EB36C1">
              <w:t>trade waste</w:t>
            </w:r>
          </w:p>
          <w:p w:rsidR="00000000" w:rsidRPr="00EB36C1" w:rsidP="00EB36C1">
            <w:pPr>
              <w:pStyle w:val="ListBullet"/>
            </w:pPr>
            <w:r w:rsidRPr="00EB36C1">
              <w:t>ventilation</w:t>
            </w:r>
          </w:p>
          <w:p w:rsidR="00000000" w:rsidRPr="00EB36C1" w:rsidP="00EB36C1">
            <w:pPr>
              <w:pStyle w:val="ListBullet"/>
            </w:pPr>
            <w:r w:rsidRPr="00EB36C1">
              <w:t>wastewater</w:t>
            </w:r>
          </w:p>
          <w:p w:rsidR="00000000" w:rsidP="00EB36C1">
            <w:pPr>
              <w:pStyle w:val="ListBullet"/>
              <w:rPr>
                <w:lang w:val="en-NZ"/>
              </w:rPr>
            </w:pPr>
            <w:r w:rsidRPr="00EB36C1">
              <w:t>water supply.</w:t>
            </w:r>
          </w:p>
        </w:tc>
      </w:tr>
      <w:tr w:rsidTr="00E25E2C">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BoldandItalics"/>
              </w:rPr>
              <w:t>Aspect of a plumbing system</w:t>
            </w:r>
            <w:r w:rsidRPr="00EB36C1">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EB36C1" w:rsidP="00EB36C1">
            <w:pPr>
              <w:pStyle w:val="ListBullet"/>
            </w:pPr>
            <w:r w:rsidRPr="00EB36C1">
              <w:t>backflow prevention</w:t>
            </w:r>
          </w:p>
          <w:p w:rsidR="00000000" w:rsidRPr="00EB36C1" w:rsidP="00EB36C1">
            <w:pPr>
              <w:pStyle w:val="ListBullet"/>
            </w:pPr>
            <w:r w:rsidRPr="00EB36C1">
              <w:t>flows</w:t>
            </w:r>
          </w:p>
          <w:p w:rsidR="00000000" w:rsidRPr="00EB36C1" w:rsidP="00EB36C1">
            <w:pPr>
              <w:pStyle w:val="ListBullet"/>
            </w:pPr>
            <w:r w:rsidRPr="00EB36C1">
              <w:t>materials</w:t>
            </w:r>
          </w:p>
          <w:p w:rsidR="00000000" w:rsidRPr="00EB36C1" w:rsidP="00EB36C1">
            <w:pPr>
              <w:pStyle w:val="ListBullet"/>
            </w:pPr>
            <w:r w:rsidRPr="00EB36C1">
              <w:t>solar heating</w:t>
            </w:r>
          </w:p>
          <w:p w:rsidR="00000000" w:rsidRPr="00EB36C1" w:rsidP="00EB36C1">
            <w:pPr>
              <w:pStyle w:val="ListBullet"/>
            </w:pPr>
            <w:r w:rsidRPr="00EB36C1">
              <w:t>trapping</w:t>
            </w:r>
          </w:p>
          <w:p w:rsidR="00000000" w:rsidRPr="00EB36C1" w:rsidP="00EB36C1">
            <w:pPr>
              <w:pStyle w:val="ListBullet"/>
            </w:pPr>
            <w:r w:rsidRPr="00EB36C1">
              <w:t>valves</w:t>
            </w:r>
          </w:p>
          <w:p w:rsidR="00000000" w:rsidRPr="00EB36C1" w:rsidP="00EB36C1">
            <w:pPr>
              <w:pStyle w:val="ListBullet"/>
            </w:pPr>
            <w:r w:rsidRPr="00EB36C1">
              <w:t>ventilation</w:t>
            </w:r>
          </w:p>
          <w:p w:rsidR="00000000" w:rsidP="00EB36C1">
            <w:pPr>
              <w:pStyle w:val="ListBullet"/>
              <w:rPr>
                <w:lang w:val="en-NZ"/>
              </w:rPr>
            </w:pPr>
            <w:r w:rsidRPr="00EB36C1">
              <w:t>water heating.</w:t>
            </w:r>
          </w:p>
        </w:tc>
      </w:tr>
      <w:tr w:rsidTr="00E25E2C">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BoldandItalics"/>
              </w:rPr>
              <w:t>Analysis</w:t>
            </w:r>
            <w:r w:rsidRPr="00EB36C1">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EB36C1" w:rsidP="00EB36C1">
            <w:pPr>
              <w:pStyle w:val="ListBullet"/>
            </w:pPr>
            <w:r w:rsidRPr="00EB36C1">
              <w:t>durability, longevity and practicality</w:t>
            </w:r>
          </w:p>
          <w:p w:rsidR="00000000" w:rsidRPr="00EB36C1" w:rsidP="00EB36C1">
            <w:pPr>
              <w:pStyle w:val="ListBullet"/>
            </w:pPr>
            <w:r w:rsidRPr="00EB36C1">
              <w:t>health issues and concerns</w:t>
            </w:r>
          </w:p>
          <w:p w:rsidR="00000000" w:rsidRPr="00EB36C1" w:rsidP="00EB36C1">
            <w:pPr>
              <w:pStyle w:val="ListBullet"/>
            </w:pPr>
            <w:r w:rsidRPr="00EB36C1">
              <w:t>impacts, including:</w:t>
            </w:r>
          </w:p>
          <w:p w:rsidR="00000000" w:rsidRPr="00EB36C1" w:rsidP="00EB36C1">
            <w:pPr>
              <w:pStyle w:val="ListBullet2"/>
            </w:pPr>
            <w:r w:rsidRPr="00EB36C1">
              <w:t>environmental</w:t>
            </w:r>
          </w:p>
          <w:p w:rsidR="00000000" w:rsidRPr="00EB36C1" w:rsidP="00EB36C1">
            <w:pPr>
              <w:pStyle w:val="ListBullet2"/>
            </w:pPr>
            <w:r w:rsidRPr="00EB36C1">
              <w:t>financial</w:t>
            </w:r>
          </w:p>
          <w:p w:rsidR="00000000" w:rsidRPr="00EB36C1" w:rsidP="00EB36C1">
            <w:pPr>
              <w:pStyle w:val="ListBullet2"/>
            </w:pPr>
            <w:r w:rsidRPr="00EB36C1">
              <w:t>health</w:t>
            </w:r>
          </w:p>
          <w:p w:rsidR="00000000" w:rsidRPr="00EB36C1" w:rsidP="00EB36C1">
            <w:pPr>
              <w:pStyle w:val="ListBullet2"/>
            </w:pPr>
            <w:r w:rsidRPr="00EB36C1">
              <w:t>personal</w:t>
            </w:r>
          </w:p>
          <w:p w:rsidR="00000000" w:rsidRPr="00EB36C1" w:rsidP="00EB36C1">
            <w:pPr>
              <w:pStyle w:val="ListBullet2"/>
            </w:pPr>
            <w:r w:rsidRPr="00EB36C1">
              <w:t>system processes or aspect of the system</w:t>
            </w:r>
          </w:p>
          <w:p w:rsidR="00000000" w:rsidRPr="00EB36C1" w:rsidP="00EB36C1">
            <w:pPr>
              <w:pStyle w:val="ListBullet"/>
            </w:pPr>
            <w:r w:rsidRPr="00EB36C1">
              <w:t>legislation</w:t>
            </w:r>
          </w:p>
          <w:p w:rsidR="00000000" w:rsidRPr="00EB36C1" w:rsidP="00EB36C1">
            <w:pPr>
              <w:pStyle w:val="ListBullet"/>
            </w:pPr>
            <w:r w:rsidRPr="00EB36C1">
              <w:t>materials</w:t>
            </w:r>
          </w:p>
          <w:p w:rsidR="00000000" w:rsidRPr="00EB36C1" w:rsidP="00EB36C1">
            <w:pPr>
              <w:pStyle w:val="ListBullet"/>
            </w:pPr>
            <w:r w:rsidRPr="00EB36C1">
              <w:t>needs or desired outcomes</w:t>
            </w:r>
          </w:p>
          <w:p w:rsidR="00000000" w:rsidRPr="00EB36C1" w:rsidP="00EB36C1">
            <w:pPr>
              <w:pStyle w:val="ListBullet"/>
            </w:pPr>
            <w:r w:rsidRPr="00EB36C1">
              <w:t>practices and work or installation methods</w:t>
            </w:r>
          </w:p>
          <w:p w:rsidR="00000000" w:rsidRPr="00EB36C1" w:rsidP="00EB36C1">
            <w:pPr>
              <w:pStyle w:val="ListBullet"/>
            </w:pPr>
            <w:r w:rsidRPr="00EB36C1">
              <w:t>safety systems and practices</w:t>
            </w:r>
          </w:p>
          <w:p w:rsidR="00000000" w:rsidP="00EB36C1">
            <w:pPr>
              <w:pStyle w:val="ListBullet"/>
              <w:rPr>
                <w:lang w:val="en-NZ"/>
              </w:rPr>
            </w:pPr>
            <w:r w:rsidRPr="00EB36C1">
              <w:t>sustainability.</w:t>
            </w:r>
          </w:p>
        </w:tc>
      </w:tr>
      <w:tr w:rsidTr="00E25E2C">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BoldandItalics"/>
              </w:rPr>
              <w:t>Literature review and research</w:t>
            </w:r>
            <w:r w:rsidRPr="00EB36C1">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EB36C1" w:rsidP="00EB36C1">
            <w:pPr>
              <w:pStyle w:val="ListBullet"/>
            </w:pPr>
            <w:r w:rsidRPr="00EB36C1">
              <w:t>industry personnel</w:t>
            </w:r>
          </w:p>
          <w:p w:rsidR="00000000" w:rsidRPr="00EB36C1" w:rsidP="00EB36C1">
            <w:pPr>
              <w:pStyle w:val="ListBullet"/>
            </w:pPr>
            <w:r w:rsidRPr="00EB36C1">
              <w:t>internet</w:t>
            </w:r>
          </w:p>
          <w:p w:rsidR="00000000" w:rsidRPr="00EB36C1" w:rsidP="00EB36C1">
            <w:pPr>
              <w:pStyle w:val="ListBullet"/>
            </w:pPr>
            <w:r w:rsidRPr="00EB36C1">
              <w:t>journals</w:t>
            </w:r>
          </w:p>
          <w:p w:rsidR="00000000" w:rsidRPr="00EB36C1" w:rsidP="00EB36C1">
            <w:pPr>
              <w:pStyle w:val="ListBullet"/>
            </w:pPr>
            <w:r w:rsidRPr="00EB36C1">
              <w:t>legislation and standards</w:t>
            </w:r>
          </w:p>
          <w:p w:rsidR="00000000" w:rsidRPr="00EB36C1" w:rsidP="00EB36C1">
            <w:pPr>
              <w:pStyle w:val="ListBullet"/>
            </w:pPr>
            <w:r w:rsidRPr="00EB36C1">
              <w:t>manufacturers' literature</w:t>
            </w:r>
          </w:p>
          <w:p w:rsidR="00000000" w:rsidRPr="00EB36C1" w:rsidP="00EB36C1">
            <w:pPr>
              <w:pStyle w:val="ListBullet"/>
            </w:pPr>
            <w:r w:rsidRPr="00EB36C1">
              <w:t>textbooks</w:t>
            </w:r>
          </w:p>
          <w:p w:rsidR="00000000" w:rsidP="00EB36C1">
            <w:pPr>
              <w:pStyle w:val="ListBullet"/>
              <w:rPr>
                <w:lang w:val="en-NZ"/>
              </w:rPr>
            </w:pPr>
            <w:r w:rsidRPr="00EB36C1">
              <w:t>trade publications.</w:t>
            </w:r>
          </w:p>
        </w:tc>
      </w:tr>
      <w:tr w:rsidTr="00E25E2C">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BoldandItalics"/>
              </w:rPr>
              <w:t>Evaluations</w:t>
            </w:r>
            <w:r w:rsidRPr="00EB36C1">
              <w:t xml:space="preserve"> should:</w:t>
            </w:r>
          </w:p>
        </w:tc>
        <w:tc>
          <w:tcPr>
            <w:tcW w:w="5022" w:type="dxa"/>
            <w:tcBorders>
              <w:top w:val="nil"/>
              <w:left w:val="nil"/>
              <w:bottom w:val="nil"/>
              <w:right w:val="nil"/>
            </w:tcBorders>
            <w:tcMar>
              <w:top w:w="0" w:type="dxa"/>
              <w:left w:w="62" w:type="dxa"/>
              <w:bottom w:w="0" w:type="dxa"/>
              <w:right w:w="62" w:type="dxa"/>
            </w:tcMar>
          </w:tcPr>
          <w:p w:rsidR="00000000" w:rsidRPr="00EB36C1" w:rsidP="00EB36C1">
            <w:pPr>
              <w:pStyle w:val="ListBullet"/>
            </w:pPr>
            <w:r w:rsidRPr="00EB36C1">
              <w:t>draw together key aspects of the project</w:t>
            </w:r>
          </w:p>
          <w:p w:rsidR="00000000" w:rsidP="00EB36C1">
            <w:pPr>
              <w:pStyle w:val="ListBullet"/>
              <w:rPr>
                <w:lang w:val="en-NZ"/>
              </w:rPr>
            </w:pPr>
            <w:r w:rsidRPr="00EB36C1">
              <w:t>identify interrelationships of elements identified through the analysis.</w:t>
            </w:r>
          </w:p>
        </w:tc>
      </w:tr>
      <w:tr w:rsidTr="00E25E2C">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BoldandItalics"/>
              </w:rPr>
              <w:t>Alternatives and redundancies</w:t>
            </w:r>
            <w:r w:rsidRPr="00EB36C1">
              <w:t xml:space="preserve"> may include:</w:t>
            </w:r>
          </w:p>
        </w:tc>
        <w:tc>
          <w:tcPr>
            <w:tcW w:w="5022" w:type="dxa"/>
            <w:tcBorders>
              <w:top w:val="nil"/>
              <w:left w:val="nil"/>
              <w:bottom w:val="nil"/>
              <w:right w:val="nil"/>
            </w:tcBorders>
            <w:tcMar>
              <w:top w:w="0" w:type="dxa"/>
              <w:left w:w="62" w:type="dxa"/>
              <w:bottom w:w="0" w:type="dxa"/>
              <w:right w:w="62" w:type="dxa"/>
            </w:tcMar>
          </w:tcPr>
          <w:p w:rsidR="00000000" w:rsidRPr="00EB36C1" w:rsidP="00EB36C1">
            <w:pPr>
              <w:pStyle w:val="ListBullet"/>
            </w:pPr>
            <w:r w:rsidRPr="00EB36C1">
              <w:t>changes in community expectations</w:t>
            </w:r>
          </w:p>
          <w:p w:rsidR="00000000" w:rsidRPr="00EB36C1" w:rsidP="00EB36C1">
            <w:pPr>
              <w:pStyle w:val="ListBullet"/>
            </w:pPr>
            <w:r w:rsidRPr="00EB36C1">
              <w:t>changes in legislation</w:t>
            </w:r>
          </w:p>
          <w:p w:rsidR="00000000" w:rsidRPr="00EB36C1" w:rsidP="00EB36C1">
            <w:pPr>
              <w:pStyle w:val="ListBullet"/>
            </w:pPr>
            <w:r w:rsidRPr="00EB36C1">
              <w:t>duplication of tasks and processes</w:t>
            </w:r>
          </w:p>
          <w:p w:rsidR="00000000" w:rsidRPr="00EB36C1" w:rsidP="00EB36C1">
            <w:pPr>
              <w:pStyle w:val="ListBullet"/>
            </w:pPr>
            <w:r w:rsidRPr="00EB36C1">
              <w:t>new work practices</w:t>
            </w:r>
          </w:p>
          <w:p w:rsidR="00000000" w:rsidP="00EB36C1">
            <w:pPr>
              <w:pStyle w:val="ListBullet"/>
              <w:rPr>
                <w:lang w:val="en-NZ"/>
              </w:rPr>
            </w:pPr>
            <w:r w:rsidRPr="00EB36C1">
              <w:t>outdated practices and systems, for example systems and processes replaced by new technologies.</w:t>
            </w:r>
          </w:p>
        </w:tc>
      </w:tr>
      <w:tr w:rsidTr="00E25E2C">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BoldandItalics"/>
              </w:rPr>
              <w:t>Conclusions</w:t>
            </w:r>
            <w:r w:rsidRPr="00EB36C1">
              <w:t xml:space="preserve"> may be drawn:</w:t>
            </w:r>
          </w:p>
        </w:tc>
        <w:tc>
          <w:tcPr>
            <w:tcW w:w="5022" w:type="dxa"/>
            <w:tcBorders>
              <w:top w:val="nil"/>
              <w:left w:val="nil"/>
              <w:bottom w:val="nil"/>
              <w:right w:val="nil"/>
            </w:tcBorders>
            <w:tcMar>
              <w:top w:w="0" w:type="dxa"/>
              <w:left w:w="62" w:type="dxa"/>
              <w:bottom w:w="0" w:type="dxa"/>
              <w:right w:w="62" w:type="dxa"/>
            </w:tcMar>
          </w:tcPr>
          <w:p w:rsidR="00000000" w:rsidP="00EB36C1">
            <w:pPr>
              <w:pStyle w:val="ListBullet"/>
              <w:rPr>
                <w:lang w:val="en-NZ"/>
              </w:rPr>
            </w:pPr>
            <w:r w:rsidRPr="00EB36C1">
              <w:t>on any or all aspects of the project but must be suppor</w:t>
            </w:r>
            <w:r w:rsidRPr="00EB36C1">
              <w:t>ted by analysis and research.</w:t>
            </w:r>
          </w:p>
        </w:tc>
      </w:tr>
      <w:tr w:rsidTr="00E25E2C">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BoldandItalics"/>
              </w:rPr>
              <w:t>Recommendations</w:t>
            </w:r>
            <w:r w:rsidRPr="00EB36C1">
              <w:t xml:space="preserve"> should point to future directions and may include:</w:t>
            </w:r>
          </w:p>
        </w:tc>
        <w:tc>
          <w:tcPr>
            <w:tcW w:w="5022" w:type="dxa"/>
            <w:tcBorders>
              <w:top w:val="nil"/>
              <w:left w:val="nil"/>
              <w:bottom w:val="nil"/>
              <w:right w:val="nil"/>
            </w:tcBorders>
            <w:tcMar>
              <w:top w:w="0" w:type="dxa"/>
              <w:left w:w="62" w:type="dxa"/>
              <w:bottom w:w="0" w:type="dxa"/>
              <w:right w:w="62" w:type="dxa"/>
            </w:tcMar>
          </w:tcPr>
          <w:p w:rsidR="00000000" w:rsidRPr="00EB36C1" w:rsidP="00EB36C1">
            <w:pPr>
              <w:pStyle w:val="ListBullet"/>
            </w:pPr>
            <w:r w:rsidRPr="00EB36C1">
              <w:t>changes in materials to reduce impacts on cost, health, safety and the environment</w:t>
            </w:r>
          </w:p>
          <w:p w:rsidR="00000000" w:rsidRPr="00EB36C1" w:rsidP="00EB36C1">
            <w:pPr>
              <w:pStyle w:val="ListBullet"/>
            </w:pPr>
            <w:r w:rsidRPr="00EB36C1">
              <w:t>changes in work practices</w:t>
            </w:r>
          </w:p>
          <w:p w:rsidR="00000000" w:rsidRPr="00EB36C1" w:rsidP="00EB36C1">
            <w:pPr>
              <w:pStyle w:val="ListBullet"/>
            </w:pPr>
            <w:r w:rsidRPr="00EB36C1">
              <w:t>deletion of old systems and procedures</w:t>
            </w:r>
          </w:p>
          <w:p w:rsidR="00000000" w:rsidRPr="00EB36C1" w:rsidP="00EB36C1">
            <w:pPr>
              <w:pStyle w:val="ListBullet"/>
            </w:pPr>
            <w:r w:rsidRPr="00EB36C1">
              <w:t>legislati</w:t>
            </w:r>
            <w:r w:rsidRPr="00EB36C1">
              <w:t>on changes</w:t>
            </w:r>
          </w:p>
          <w:p w:rsidR="00000000" w:rsidP="00EB36C1">
            <w:pPr>
              <w:pStyle w:val="ListBullet"/>
              <w:rPr>
                <w:lang w:val="en-NZ"/>
              </w:rPr>
            </w:pPr>
            <w:r w:rsidRPr="00EB36C1">
              <w:t>new systems and procedures.</w:t>
            </w:r>
          </w:p>
        </w:tc>
      </w:tr>
      <w:tr w:rsidTr="00E25E2C">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BoldandItalics"/>
              </w:rPr>
              <w:t>Report</w:t>
            </w:r>
            <w:r w:rsidRPr="00EB36C1">
              <w:t>:</w:t>
            </w:r>
          </w:p>
        </w:tc>
        <w:tc>
          <w:tcPr>
            <w:tcW w:w="5022" w:type="dxa"/>
            <w:tcBorders>
              <w:top w:val="nil"/>
              <w:left w:val="nil"/>
              <w:bottom w:val="nil"/>
              <w:right w:val="nil"/>
            </w:tcBorders>
            <w:tcMar>
              <w:top w:w="0" w:type="dxa"/>
              <w:left w:w="62" w:type="dxa"/>
              <w:bottom w:w="0" w:type="dxa"/>
              <w:right w:w="62" w:type="dxa"/>
            </w:tcMar>
          </w:tcPr>
          <w:p w:rsidR="00000000" w:rsidRPr="00EB36C1" w:rsidP="00EB36C1">
            <w:pPr>
              <w:pStyle w:val="ListBullet"/>
            </w:pPr>
            <w:r w:rsidRPr="00EB36C1">
              <w:t>should cover:</w:t>
            </w:r>
          </w:p>
          <w:p w:rsidR="00000000" w:rsidRPr="00EB36C1" w:rsidP="00EB36C1">
            <w:pPr>
              <w:pStyle w:val="ListBullet2"/>
            </w:pPr>
            <w:r w:rsidRPr="00EB36C1">
              <w:t>outline of the project</w:t>
            </w:r>
          </w:p>
          <w:p w:rsidR="00000000" w:rsidRPr="00EB36C1" w:rsidP="00EB36C1">
            <w:pPr>
              <w:pStyle w:val="ListBullet2"/>
            </w:pPr>
            <w:r w:rsidRPr="00EB36C1">
              <w:t>research and literature review</w:t>
            </w:r>
          </w:p>
          <w:p w:rsidR="00000000" w:rsidRPr="00EB36C1" w:rsidP="00EB36C1">
            <w:pPr>
              <w:pStyle w:val="ListBullet2"/>
            </w:pPr>
            <w:r w:rsidRPr="00EB36C1">
              <w:t>analysis</w:t>
            </w:r>
          </w:p>
          <w:p w:rsidR="00000000" w:rsidRPr="00EB36C1" w:rsidP="00EB36C1">
            <w:pPr>
              <w:pStyle w:val="ListBullet2"/>
            </w:pPr>
            <w:r w:rsidRPr="00EB36C1">
              <w:t>evaluation</w:t>
            </w:r>
          </w:p>
          <w:p w:rsidR="00000000" w:rsidRPr="00EB36C1" w:rsidP="00EB36C1">
            <w:pPr>
              <w:pStyle w:val="ListBullet2"/>
            </w:pPr>
            <w:r w:rsidRPr="00EB36C1">
              <w:t>alternative solutions</w:t>
            </w:r>
          </w:p>
          <w:p w:rsidR="00000000" w:rsidRPr="00EB36C1" w:rsidP="00EB36C1">
            <w:pPr>
              <w:pStyle w:val="ListBullet2"/>
            </w:pPr>
            <w:r w:rsidRPr="00EB36C1">
              <w:t>conclusions</w:t>
            </w:r>
          </w:p>
          <w:p w:rsidR="00000000" w:rsidRPr="00EB36C1" w:rsidP="00EB36C1">
            <w:pPr>
              <w:pStyle w:val="ListBullet2"/>
            </w:pPr>
            <w:r w:rsidRPr="00EB36C1">
              <w:t>recommendations</w:t>
            </w:r>
          </w:p>
          <w:p w:rsidR="00000000" w:rsidRPr="00EB36C1" w:rsidP="00EB36C1">
            <w:pPr>
              <w:pStyle w:val="ListBullet"/>
            </w:pPr>
            <w:r w:rsidRPr="00EB36C1">
              <w:t>may be in any recognised and professional format</w:t>
            </w:r>
          </w:p>
          <w:p w:rsidR="00000000" w:rsidP="00EB36C1">
            <w:pPr>
              <w:pStyle w:val="ListBullet"/>
              <w:rPr>
                <w:lang w:val="en-NZ"/>
              </w:rPr>
            </w:pPr>
            <w:r w:rsidRPr="00EB36C1">
              <w:t>must be appropriately referenced.</w:t>
            </w:r>
          </w:p>
        </w:tc>
      </w:tr>
      <w:tr w:rsidTr="00E25E2C">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t xml:space="preserve">Report may be </w:t>
            </w:r>
            <w:r w:rsidRPr="00EB36C1">
              <w:rPr>
                <w:rStyle w:val="BoldandItalics"/>
              </w:rPr>
              <w:t>published</w:t>
            </w:r>
            <w:r w:rsidRPr="00EB36C1">
              <w:t>:</w:t>
            </w:r>
          </w:p>
        </w:tc>
        <w:tc>
          <w:tcPr>
            <w:tcW w:w="5022" w:type="dxa"/>
            <w:tcBorders>
              <w:top w:val="nil"/>
              <w:left w:val="nil"/>
              <w:bottom w:val="nil"/>
              <w:right w:val="nil"/>
            </w:tcBorders>
            <w:tcMar>
              <w:top w:w="0" w:type="dxa"/>
              <w:left w:w="62" w:type="dxa"/>
              <w:bottom w:w="0" w:type="dxa"/>
              <w:right w:w="62" w:type="dxa"/>
            </w:tcMar>
          </w:tcPr>
          <w:p w:rsidR="00000000" w:rsidRPr="00EB36C1" w:rsidP="00EB36C1">
            <w:pPr>
              <w:pStyle w:val="ListBullet"/>
            </w:pPr>
            <w:r w:rsidRPr="00EB36C1">
              <w:t>in journals</w:t>
            </w:r>
          </w:p>
          <w:p w:rsidR="00000000" w:rsidRPr="00EB36C1" w:rsidP="00EB36C1">
            <w:pPr>
              <w:pStyle w:val="ListBullet"/>
            </w:pPr>
            <w:r w:rsidRPr="00EB36C1">
              <w:t>in textbooks</w:t>
            </w:r>
          </w:p>
          <w:p w:rsidR="00000000" w:rsidRPr="00EB36C1" w:rsidP="00EB36C1">
            <w:pPr>
              <w:pStyle w:val="ListBullet"/>
            </w:pPr>
            <w:r w:rsidRPr="00EB36C1">
              <w:t>in trade publications</w:t>
            </w:r>
          </w:p>
          <w:p w:rsidR="00000000" w:rsidRPr="00EB36C1" w:rsidP="00EB36C1">
            <w:pPr>
              <w:pStyle w:val="ListBullet"/>
            </w:pPr>
            <w:r w:rsidRPr="00EB36C1">
              <w:t>on the internet.</w:t>
            </w:r>
          </w:p>
        </w:tc>
      </w:tr>
    </w:tbl>
    <w:p w:rsidR="00E25E2C" w:rsidP="00EB36C1">
      <w:pPr>
        <w:pStyle w:val="BodyText"/>
      </w:pPr>
    </w:p>
    <w:p w:rsidR="00E25E2C" w:rsidP="00EB36C1">
      <w:pPr>
        <w:pStyle w:val="BodyText"/>
      </w:pPr>
    </w:p>
    <w:p w:rsidR="00000000" w:rsidRPr="00EB36C1" w:rsidP="00EB36C1">
      <w:pPr>
        <w:pStyle w:val="Heading1"/>
      </w:pPr>
      <w:bookmarkStart w:id="12" w:name="O_200095"/>
      <w:bookmarkEnd w:id="12"/>
      <w:r w:rsidRPr="00EB36C1">
        <w:t>Unit Sector(s)</w:t>
      </w:r>
    </w:p>
    <w:tbl>
      <w:tblPr>
        <w:tblW w:w="0" w:type="auto"/>
        <w:tblLayout w:type="fixed"/>
        <w:tblCellMar>
          <w:left w:w="62" w:type="dxa"/>
          <w:right w:w="62" w:type="dxa"/>
        </w:tblCellMar>
        <w:tblLook w:val="0000"/>
      </w:tblPr>
      <w:tblGrid>
        <w:gridCol w:w="2615"/>
        <w:gridCol w:w="5907"/>
      </w:tblGrid>
      <w:tr w:rsidTr="00E25E2C">
        <w:tblPrEx>
          <w:tblW w:w="0" w:type="auto"/>
          <w:tblLayout w:type="fixed"/>
          <w:tblCellMar>
            <w:left w:w="62" w:type="dxa"/>
            <w:right w:w="62" w:type="dxa"/>
          </w:tblCellMar>
          <w:tblLook w:val="0000"/>
        </w:tblPrEx>
        <w:trPr>
          <w:tblHeader/>
        </w:trPr>
        <w:tc>
          <w:tcPr>
            <w:tcW w:w="2615"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SpecialBold"/>
              </w:rPr>
              <w:t>Unit sector</w:t>
            </w:r>
          </w:p>
        </w:tc>
        <w:tc>
          <w:tcPr>
            <w:tcW w:w="5907" w:type="dxa"/>
            <w:tcBorders>
              <w:top w:val="nil"/>
              <w:left w:val="nil"/>
              <w:bottom w:val="nil"/>
              <w:right w:val="nil"/>
            </w:tcBorders>
            <w:tcMar>
              <w:top w:w="0" w:type="dxa"/>
              <w:left w:w="62" w:type="dxa"/>
              <w:bottom w:w="0" w:type="dxa"/>
              <w:right w:w="62" w:type="dxa"/>
            </w:tcMar>
          </w:tcPr>
          <w:p w:rsidR="00000000" w:rsidRPr="00EB36C1" w:rsidP="00EB36C1">
            <w:pPr>
              <w:pStyle w:val="BodyText"/>
            </w:pPr>
            <w:r w:rsidRPr="00EB36C1">
              <w:t>Plumbing and services</w:t>
            </w:r>
          </w:p>
        </w:tc>
      </w:tr>
    </w:tbl>
    <w:p w:rsidR="00E25E2C" w:rsidP="00EB36C1">
      <w:pPr>
        <w:pStyle w:val="BodyText"/>
      </w:pPr>
    </w:p>
    <w:p w:rsidR="00E25E2C" w:rsidP="00EB36C1">
      <w:pPr>
        <w:pStyle w:val="BodyText"/>
      </w:pPr>
    </w:p>
    <w:p w:rsidR="00000000" w:rsidRPr="00EB36C1" w:rsidP="00EB36C1">
      <w:pPr>
        <w:pStyle w:val="Heading1"/>
      </w:pPr>
      <w:bookmarkStart w:id="13" w:name="O_200092"/>
      <w:bookmarkEnd w:id="13"/>
      <w:r w:rsidRPr="00EB36C1">
        <w:t>Co-requisite units</w:t>
      </w:r>
    </w:p>
    <w:tbl>
      <w:tblPr>
        <w:tblW w:w="0" w:type="auto"/>
        <w:tblLayout w:type="fixed"/>
        <w:tblCellMar>
          <w:left w:w="62" w:type="dxa"/>
          <w:right w:w="62" w:type="dxa"/>
        </w:tblCellMar>
        <w:tblLook w:val="0000"/>
      </w:tblPr>
      <w:tblGrid>
        <w:gridCol w:w="2621"/>
        <w:gridCol w:w="1339"/>
        <w:gridCol w:w="4562"/>
      </w:tblGrid>
      <w:tr w:rsidTr="00E25E2C">
        <w:tblPrEx>
          <w:tblW w:w="0" w:type="auto"/>
          <w:tblLayout w:type="fixed"/>
          <w:tblCellMar>
            <w:left w:w="62" w:type="dxa"/>
            <w:right w:w="62" w:type="dxa"/>
          </w:tblCellMar>
          <w:tblLook w:val="0000"/>
        </w:tblPrEx>
        <w:trPr>
          <w:tblHeader/>
        </w:trPr>
        <w:tc>
          <w:tcPr>
            <w:tcW w:w="2621"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SpecialBold"/>
              </w:rPr>
              <w:t>Co-requisite units</w:t>
            </w:r>
          </w:p>
        </w:tc>
        <w:tc>
          <w:tcPr>
            <w:tcW w:w="5901" w:type="dxa"/>
            <w:gridSpan w:val="2"/>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t>Nil</w:t>
            </w:r>
          </w:p>
        </w:tc>
      </w:tr>
      <w:tr w:rsidTr="00E25E2C">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p>
        </w:tc>
      </w:tr>
      <w:tr w:rsidTr="00E25E2C">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EB36C1" w:rsidP="00EB36C1">
            <w:pPr>
              <w:pStyle w:val="BodyText"/>
            </w:pPr>
          </w:p>
        </w:tc>
      </w:tr>
    </w:tbl>
    <w:p w:rsidR="00E25E2C" w:rsidP="00EB36C1">
      <w:pPr>
        <w:pStyle w:val="BodyText"/>
      </w:pPr>
    </w:p>
    <w:p w:rsidR="00E25E2C" w:rsidP="00EB36C1">
      <w:pPr>
        <w:pStyle w:val="BodyText"/>
      </w:pPr>
    </w:p>
    <w:p w:rsidR="00000000" w:rsidRPr="00EB36C1" w:rsidP="00EB36C1">
      <w:pPr>
        <w:pStyle w:val="Heading1"/>
      </w:pPr>
      <w:bookmarkStart w:id="14" w:name="O_200094"/>
      <w:bookmarkEnd w:id="14"/>
      <w:r w:rsidRPr="00EB36C1">
        <w:t>Functional area</w:t>
      </w:r>
    </w:p>
    <w:tbl>
      <w:tblPr>
        <w:tblW w:w="0" w:type="auto"/>
        <w:tblLayout w:type="fixed"/>
        <w:tblCellMar>
          <w:left w:w="62" w:type="dxa"/>
          <w:right w:w="62" w:type="dxa"/>
        </w:tblCellMar>
        <w:tblLook w:val="0000"/>
      </w:tblPr>
      <w:tblGrid>
        <w:gridCol w:w="2712"/>
        <w:gridCol w:w="5810"/>
      </w:tblGrid>
      <w:tr w:rsidTr="00E25E2C">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EB36C1">
            <w:pPr>
              <w:pStyle w:val="BodyText"/>
              <w:rPr>
                <w:lang w:val="en-NZ"/>
              </w:rPr>
            </w:pPr>
            <w:r w:rsidRPr="00EB36C1">
              <w:rPr>
                <w:rStyle w:val="SpecialBold"/>
              </w:rPr>
              <w:t>Functional area</w:t>
            </w:r>
          </w:p>
        </w:tc>
        <w:tc>
          <w:tcPr>
            <w:tcW w:w="5810" w:type="dxa"/>
            <w:tcBorders>
              <w:top w:val="nil"/>
              <w:left w:val="nil"/>
              <w:bottom w:val="nil"/>
              <w:right w:val="nil"/>
            </w:tcBorders>
            <w:tcMar>
              <w:top w:w="0" w:type="dxa"/>
              <w:left w:w="62" w:type="dxa"/>
              <w:bottom w:w="0" w:type="dxa"/>
              <w:right w:w="62" w:type="dxa"/>
            </w:tcMar>
          </w:tcPr>
          <w:p w:rsidR="00000000" w:rsidRPr="00EB36C1" w:rsidP="00EB36C1">
            <w:pPr>
              <w:pStyle w:val="BodyText"/>
            </w:pPr>
          </w:p>
        </w:tc>
      </w:tr>
    </w:tbl>
    <w:p w:rsidR="00E25E2C" w:rsidP="00EB36C1">
      <w:pPr>
        <w:pStyle w:val="BodyText"/>
      </w:pPr>
    </w:p>
    <w:p w:rsidR="00E25E2C" w:rsidP="00EB36C1">
      <w:pPr>
        <w:pStyle w:val="BodyText"/>
      </w:pPr>
    </w:p>
    <w:p w:rsidR="00000000" w:rsidRPr="00EB36C1" w:rsidP="00EB36C1"/>
    <w:sectPr w:rsidSect="00EB36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6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5E2C" w:rsidP="00E25E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6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E2C" w:rsidP="00EB36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25E2C" w:rsidP="00EB36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25E2C" w:rsidP="00EB36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6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5E2C" w:rsidP="00E25E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6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E2C" w:rsidP="00EB36C1">
    <w:pPr>
      <w:pStyle w:val="Header"/>
      <w:framePr w:wrap="around"/>
    </w:pPr>
    <w:r>
      <w:fldChar w:fldCharType="begin"/>
    </w:r>
    <w:r>
      <w:instrText xml:space="preserve"> TITLE   \* MERGEFORMAT </w:instrText>
    </w:r>
    <w:r>
      <w:fldChar w:fldCharType="separate"/>
    </w:r>
    <w:r>
      <w:t>CPCPPS5009A Analyse and report on technical plumbing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25E2C" w:rsidP="00EB36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1C4C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44BA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C232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6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36C1"/>
    <w:pPr>
      <w:spacing w:before="360" w:after="60"/>
      <w:outlineLvl w:val="0"/>
    </w:pPr>
    <w:rPr>
      <w:sz w:val="32"/>
    </w:rPr>
  </w:style>
  <w:style w:type="paragraph" w:styleId="Heading2">
    <w:name w:val="heading 2"/>
    <w:basedOn w:val="HeadingBase"/>
    <w:next w:val="BodyText"/>
    <w:link w:val="Heading2Char"/>
    <w:qFormat/>
    <w:rsid w:val="00EB36C1"/>
    <w:pPr>
      <w:keepLines/>
      <w:spacing w:before="240" w:after="120"/>
      <w:outlineLvl w:val="1"/>
    </w:pPr>
    <w:rPr>
      <w:sz w:val="28"/>
      <w:szCs w:val="40"/>
    </w:rPr>
  </w:style>
  <w:style w:type="paragraph" w:styleId="Heading3">
    <w:name w:val="heading 3"/>
    <w:basedOn w:val="HeadingBase"/>
    <w:next w:val="BodyText"/>
    <w:link w:val="Heading3Char"/>
    <w:qFormat/>
    <w:rsid w:val="00EB36C1"/>
    <w:pPr>
      <w:spacing w:before="180" w:after="120"/>
      <w:outlineLvl w:val="2"/>
    </w:pPr>
    <w:rPr>
      <w:spacing w:val="-10"/>
      <w:kern w:val="32"/>
    </w:rPr>
  </w:style>
  <w:style w:type="paragraph" w:styleId="Heading4">
    <w:name w:val="heading 4"/>
    <w:basedOn w:val="HeadingBase"/>
    <w:next w:val="BodyText"/>
    <w:link w:val="Heading4Char"/>
    <w:qFormat/>
    <w:rsid w:val="00EB36C1"/>
    <w:pPr>
      <w:spacing w:before="160" w:after="120"/>
      <w:outlineLvl w:val="3"/>
    </w:pPr>
    <w:rPr>
      <w:sz w:val="22"/>
    </w:rPr>
  </w:style>
  <w:style w:type="paragraph" w:styleId="Heading5">
    <w:name w:val="heading 5"/>
    <w:basedOn w:val="HeadingBase"/>
    <w:next w:val="Normal"/>
    <w:link w:val="Heading5Char"/>
    <w:qFormat/>
    <w:rsid w:val="00EB36C1"/>
    <w:pPr>
      <w:spacing w:before="80"/>
      <w:outlineLvl w:val="4"/>
    </w:pPr>
    <w:rPr>
      <w:color w:val="918585"/>
      <w:sz w:val="20"/>
    </w:rPr>
  </w:style>
  <w:style w:type="paragraph" w:styleId="Heading6">
    <w:name w:val="heading 6"/>
    <w:basedOn w:val="HeadingBase"/>
    <w:next w:val="Normal"/>
    <w:link w:val="Heading6Char"/>
    <w:qFormat/>
    <w:rsid w:val="00EB36C1"/>
    <w:pPr>
      <w:spacing w:before="60"/>
      <w:outlineLvl w:val="5"/>
    </w:pPr>
    <w:rPr>
      <w:color w:val="918585"/>
      <w:sz w:val="20"/>
    </w:rPr>
  </w:style>
  <w:style w:type="paragraph" w:styleId="Heading7">
    <w:name w:val="heading 7"/>
    <w:basedOn w:val="Normal"/>
    <w:next w:val="Normal"/>
    <w:link w:val="Heading7Char"/>
    <w:qFormat/>
    <w:rsid w:val="00EB36C1"/>
    <w:pPr>
      <w:ind w:left="720"/>
      <w:outlineLvl w:val="6"/>
    </w:pPr>
    <w:rPr>
      <w:i/>
    </w:rPr>
  </w:style>
  <w:style w:type="paragraph" w:styleId="Heading8">
    <w:name w:val="heading 8"/>
    <w:basedOn w:val="Normal"/>
    <w:next w:val="Normal"/>
    <w:link w:val="Heading8Char"/>
    <w:qFormat/>
    <w:rsid w:val="00EB36C1"/>
    <w:pPr>
      <w:ind w:left="720"/>
      <w:outlineLvl w:val="7"/>
    </w:pPr>
    <w:rPr>
      <w:i/>
    </w:rPr>
  </w:style>
  <w:style w:type="paragraph" w:styleId="Heading9">
    <w:name w:val="heading 9"/>
    <w:basedOn w:val="Normal"/>
    <w:next w:val="Normal"/>
    <w:link w:val="Heading9Char"/>
    <w:qFormat/>
    <w:rsid w:val="00EB36C1"/>
    <w:pPr>
      <w:ind w:left="720"/>
      <w:outlineLvl w:val="8"/>
    </w:pPr>
    <w:rPr>
      <w:i/>
    </w:rPr>
  </w:style>
  <w:style w:type="character" w:default="1" w:styleId="DefaultParagraphFont">
    <w:name w:val="Default Paragraph Font"/>
    <w:uiPriority w:val="1"/>
    <w:unhideWhenUsed/>
    <w:rsid w:val="00EB36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6C1"/>
  </w:style>
  <w:style w:type="character" w:customStyle="1" w:styleId="Heading1Char">
    <w:name w:val="Heading 1 Char"/>
    <w:basedOn w:val="DefaultParagraphFont"/>
    <w:link w:val="Heading1"/>
    <w:rsid w:val="00EB36C1"/>
    <w:rPr>
      <w:rFonts w:ascii="Times New Roman" w:eastAsia="Times New Roman" w:hAnsi="Times New Roman" w:cs="Times New Roman"/>
      <w:b/>
      <w:sz w:val="32"/>
      <w:szCs w:val="20"/>
      <w:lang w:eastAsia="en-US"/>
    </w:rPr>
  </w:style>
  <w:style w:type="paragraph" w:styleId="BodyText">
    <w:name w:val="Body Text"/>
    <w:basedOn w:val="Normal"/>
    <w:link w:val="BodyTextChar"/>
    <w:rsid w:val="00EB36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36C1"/>
    <w:rPr>
      <w:rFonts w:ascii="Times New Roman" w:eastAsia="Times New Roman" w:hAnsi="Times New Roman" w:cs="Times New Roman"/>
      <w:sz w:val="24"/>
      <w:lang w:val="en-US" w:eastAsia="en-US"/>
    </w:rPr>
  </w:style>
  <w:style w:type="paragraph" w:styleId="Footer">
    <w:name w:val="footer"/>
    <w:basedOn w:val="Normal"/>
    <w:link w:val="FooterChar"/>
    <w:rsid w:val="00EB36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6C1"/>
    <w:rPr>
      <w:rFonts w:ascii="Times New Roman" w:eastAsia="Times New Roman" w:hAnsi="Times New Roman" w:cs="Times New Roman"/>
      <w:sz w:val="16"/>
      <w:lang w:val="en-US" w:eastAsia="en-US"/>
    </w:rPr>
  </w:style>
  <w:style w:type="paragraph" w:styleId="List">
    <w:name w:val="List"/>
    <w:basedOn w:val="BodyText"/>
    <w:next w:val="BodyText"/>
    <w:rsid w:val="00EB36C1"/>
    <w:pPr>
      <w:tabs>
        <w:tab w:val="left" w:pos="340"/>
      </w:tabs>
      <w:spacing w:before="60" w:after="60"/>
      <w:ind w:left="340" w:hanging="340"/>
    </w:pPr>
  </w:style>
  <w:style w:type="paragraph" w:styleId="ListBullet">
    <w:name w:val="List Bullet"/>
    <w:basedOn w:val="List"/>
    <w:rsid w:val="00EB36C1"/>
    <w:pPr>
      <w:numPr>
        <w:numId w:val="14"/>
      </w:numPr>
      <w:tabs>
        <w:tab w:val="clear" w:pos="340"/>
      </w:tabs>
      <w:spacing w:before="40" w:after="40"/>
    </w:pPr>
  </w:style>
  <w:style w:type="character" w:customStyle="1" w:styleId="SpecialBold">
    <w:name w:val="Special Bold"/>
    <w:basedOn w:val="DefaultParagraphFont"/>
    <w:rsid w:val="00EB36C1"/>
    <w:rPr>
      <w:b/>
      <w:spacing w:val="0"/>
    </w:rPr>
  </w:style>
  <w:style w:type="paragraph" w:styleId="ListBullet2">
    <w:name w:val="List Bullet 2"/>
    <w:basedOn w:val="List2"/>
    <w:rsid w:val="00EB36C1"/>
    <w:pPr>
      <w:numPr>
        <w:numId w:val="15"/>
      </w:numPr>
      <w:tabs>
        <w:tab w:val="clear" w:pos="680"/>
      </w:tabs>
    </w:pPr>
  </w:style>
  <w:style w:type="paragraph" w:styleId="Header">
    <w:name w:val="header"/>
    <w:basedOn w:val="Normal"/>
    <w:link w:val="HeaderChar"/>
    <w:rsid w:val="00EB36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6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36C1"/>
    <w:pPr>
      <w:spacing w:before="240" w:after="120"/>
      <w:outlineLvl w:val="0"/>
    </w:pPr>
    <w:rPr>
      <w:rFonts w:ascii="Times New Roman" w:hAnsi="Times New Roman"/>
      <w:b/>
      <w:sz w:val="28"/>
    </w:rPr>
  </w:style>
  <w:style w:type="paragraph" w:customStyle="1" w:styleId="AllowPageBreak">
    <w:name w:val="AllowPageBreak"/>
    <w:rsid w:val="00EB36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36C1"/>
    <w:pPr>
      <w:tabs>
        <w:tab w:val="left" w:pos="680"/>
      </w:tabs>
      <w:spacing w:before="60" w:after="60"/>
      <w:ind w:left="680" w:hanging="340"/>
    </w:pPr>
  </w:style>
  <w:style w:type="paragraph" w:styleId="ListBullet3">
    <w:name w:val="List Bullet 3"/>
    <w:basedOn w:val="List3"/>
    <w:rsid w:val="00EB36C1"/>
    <w:pPr>
      <w:numPr>
        <w:numId w:val="3"/>
      </w:numPr>
      <w:tabs>
        <w:tab w:val="clear" w:pos="1021"/>
      </w:tabs>
      <w:ind w:left="1037" w:hanging="357"/>
    </w:pPr>
  </w:style>
  <w:style w:type="character" w:customStyle="1" w:styleId="BoldandItalics">
    <w:name w:val="Bold and Italics"/>
    <w:qFormat/>
    <w:rsid w:val="00EB36C1"/>
    <w:rPr>
      <w:b/>
      <w:i/>
      <w:u w:val="none"/>
    </w:rPr>
  </w:style>
  <w:style w:type="character" w:customStyle="1" w:styleId="Heading2Char">
    <w:name w:val="Heading 2 Char"/>
    <w:basedOn w:val="DefaultParagraphFont"/>
    <w:link w:val="Heading2"/>
    <w:rsid w:val="00EB36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6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6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6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6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6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36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36C1"/>
    <w:rPr>
      <w:rFonts w:ascii="Courier New" w:eastAsia="Times New Roman" w:hAnsi="Courier New" w:cs="Times New Roman"/>
      <w:i/>
      <w:szCs w:val="20"/>
      <w:lang w:val="en-US" w:eastAsia="en-US"/>
    </w:rPr>
  </w:style>
  <w:style w:type="paragraph" w:customStyle="1" w:styleId="HeadingBase">
    <w:name w:val="Heading Base"/>
    <w:rsid w:val="00EB36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6C1"/>
    <w:pPr>
      <w:tabs>
        <w:tab w:val="right" w:leader="dot" w:pos="9072"/>
      </w:tabs>
      <w:ind w:left="567"/>
    </w:pPr>
    <w:rPr>
      <w:szCs w:val="22"/>
    </w:rPr>
  </w:style>
  <w:style w:type="paragraph" w:customStyle="1" w:styleId="TOCBase">
    <w:name w:val="TOC Base"/>
    <w:rsid w:val="00EB36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6C1"/>
    <w:pPr>
      <w:tabs>
        <w:tab w:val="right" w:leader="dot" w:pos="9072"/>
      </w:tabs>
      <w:spacing w:before="40" w:after="40"/>
      <w:ind w:left="284"/>
    </w:pPr>
    <w:rPr>
      <w:rFonts w:ascii="Times New Roman" w:hAnsi="Times New Roman"/>
    </w:rPr>
  </w:style>
  <w:style w:type="paragraph" w:styleId="TOC1">
    <w:name w:val="toc 1"/>
    <w:basedOn w:val="TOCBase"/>
    <w:next w:val="Normal"/>
    <w:rsid w:val="00EB36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36C1"/>
    <w:pPr>
      <w:spacing w:before="5040"/>
      <w:jc w:val="center"/>
    </w:pPr>
    <w:rPr>
      <w:sz w:val="48"/>
      <w:szCs w:val="72"/>
      <w:lang w:val="en-US"/>
    </w:rPr>
  </w:style>
  <w:style w:type="character" w:customStyle="1" w:styleId="TitleChar">
    <w:name w:val="Title Char"/>
    <w:basedOn w:val="DefaultParagraphFont"/>
    <w:link w:val="Title"/>
    <w:rsid w:val="00EB36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6C1"/>
    <w:pPr>
      <w:tabs>
        <w:tab w:val="left" w:pos="3600"/>
        <w:tab w:val="left" w:pos="3958"/>
      </w:tabs>
    </w:pPr>
  </w:style>
  <w:style w:type="paragraph" w:customStyle="1" w:styleId="Note">
    <w:name w:val="Note"/>
    <w:basedOn w:val="BodyText"/>
    <w:rsid w:val="00EB36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6C1"/>
    <w:pPr>
      <w:framePr w:wrap="auto" w:hAnchor="text" w:y="6049"/>
    </w:pPr>
    <w:rPr>
      <w:color w:val="000000"/>
      <w:sz w:val="40"/>
    </w:rPr>
  </w:style>
  <w:style w:type="paragraph" w:customStyle="1" w:styleId="TOCTitle">
    <w:name w:val="TOCTitle"/>
    <w:basedOn w:val="Heading1"/>
    <w:rsid w:val="00EB36C1"/>
    <w:pPr>
      <w:spacing w:after="240"/>
      <w:jc w:val="center"/>
      <w:outlineLvl w:val="9"/>
    </w:pPr>
    <w:rPr>
      <w:caps/>
    </w:rPr>
  </w:style>
  <w:style w:type="paragraph" w:customStyle="1" w:styleId="Version">
    <w:name w:val="Version"/>
    <w:rsid w:val="00EB36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6C1"/>
    <w:pPr>
      <w:keepNext w:val="0"/>
      <w:tabs>
        <w:tab w:val="right" w:pos="4176"/>
      </w:tabs>
      <w:ind w:left="198" w:hanging="198"/>
    </w:pPr>
    <w:rPr>
      <w:rFonts w:ascii="Garamond" w:hAnsi="Garamond"/>
    </w:rPr>
  </w:style>
  <w:style w:type="paragraph" w:styleId="IndexHeading">
    <w:name w:val="index heading"/>
    <w:basedOn w:val="Normal"/>
    <w:next w:val="Index1"/>
    <w:semiHidden/>
    <w:rsid w:val="00EB36C1"/>
    <w:pPr>
      <w:spacing w:before="120" w:after="120"/>
    </w:pPr>
    <w:rPr>
      <w:rFonts w:ascii="Arial" w:hAnsi="Arial"/>
      <w:b/>
      <w:color w:val="918585"/>
      <w:sz w:val="24"/>
    </w:rPr>
  </w:style>
  <w:style w:type="paragraph" w:customStyle="1" w:styleId="Chapter">
    <w:name w:val="Chapter"/>
    <w:basedOn w:val="Normal"/>
    <w:rsid w:val="00EB36C1"/>
    <w:pPr>
      <w:spacing w:before="240"/>
    </w:pPr>
    <w:rPr>
      <w:rFonts w:ascii="Times New Roman" w:hAnsi="Times New Roman"/>
      <w:smallCaps/>
      <w:spacing w:val="80"/>
      <w:sz w:val="28"/>
    </w:rPr>
  </w:style>
  <w:style w:type="paragraph" w:customStyle="1" w:styleId="InChapter">
    <w:name w:val="InChapter"/>
    <w:basedOn w:val="Heading3"/>
    <w:rsid w:val="00EB36C1"/>
    <w:pPr>
      <w:spacing w:after="240"/>
      <w:outlineLvl w:val="9"/>
    </w:pPr>
    <w:rPr>
      <w:noProof/>
    </w:rPr>
  </w:style>
  <w:style w:type="paragraph" w:styleId="Index2">
    <w:name w:val="index 2"/>
    <w:basedOn w:val="Normal"/>
    <w:next w:val="Normal"/>
    <w:semiHidden/>
    <w:rsid w:val="00EB36C1"/>
    <w:pPr>
      <w:tabs>
        <w:tab w:val="right" w:pos="4176"/>
      </w:tabs>
      <w:ind w:left="568" w:hanging="284"/>
    </w:pPr>
    <w:rPr>
      <w:rFonts w:ascii="Garamond" w:hAnsi="Garamond"/>
    </w:rPr>
  </w:style>
  <w:style w:type="paragraph" w:customStyle="1" w:styleId="Byline">
    <w:name w:val="Byline"/>
    <w:rsid w:val="00EB36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6C1"/>
    <w:pPr>
      <w:tabs>
        <w:tab w:val="clear" w:pos="3600"/>
        <w:tab w:val="clear" w:pos="3958"/>
      </w:tabs>
      <w:jc w:val="right"/>
    </w:pPr>
  </w:style>
  <w:style w:type="character" w:styleId="Emphasis">
    <w:name w:val="Emphasis"/>
    <w:basedOn w:val="DefaultParagraphFont"/>
    <w:qFormat/>
    <w:rsid w:val="00EB36C1"/>
    <w:rPr>
      <w:i/>
    </w:rPr>
  </w:style>
  <w:style w:type="paragraph" w:styleId="Caption">
    <w:name w:val="caption"/>
    <w:basedOn w:val="BodyText"/>
    <w:next w:val="Normal"/>
    <w:qFormat/>
    <w:rsid w:val="00EB36C1"/>
    <w:pPr>
      <w:framePr w:w="2268" w:hSpace="181" w:vSpace="181" w:wrap="around" w:vAnchor="text" w:hAnchor="page" w:x="1135" w:y="285" w:anchorLock="1"/>
    </w:pPr>
    <w:rPr>
      <w:i/>
    </w:rPr>
  </w:style>
  <w:style w:type="paragraph" w:customStyle="1" w:styleId="MiniTOCTitle">
    <w:name w:val="MiniTOCTitle"/>
    <w:basedOn w:val="Heading4"/>
    <w:rsid w:val="00EB36C1"/>
    <w:pPr>
      <w:spacing w:before="240"/>
      <w:outlineLvl w:val="9"/>
    </w:pPr>
    <w:rPr>
      <w:noProof/>
      <w:sz w:val="24"/>
    </w:rPr>
  </w:style>
  <w:style w:type="paragraph" w:customStyle="1" w:styleId="MiniTOCItem">
    <w:name w:val="MiniTOCItem"/>
    <w:basedOn w:val="ListBullet"/>
    <w:rsid w:val="00EB36C1"/>
    <w:pPr>
      <w:numPr>
        <w:numId w:val="0"/>
      </w:numPr>
      <w:tabs>
        <w:tab w:val="right" w:leader="dot" w:pos="6521"/>
      </w:tabs>
      <w:spacing w:before="0" w:after="0"/>
    </w:pPr>
  </w:style>
  <w:style w:type="paragraph" w:customStyle="1" w:styleId="TOFTitle">
    <w:name w:val="TOFTitle"/>
    <w:basedOn w:val="TOCTitle"/>
    <w:rsid w:val="00EB36C1"/>
  </w:style>
  <w:style w:type="paragraph" w:styleId="TableofFigures">
    <w:name w:val="table of figures"/>
    <w:basedOn w:val="Normal"/>
    <w:next w:val="Normal"/>
    <w:semiHidden/>
    <w:rsid w:val="00EB36C1"/>
    <w:pPr>
      <w:tabs>
        <w:tab w:val="right" w:leader="dot" w:pos="9072"/>
      </w:tabs>
      <w:ind w:left="970" w:hanging="403"/>
    </w:pPr>
    <w:rPr>
      <w:rFonts w:ascii="Times New Roman" w:hAnsi="Times New Roman"/>
      <w:b/>
    </w:rPr>
  </w:style>
  <w:style w:type="paragraph" w:styleId="ListNumber">
    <w:name w:val="List Number"/>
    <w:basedOn w:val="List"/>
    <w:rsid w:val="00EB36C1"/>
    <w:pPr>
      <w:numPr>
        <w:numId w:val="12"/>
      </w:numPr>
    </w:pPr>
  </w:style>
  <w:style w:type="character" w:customStyle="1" w:styleId="WingdingSymbols">
    <w:name w:val="Wingding Symbols"/>
    <w:rsid w:val="00EB36C1"/>
    <w:rPr>
      <w:rFonts w:ascii="Wingdings" w:hAnsi="Wingdings"/>
    </w:rPr>
  </w:style>
  <w:style w:type="paragraph" w:customStyle="1" w:styleId="TableHeading">
    <w:name w:val="Table Heading"/>
    <w:basedOn w:val="HeadingBase"/>
    <w:rsid w:val="00EB36C1"/>
    <w:pPr>
      <w:keepLines/>
      <w:pBdr>
        <w:bottom w:val="single" w:sz="6" w:space="1" w:color="918585"/>
      </w:pBdr>
      <w:spacing w:before="240"/>
    </w:pPr>
  </w:style>
  <w:style w:type="character" w:customStyle="1" w:styleId="HotSpot">
    <w:name w:val="HotSpot"/>
    <w:rsid w:val="00EB36C1"/>
    <w:rPr>
      <w:color w:val="0033CC"/>
      <w:u w:val="none"/>
    </w:rPr>
  </w:style>
  <w:style w:type="paragraph" w:customStyle="1" w:styleId="BodyTextRight">
    <w:name w:val="Body Text Right"/>
    <w:basedOn w:val="BodyText"/>
    <w:rsid w:val="00EB36C1"/>
    <w:pPr>
      <w:spacing w:before="0" w:after="0"/>
      <w:jc w:val="right"/>
    </w:pPr>
  </w:style>
  <w:style w:type="paragraph" w:styleId="Index3">
    <w:name w:val="index 3"/>
    <w:basedOn w:val="ListNumber2"/>
    <w:next w:val="Normal"/>
    <w:semiHidden/>
    <w:rsid w:val="00EB36C1"/>
    <w:pPr>
      <w:numPr>
        <w:numId w:val="0"/>
      </w:numPr>
      <w:tabs>
        <w:tab w:val="right" w:leader="dot" w:pos="4176"/>
      </w:tabs>
    </w:pPr>
  </w:style>
  <w:style w:type="paragraph" w:styleId="ListNumber2">
    <w:name w:val="List Number 2"/>
    <w:basedOn w:val="List2"/>
    <w:rsid w:val="00EB36C1"/>
    <w:pPr>
      <w:numPr>
        <w:numId w:val="11"/>
      </w:numPr>
      <w:tabs>
        <w:tab w:val="clear" w:pos="1060"/>
      </w:tabs>
    </w:pPr>
  </w:style>
  <w:style w:type="paragraph" w:customStyle="1" w:styleId="MarginNote">
    <w:name w:val="Margin Note"/>
    <w:basedOn w:val="BodyText"/>
    <w:rsid w:val="00EB36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6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6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36C1"/>
    <w:rPr>
      <w:sz w:val="32"/>
    </w:rPr>
  </w:style>
  <w:style w:type="paragraph" w:customStyle="1" w:styleId="HeadingProcedure">
    <w:name w:val="Heading Procedure"/>
    <w:basedOn w:val="HeadingBase"/>
    <w:next w:val="Normal"/>
    <w:rsid w:val="00EB36C1"/>
    <w:pPr>
      <w:tabs>
        <w:tab w:val="left" w:pos="0"/>
      </w:tabs>
      <w:spacing w:before="120" w:after="60"/>
    </w:pPr>
    <w:rPr>
      <w:i/>
      <w:color w:val="918585"/>
      <w:sz w:val="22"/>
    </w:rPr>
  </w:style>
  <w:style w:type="paragraph" w:customStyle="1" w:styleId="TableBodyText">
    <w:name w:val="Table Body Text"/>
    <w:basedOn w:val="BodyText"/>
    <w:rsid w:val="00EB36C1"/>
    <w:pPr>
      <w:spacing w:before="60" w:after="60"/>
    </w:pPr>
  </w:style>
  <w:style w:type="paragraph" w:styleId="ListContinue">
    <w:name w:val="List Continue"/>
    <w:basedOn w:val="List"/>
    <w:rsid w:val="00EB36C1"/>
    <w:pPr>
      <w:ind w:firstLine="0"/>
    </w:pPr>
  </w:style>
  <w:style w:type="paragraph" w:customStyle="1" w:styleId="ListNote">
    <w:name w:val="List Note"/>
    <w:basedOn w:val="List"/>
    <w:rsid w:val="00EB36C1"/>
    <w:pPr>
      <w:pBdr>
        <w:top w:val="single" w:sz="6" w:space="2" w:color="918585"/>
        <w:bottom w:val="single" w:sz="6" w:space="2" w:color="918585"/>
      </w:pBdr>
      <w:tabs>
        <w:tab w:val="left" w:pos="1021"/>
      </w:tabs>
      <w:ind w:firstLine="0"/>
    </w:pPr>
  </w:style>
  <w:style w:type="paragraph" w:customStyle="1" w:styleId="Warning">
    <w:name w:val="Warning"/>
    <w:basedOn w:val="BodyText"/>
    <w:rsid w:val="00EB36C1"/>
    <w:pPr>
      <w:shd w:val="clear" w:color="auto" w:fill="D9D9D9"/>
      <w:tabs>
        <w:tab w:val="left" w:pos="992"/>
      </w:tabs>
      <w:ind w:left="119" w:right="119"/>
    </w:pPr>
    <w:rPr>
      <w:sz w:val="20"/>
    </w:rPr>
  </w:style>
  <w:style w:type="paragraph" w:customStyle="1" w:styleId="MarginIcons">
    <w:name w:val="Margin Icons"/>
    <w:basedOn w:val="BodyText"/>
    <w:rsid w:val="00EB36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6C1"/>
    <w:rPr>
      <w:rFonts w:ascii="Courier New" w:hAnsi="Courier New"/>
    </w:rPr>
  </w:style>
  <w:style w:type="paragraph" w:customStyle="1" w:styleId="NoteBullet">
    <w:name w:val="Note Bullet"/>
    <w:basedOn w:val="Note"/>
    <w:rsid w:val="00EB36C1"/>
    <w:pPr>
      <w:tabs>
        <w:tab w:val="clear" w:pos="680"/>
      </w:tabs>
      <w:spacing w:before="60" w:after="60"/>
    </w:pPr>
  </w:style>
  <w:style w:type="paragraph" w:customStyle="1" w:styleId="SubHeading2">
    <w:name w:val="SubHeading2"/>
    <w:basedOn w:val="HeadingBase"/>
    <w:rsid w:val="00EB36C1"/>
    <w:pPr>
      <w:spacing w:before="240" w:after="60"/>
    </w:pPr>
    <w:rPr>
      <w:sz w:val="20"/>
    </w:rPr>
  </w:style>
  <w:style w:type="paragraph" w:customStyle="1" w:styleId="SubHeading1">
    <w:name w:val="SubHeading1"/>
    <w:basedOn w:val="HeadingBase"/>
    <w:rsid w:val="00EB36C1"/>
    <w:pPr>
      <w:spacing w:before="240" w:after="60"/>
    </w:pPr>
    <w:rPr>
      <w:color w:val="918585"/>
      <w:sz w:val="22"/>
    </w:rPr>
  </w:style>
  <w:style w:type="paragraph" w:customStyle="1" w:styleId="SideHeading">
    <w:name w:val="Side Heading"/>
    <w:basedOn w:val="HeadingBase"/>
    <w:rsid w:val="00EB36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6C1"/>
    <w:pPr>
      <w:numPr>
        <w:numId w:val="13"/>
      </w:numPr>
    </w:pPr>
  </w:style>
  <w:style w:type="paragraph" w:styleId="PlainText">
    <w:name w:val="Plain Text"/>
    <w:basedOn w:val="Normal"/>
    <w:link w:val="PlainTextChar"/>
    <w:rsid w:val="00EB36C1"/>
    <w:rPr>
      <w:sz w:val="20"/>
    </w:rPr>
  </w:style>
  <w:style w:type="character" w:customStyle="1" w:styleId="PlainTextChar">
    <w:name w:val="Plain Text Char"/>
    <w:basedOn w:val="DefaultParagraphFont"/>
    <w:link w:val="PlainText"/>
    <w:rsid w:val="00EB36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36C1"/>
    <w:rPr>
      <w:b/>
      <w:smallCaps/>
    </w:rPr>
  </w:style>
  <w:style w:type="paragraph" w:customStyle="1" w:styleId="TableListNumber">
    <w:name w:val="Table List Number"/>
    <w:basedOn w:val="ListNumber"/>
    <w:rsid w:val="00EB36C1"/>
    <w:pPr>
      <w:numPr>
        <w:numId w:val="0"/>
      </w:numPr>
    </w:pPr>
  </w:style>
  <w:style w:type="paragraph" w:styleId="TOC4">
    <w:name w:val="toc 4"/>
    <w:basedOn w:val="TOCBase"/>
    <w:next w:val="Normal"/>
    <w:semiHidden/>
    <w:rsid w:val="00EB36C1"/>
    <w:pPr>
      <w:tabs>
        <w:tab w:val="right" w:leader="dot" w:pos="9071"/>
      </w:tabs>
      <w:ind w:left="1701"/>
    </w:pPr>
  </w:style>
  <w:style w:type="paragraph" w:customStyle="1" w:styleId="ListAlpha">
    <w:name w:val="List Alpha"/>
    <w:basedOn w:val="List"/>
    <w:rsid w:val="00EB36C1"/>
    <w:pPr>
      <w:numPr>
        <w:numId w:val="10"/>
      </w:numPr>
    </w:pPr>
  </w:style>
  <w:style w:type="paragraph" w:customStyle="1" w:styleId="ListAlpha2">
    <w:name w:val="List Alpha 2"/>
    <w:basedOn w:val="List2"/>
    <w:rsid w:val="00EB36C1"/>
    <w:pPr>
      <w:numPr>
        <w:numId w:val="9"/>
      </w:numPr>
    </w:pPr>
  </w:style>
  <w:style w:type="paragraph" w:styleId="List3">
    <w:name w:val="List 3"/>
    <w:basedOn w:val="BodyText"/>
    <w:rsid w:val="00EB36C1"/>
    <w:pPr>
      <w:tabs>
        <w:tab w:val="left" w:pos="1021"/>
      </w:tabs>
      <w:spacing w:before="60" w:after="60"/>
      <w:ind w:left="1020" w:hanging="340"/>
    </w:pPr>
  </w:style>
  <w:style w:type="paragraph" w:styleId="List4">
    <w:name w:val="List 4"/>
    <w:basedOn w:val="BodyText"/>
    <w:rsid w:val="00EB36C1"/>
    <w:pPr>
      <w:tabs>
        <w:tab w:val="left" w:pos="1361"/>
      </w:tabs>
      <w:spacing w:before="60" w:after="60"/>
      <w:ind w:left="1361" w:hanging="340"/>
    </w:pPr>
  </w:style>
  <w:style w:type="paragraph" w:styleId="List5">
    <w:name w:val="List 5"/>
    <w:basedOn w:val="BodyText"/>
    <w:rsid w:val="00EB36C1"/>
    <w:pPr>
      <w:tabs>
        <w:tab w:val="left" w:pos="1701"/>
      </w:tabs>
      <w:spacing w:before="60" w:after="60"/>
      <w:ind w:left="1701" w:hanging="340"/>
    </w:pPr>
  </w:style>
  <w:style w:type="paragraph" w:styleId="ListBullet4">
    <w:name w:val="List Bullet 4"/>
    <w:basedOn w:val="List4"/>
    <w:rsid w:val="00EB36C1"/>
    <w:pPr>
      <w:numPr>
        <w:numId w:val="4"/>
      </w:numPr>
    </w:pPr>
  </w:style>
  <w:style w:type="paragraph" w:styleId="ListBullet5">
    <w:name w:val="List Bullet 5"/>
    <w:basedOn w:val="List5"/>
    <w:rsid w:val="00EB36C1"/>
    <w:pPr>
      <w:numPr>
        <w:numId w:val="5"/>
      </w:numPr>
    </w:pPr>
  </w:style>
  <w:style w:type="paragraph" w:styleId="ListContinue2">
    <w:name w:val="List Continue 2"/>
    <w:basedOn w:val="List2"/>
    <w:rsid w:val="00EB36C1"/>
    <w:pPr>
      <w:ind w:firstLine="0"/>
    </w:pPr>
  </w:style>
  <w:style w:type="paragraph" w:styleId="ListContinue3">
    <w:name w:val="List Continue 3"/>
    <w:basedOn w:val="List3"/>
    <w:rsid w:val="00EB36C1"/>
    <w:pPr>
      <w:ind w:left="1021" w:firstLine="0"/>
    </w:pPr>
  </w:style>
  <w:style w:type="paragraph" w:styleId="ListContinue4">
    <w:name w:val="List Continue 4"/>
    <w:basedOn w:val="List4"/>
    <w:rsid w:val="00EB36C1"/>
    <w:pPr>
      <w:ind w:firstLine="0"/>
    </w:pPr>
  </w:style>
  <w:style w:type="paragraph" w:styleId="ListContinue5">
    <w:name w:val="List Continue 5"/>
    <w:basedOn w:val="List5"/>
    <w:rsid w:val="00EB36C1"/>
    <w:pPr>
      <w:ind w:firstLine="0"/>
    </w:pPr>
  </w:style>
  <w:style w:type="paragraph" w:styleId="ListNumber3">
    <w:name w:val="List Number 3"/>
    <w:basedOn w:val="List3"/>
    <w:rsid w:val="00EB36C1"/>
    <w:pPr>
      <w:numPr>
        <w:numId w:val="6"/>
      </w:numPr>
    </w:pPr>
  </w:style>
  <w:style w:type="paragraph" w:styleId="ListNumber4">
    <w:name w:val="List Number 4"/>
    <w:basedOn w:val="List4"/>
    <w:rsid w:val="00EB36C1"/>
    <w:pPr>
      <w:numPr>
        <w:numId w:val="7"/>
      </w:numPr>
    </w:pPr>
  </w:style>
  <w:style w:type="paragraph" w:styleId="ListNumber5">
    <w:name w:val="List Number 5"/>
    <w:basedOn w:val="List5"/>
    <w:rsid w:val="00EB36C1"/>
    <w:pPr>
      <w:numPr>
        <w:numId w:val="8"/>
      </w:numPr>
    </w:pPr>
  </w:style>
  <w:style w:type="paragraph" w:styleId="BlockText">
    <w:name w:val="Block Text"/>
    <w:basedOn w:val="Normal"/>
    <w:rsid w:val="00EB36C1"/>
    <w:pPr>
      <w:spacing w:after="120"/>
      <w:ind w:left="1440" w:right="1440"/>
    </w:pPr>
  </w:style>
  <w:style w:type="character" w:customStyle="1" w:styleId="Subscript">
    <w:name w:val="Subscript"/>
    <w:basedOn w:val="DefaultParagraphFont"/>
    <w:rsid w:val="00EB36C1"/>
    <w:rPr>
      <w:sz w:val="16"/>
      <w:vertAlign w:val="subscript"/>
    </w:rPr>
  </w:style>
  <w:style w:type="character" w:customStyle="1" w:styleId="Superscript">
    <w:name w:val="Superscript"/>
    <w:basedOn w:val="DefaultParagraphFont"/>
    <w:rsid w:val="00EB36C1"/>
    <w:rPr>
      <w:sz w:val="16"/>
      <w:vertAlign w:val="superscript"/>
    </w:rPr>
  </w:style>
  <w:style w:type="character" w:customStyle="1" w:styleId="Symbols">
    <w:name w:val="Symbols"/>
    <w:basedOn w:val="DefaultParagraphFont"/>
    <w:rsid w:val="00EB36C1"/>
    <w:rPr>
      <w:rFonts w:ascii="Symbol" w:hAnsi="Symbol"/>
    </w:rPr>
  </w:style>
  <w:style w:type="character" w:customStyle="1" w:styleId="MenuOptions">
    <w:name w:val="Menu Options"/>
    <w:basedOn w:val="DefaultParagraphFont"/>
    <w:rsid w:val="00EB36C1"/>
    <w:rPr>
      <w:rFonts w:ascii="Arial Narrow" w:hAnsi="Arial Narrow"/>
      <w:smallCaps/>
    </w:rPr>
  </w:style>
  <w:style w:type="character" w:customStyle="1" w:styleId="Buttons">
    <w:name w:val="Buttons"/>
    <w:basedOn w:val="DefaultParagraphFont"/>
    <w:rsid w:val="00EB36C1"/>
    <w:rPr>
      <w:b/>
    </w:rPr>
  </w:style>
  <w:style w:type="character" w:customStyle="1" w:styleId="Underlined">
    <w:name w:val="Underlined"/>
    <w:basedOn w:val="DefaultParagraphFont"/>
    <w:rsid w:val="00EB36C1"/>
    <w:rPr>
      <w:u w:val="single"/>
    </w:rPr>
  </w:style>
  <w:style w:type="paragraph" w:customStyle="1" w:styleId="TableBodyTextRight">
    <w:name w:val="Table Body Text Right"/>
    <w:basedOn w:val="TableBodyText"/>
    <w:rsid w:val="00EB36C1"/>
    <w:pPr>
      <w:widowControl w:val="0"/>
      <w:autoSpaceDE w:val="0"/>
      <w:autoSpaceDN w:val="0"/>
      <w:adjustRightInd w:val="0"/>
      <w:jc w:val="right"/>
    </w:pPr>
    <w:rPr>
      <w:rFonts w:cs="Arial"/>
      <w:szCs w:val="18"/>
    </w:rPr>
  </w:style>
  <w:style w:type="paragraph" w:customStyle="1" w:styleId="CopyrightText">
    <w:name w:val="Copyright Text"/>
    <w:basedOn w:val="BodyText"/>
    <w:rsid w:val="00EB36C1"/>
    <w:rPr>
      <w:sz w:val="18"/>
    </w:rPr>
  </w:style>
  <w:style w:type="paragraph" w:customStyle="1" w:styleId="BodySmallRight">
    <w:name w:val="Body Small Right"/>
    <w:basedOn w:val="BodyTextRight"/>
    <w:rsid w:val="00EB36C1"/>
    <w:rPr>
      <w:sz w:val="18"/>
      <w:szCs w:val="18"/>
    </w:rPr>
  </w:style>
  <w:style w:type="paragraph" w:customStyle="1" w:styleId="MarginEdition">
    <w:name w:val="Margin Edition"/>
    <w:basedOn w:val="MarginNote"/>
    <w:rsid w:val="00EB36C1"/>
    <w:pPr>
      <w:spacing w:before="0" w:after="0"/>
    </w:pPr>
    <w:rPr>
      <w:rFonts w:ascii="Times New Roman" w:hAnsi="Times New Roman"/>
      <w:color w:val="999999"/>
    </w:rPr>
  </w:style>
  <w:style w:type="paragraph" w:customStyle="1" w:styleId="Spacer">
    <w:name w:val="Spacer"/>
    <w:basedOn w:val="Normal"/>
    <w:rsid w:val="00EB36C1"/>
    <w:rPr>
      <w:sz w:val="2"/>
      <w:szCs w:val="2"/>
    </w:rPr>
  </w:style>
  <w:style w:type="character" w:customStyle="1" w:styleId="Small">
    <w:name w:val="Small"/>
    <w:basedOn w:val="DefaultParagraphFont"/>
    <w:rsid w:val="00EB36C1"/>
    <w:rPr>
      <w:sz w:val="16"/>
    </w:rPr>
  </w:style>
  <w:style w:type="paragraph" w:customStyle="1" w:styleId="WideTable">
    <w:name w:val="Wide Table"/>
    <w:basedOn w:val="Normal"/>
    <w:rsid w:val="00EB36C1"/>
    <w:pPr>
      <w:ind w:left="-1418"/>
    </w:pPr>
    <w:rPr>
      <w:sz w:val="2"/>
      <w:szCs w:val="2"/>
    </w:rPr>
  </w:style>
  <w:style w:type="character" w:styleId="PageNumber">
    <w:name w:val="page number"/>
    <w:basedOn w:val="DefaultParagraphFont"/>
    <w:rsid w:val="00EB36C1"/>
  </w:style>
  <w:style w:type="paragraph" w:styleId="Quote">
    <w:name w:val="Quote"/>
    <w:basedOn w:val="Heading1"/>
    <w:link w:val="QuoteChar"/>
    <w:qFormat/>
    <w:rsid w:val="00EB36C1"/>
    <w:rPr>
      <w:b w:val="0"/>
      <w:sz w:val="72"/>
      <w:szCs w:val="72"/>
      <w:lang w:val="en-NZ"/>
    </w:rPr>
  </w:style>
  <w:style w:type="character" w:customStyle="1" w:styleId="QuoteChar">
    <w:name w:val="Quote Char"/>
    <w:basedOn w:val="DefaultParagraphFont"/>
    <w:link w:val="Quote"/>
    <w:rsid w:val="00EB36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6C1"/>
    <w:pPr>
      <w:pageBreakBefore/>
    </w:pPr>
  </w:style>
  <w:style w:type="paragraph" w:customStyle="1" w:styleId="Border">
    <w:name w:val="Border"/>
    <w:basedOn w:val="Normal"/>
    <w:qFormat/>
    <w:rsid w:val="00EB36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6C1"/>
    <w:rPr>
      <w:b/>
      <w:bCs/>
      <w:i/>
      <w:iCs/>
      <w:color w:val="auto"/>
    </w:rPr>
  </w:style>
  <w:style w:type="paragraph" w:styleId="IntenseQuote">
    <w:name w:val="Intense Quote"/>
    <w:basedOn w:val="Normal"/>
    <w:next w:val="Normal"/>
    <w:link w:val="IntenseQuoteChar"/>
    <w:uiPriority w:val="30"/>
    <w:qFormat/>
    <w:rsid w:val="00EB36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6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36C1"/>
    <w:rPr>
      <w:smallCaps/>
      <w:color w:val="auto"/>
      <w:u w:val="single"/>
    </w:rPr>
  </w:style>
  <w:style w:type="character" w:styleId="IntenseReference">
    <w:name w:val="Intense Reference"/>
    <w:basedOn w:val="DefaultParagraphFont"/>
    <w:uiPriority w:val="32"/>
    <w:qFormat/>
    <w:rsid w:val="00EB36C1"/>
    <w:rPr>
      <w:b/>
      <w:bCs/>
      <w:smallCaps/>
      <w:color w:val="auto"/>
      <w:spacing w:val="5"/>
      <w:u w:val="single"/>
    </w:rPr>
  </w:style>
  <w:style w:type="paragraph" w:customStyle="1" w:styleId="2ColumnHeading">
    <w:name w:val="2Column Heading"/>
    <w:basedOn w:val="BodyText"/>
    <w:qFormat/>
    <w:rsid w:val="00EB36C1"/>
    <w:pPr>
      <w:spacing w:after="60"/>
      <w:ind w:left="-2268"/>
    </w:pPr>
    <w:rPr>
      <w:b/>
    </w:rPr>
  </w:style>
  <w:style w:type="paragraph" w:customStyle="1" w:styleId="Heading1TOC">
    <w:name w:val="Heading1 TOC"/>
    <w:basedOn w:val="Normal"/>
    <w:qFormat/>
    <w:rsid w:val="00EB36C1"/>
    <w:pPr>
      <w:spacing w:before="240" w:after="120"/>
    </w:pPr>
    <w:rPr>
      <w:rFonts w:ascii="Times New Roman" w:hAnsi="Times New Roman"/>
      <w:b/>
      <w:sz w:val="32"/>
    </w:rPr>
  </w:style>
  <w:style w:type="paragraph" w:customStyle="1" w:styleId="Heading2TOC">
    <w:name w:val="Heading2 TOC"/>
    <w:basedOn w:val="Normal"/>
    <w:qFormat/>
    <w:rsid w:val="00EB36C1"/>
    <w:pPr>
      <w:spacing w:before="240" w:after="60"/>
    </w:pPr>
    <w:rPr>
      <w:rFonts w:ascii="Times New Roman" w:hAnsi="Times New Roman"/>
      <w:b/>
      <w:sz w:val="28"/>
    </w:rPr>
  </w:style>
  <w:style w:type="character" w:customStyle="1" w:styleId="Underline">
    <w:name w:val="Underline"/>
    <w:basedOn w:val="DefaultParagraphFont"/>
    <w:qFormat/>
    <w:rsid w:val="00EB36C1"/>
    <w:rPr>
      <w:u w:val="single"/>
    </w:rPr>
  </w:style>
  <w:style w:type="paragraph" w:styleId="BalloonText">
    <w:name w:val="Balloon Text"/>
    <w:basedOn w:val="Normal"/>
    <w:link w:val="BalloonTextChar"/>
    <w:rsid w:val="00EB36C1"/>
    <w:rPr>
      <w:rFonts w:ascii="Tahoma" w:hAnsi="Tahoma" w:cs="Tahoma"/>
      <w:sz w:val="16"/>
      <w:szCs w:val="16"/>
    </w:rPr>
  </w:style>
  <w:style w:type="character" w:customStyle="1" w:styleId="BalloonTextChar">
    <w:name w:val="Balloon Text Char"/>
    <w:basedOn w:val="DefaultParagraphFont"/>
    <w:link w:val="BalloonText"/>
    <w:rsid w:val="00EB36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36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36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1495</Words>
  <Characters>9577</Characters>
  <Application>Microsoft Office Word</Application>
  <DocSecurity>0</DocSecurity>
  <Lines>358</Lines>
  <Paragraphs>196</Paragraphs>
  <ScaleCrop>false</ScaleCrop>
  <Company>Author-it Software Corporation Ltd.</Company>
  <LinksUpToDate>false</LinksUpToDate>
  <CharactersWithSpaces>11000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CPCPPS5009A Analyse and report on technical plumbing systems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2012-05-26T05:51:00Z</dcterms:created>
  <dcterms:modified xsi:type="dcterms:W3CDTF">2012-05-26T05:51:00Z</dcterms:modified>
</cp:coreProperties>
</file>