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1005" w:rsidP="004F1005">
      <w:pPr>
        <w:pStyle w:val="Title"/>
      </w:pPr>
      <w:bookmarkStart w:id="0" w:name="_GoBack"/>
      <w:bookmarkEnd w:id="0"/>
      <w:r>
        <w:fldChar w:fldCharType="begin"/>
      </w:r>
      <w:r>
        <w:instrText xml:space="preserve"> TITLE   \* MERGEFORMAT </w:instrText>
      </w:r>
      <w:r>
        <w:fldChar w:fldCharType="separate"/>
      </w:r>
      <w:r>
        <w:t>CPCPPS5004A Conduct a water audit and identify water-saving initiatives</w:t>
      </w:r>
      <w:r>
        <w:fldChar w:fldCharType="end"/>
      </w:r>
    </w:p>
    <w:p w:rsidR="004F1005" w:rsidP="004F1005">
      <w:pPr>
        <w:pStyle w:val="Version"/>
        <w:sectPr w:rsidSect="00B716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682" w:rsidP="00B71682">
      <w:pPr>
        <w:pStyle w:val="SuperHeading"/>
      </w:pPr>
      <w:r w:rsidRPr="00B71682">
        <w:t>CPCPPS5004A Conduct a water audit and identify water-saving initiatives</w:t>
      </w:r>
    </w:p>
    <w:p w:rsidR="00000000" w:rsidRPr="00B71682" w:rsidP="00B71682">
      <w:pPr>
        <w:pStyle w:val="Heading1"/>
      </w:pPr>
      <w:bookmarkStart w:id="1" w:name="O_269897"/>
      <w:bookmarkEnd w:id="1"/>
      <w:r w:rsidRPr="00B71682">
        <w:t>Modification History</w:t>
      </w:r>
    </w:p>
    <w:p w:rsidR="00000000" w:rsidRPr="00B71682" w:rsidP="00B71682">
      <w:pPr>
        <w:pStyle w:val="BodyText"/>
      </w:pPr>
      <w:r w:rsidRPr="00B71682">
        <w:t>Not Applicable</w:t>
      </w:r>
    </w:p>
    <w:p w:rsidR="00000000" w:rsidRPr="00B71682" w:rsidP="00B71682">
      <w:pPr>
        <w:pStyle w:val="AllowPageBreak"/>
      </w:pPr>
    </w:p>
    <w:p w:rsidR="00000000" w:rsidRPr="00B71682" w:rsidP="00B71682">
      <w:pPr>
        <w:pStyle w:val="Heading1"/>
      </w:pPr>
      <w:bookmarkStart w:id="2" w:name="O_200054"/>
      <w:bookmarkEnd w:id="2"/>
      <w:r w:rsidRPr="00B71682">
        <w:t>Unit Descriptor</w:t>
      </w:r>
    </w:p>
    <w:tbl>
      <w:tblPr>
        <w:tblW w:w="0" w:type="auto"/>
        <w:tblLayout w:type="fixed"/>
        <w:tblCellMar>
          <w:left w:w="62" w:type="dxa"/>
          <w:right w:w="62" w:type="dxa"/>
        </w:tblCellMar>
        <w:tblLook w:val="0000"/>
      </w:tblPr>
      <w:tblGrid>
        <w:gridCol w:w="2646"/>
        <w:gridCol w:w="5876"/>
      </w:tblGrid>
      <w:tr w:rsidTr="004F1005">
        <w:tblPrEx>
          <w:tblW w:w="0" w:type="auto"/>
          <w:tblLayout w:type="fixed"/>
          <w:tblCellMar>
            <w:left w:w="62" w:type="dxa"/>
            <w:right w:w="62" w:type="dxa"/>
          </w:tblCellMar>
          <w:tblLook w:val="0000"/>
        </w:tblPrEx>
        <w:trPr>
          <w:tblHeader/>
        </w:trPr>
        <w:tc>
          <w:tcPr>
            <w:tcW w:w="2646"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Unit desc</w:t>
            </w:r>
            <w:r w:rsidRPr="00B71682">
              <w:rPr>
                <w:rStyle w:val="SpecialBold"/>
              </w:rPr>
              <w:t>riptor</w:t>
            </w:r>
          </w:p>
        </w:tc>
        <w:tc>
          <w:tcPr>
            <w:tcW w:w="5876"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This unit of competency specifies the outcomes required to identify wasted water and leaks in pipework and fixtures and, where water reduction is possible, types of water-saving devices that are appropriate. The unit also requires the preparation of</w:t>
            </w:r>
            <w:r w:rsidRPr="00B71682">
              <w:t xml:space="preserve"> a report that reflects this assessment.</w:t>
            </w:r>
          </w:p>
        </w:tc>
      </w:tr>
    </w:tbl>
    <w:p w:rsidR="004F1005" w:rsidP="00B71682">
      <w:pPr>
        <w:pStyle w:val="BodyText"/>
      </w:pPr>
    </w:p>
    <w:p w:rsidR="004F1005" w:rsidP="00B71682">
      <w:pPr>
        <w:pStyle w:val="BodyText"/>
      </w:pPr>
    </w:p>
    <w:p w:rsidR="00000000" w:rsidRPr="00B71682" w:rsidP="00B71682">
      <w:pPr>
        <w:pStyle w:val="Heading1"/>
      </w:pPr>
      <w:bookmarkStart w:id="3" w:name="O_200058"/>
      <w:bookmarkEnd w:id="3"/>
      <w:r w:rsidRPr="00B71682">
        <w:t>Application of the Unit</w:t>
      </w:r>
    </w:p>
    <w:tbl>
      <w:tblPr>
        <w:tblW w:w="0" w:type="auto"/>
        <w:tblLayout w:type="fixed"/>
        <w:tblCellMar>
          <w:left w:w="62" w:type="dxa"/>
          <w:right w:w="62" w:type="dxa"/>
        </w:tblCellMar>
        <w:tblLook w:val="0000"/>
      </w:tblPr>
      <w:tblGrid>
        <w:gridCol w:w="2709"/>
        <w:gridCol w:w="5813"/>
      </w:tblGrid>
      <w:tr w:rsidTr="004F1005">
        <w:tblPrEx>
          <w:tblW w:w="0" w:type="auto"/>
          <w:tblLayout w:type="fixed"/>
          <w:tblCellMar>
            <w:left w:w="62" w:type="dxa"/>
            <w:right w:w="62" w:type="dxa"/>
          </w:tblCellMar>
          <w:tblLook w:val="0000"/>
        </w:tblPrEx>
        <w:trPr>
          <w:tblHeader/>
        </w:trPr>
        <w:tc>
          <w:tcPr>
            <w:tcW w:w="2709"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Application of the unit</w:t>
            </w:r>
          </w:p>
        </w:tc>
        <w:tc>
          <w:tcPr>
            <w:tcW w:w="5813"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 xml:space="preserve">This unit of competency supports the needs of experienced tradespeople with a responsibility for conducting water and energy audits and recommending water-saving initiatives. </w:t>
            </w:r>
          </w:p>
        </w:tc>
      </w:tr>
    </w:tbl>
    <w:p w:rsidR="004F1005" w:rsidP="00B71682">
      <w:pPr>
        <w:pStyle w:val="BodyText"/>
      </w:pPr>
    </w:p>
    <w:p w:rsidR="004F1005" w:rsidP="00B71682">
      <w:pPr>
        <w:pStyle w:val="BodyText"/>
      </w:pPr>
    </w:p>
    <w:p w:rsidR="00000000" w:rsidRPr="00B71682" w:rsidP="00B71682">
      <w:pPr>
        <w:pStyle w:val="Heading1"/>
      </w:pPr>
      <w:bookmarkStart w:id="4" w:name="O_278157"/>
      <w:bookmarkEnd w:id="4"/>
      <w:r w:rsidRPr="00B71682">
        <w:t>Licensing/Regulatory Information</w:t>
      </w:r>
    </w:p>
    <w:p w:rsidR="00000000" w:rsidRPr="00B71682" w:rsidP="00B71682">
      <w:pPr>
        <w:pStyle w:val="BodyText"/>
      </w:pPr>
      <w:r w:rsidRPr="00B71682">
        <w:t>Not Applicable</w:t>
      </w:r>
    </w:p>
    <w:p w:rsidR="00000000" w:rsidRPr="00B71682" w:rsidP="00B71682">
      <w:pPr>
        <w:pStyle w:val="AllowPageBreak"/>
      </w:pPr>
    </w:p>
    <w:p w:rsidR="00000000" w:rsidRPr="00B71682" w:rsidP="00B71682">
      <w:pPr>
        <w:pStyle w:val="Heading1"/>
      </w:pPr>
      <w:bookmarkStart w:id="5" w:name="O_200056"/>
      <w:bookmarkEnd w:id="5"/>
      <w:r w:rsidRPr="00B71682">
        <w:t>Pre-Requisites</w:t>
      </w:r>
    </w:p>
    <w:tbl>
      <w:tblPr>
        <w:tblW w:w="0" w:type="auto"/>
        <w:tblLayout w:type="fixed"/>
        <w:tblCellMar>
          <w:left w:w="62" w:type="dxa"/>
          <w:right w:w="62" w:type="dxa"/>
        </w:tblCellMar>
        <w:tblLook w:val="0000"/>
      </w:tblPr>
      <w:tblGrid>
        <w:gridCol w:w="2718"/>
        <w:gridCol w:w="1322"/>
        <w:gridCol w:w="4482"/>
      </w:tblGrid>
      <w:tr w:rsidTr="004F1005">
        <w:tblPrEx>
          <w:tblW w:w="0" w:type="auto"/>
          <w:tblLayout w:type="fixed"/>
          <w:tblCellMar>
            <w:left w:w="62" w:type="dxa"/>
            <w:right w:w="62" w:type="dxa"/>
          </w:tblCellMar>
          <w:tblLook w:val="0000"/>
        </w:tblPrEx>
        <w:trPr>
          <w:tblHeader/>
        </w:trPr>
        <w:tc>
          <w:tcPr>
            <w:tcW w:w="2718"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Prerequisite units</w:t>
            </w:r>
          </w:p>
        </w:tc>
        <w:tc>
          <w:tcPr>
            <w:tcW w:w="5804" w:type="dxa"/>
            <w:gridSpan w:val="2"/>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t>Nil</w:t>
            </w:r>
          </w:p>
        </w:tc>
      </w:tr>
      <w:tr w:rsidTr="004F1005">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p>
        </w:tc>
      </w:tr>
      <w:tr w:rsidTr="004F1005">
        <w:tblPrEx>
          <w:tblW w:w="0" w:type="auto"/>
          <w:tblLayout w:type="fixed"/>
          <w:tblCellMar>
            <w:left w:w="62" w:type="dxa"/>
            <w:right w:w="62" w:type="dxa"/>
          </w:tblCellMar>
          <w:tblLook w:val="0000"/>
        </w:tblPrEx>
        <w:tc>
          <w:tcPr>
            <w:tcW w:w="271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82" w:type="dxa"/>
            <w:tcBorders>
              <w:top w:val="nil"/>
              <w:left w:val="nil"/>
              <w:bottom w:val="nil"/>
              <w:right w:val="nil"/>
            </w:tcBorders>
            <w:tcMar>
              <w:top w:w="0" w:type="dxa"/>
              <w:left w:w="62" w:type="dxa"/>
              <w:bottom w:w="0" w:type="dxa"/>
              <w:right w:w="62" w:type="dxa"/>
            </w:tcMar>
          </w:tcPr>
          <w:p w:rsidR="00000000" w:rsidRPr="00B71682" w:rsidP="00B71682">
            <w:pPr>
              <w:pStyle w:val="BodyText"/>
            </w:pPr>
          </w:p>
        </w:tc>
      </w:tr>
    </w:tbl>
    <w:p w:rsidR="004F1005" w:rsidP="00B71682">
      <w:pPr>
        <w:pStyle w:val="BodyText"/>
      </w:pPr>
    </w:p>
    <w:p w:rsidR="004F1005" w:rsidP="00B71682">
      <w:pPr>
        <w:pStyle w:val="BodyText"/>
      </w:pPr>
    </w:p>
    <w:p w:rsidR="00000000" w:rsidRPr="00B71682" w:rsidP="00B71682">
      <w:pPr>
        <w:pStyle w:val="Heading1"/>
      </w:pPr>
      <w:bookmarkStart w:id="6" w:name="O_200055"/>
      <w:bookmarkEnd w:id="6"/>
      <w:r w:rsidRPr="00B71682">
        <w:t>Employability Skills Information</w:t>
      </w:r>
    </w:p>
    <w:tbl>
      <w:tblPr>
        <w:tblW w:w="0" w:type="auto"/>
        <w:tblLayout w:type="fixed"/>
        <w:tblCellMar>
          <w:left w:w="62" w:type="dxa"/>
          <w:right w:w="62" w:type="dxa"/>
        </w:tblCellMar>
        <w:tblLook w:val="0000"/>
      </w:tblPr>
      <w:tblGrid>
        <w:gridCol w:w="2744"/>
        <w:gridCol w:w="5778"/>
      </w:tblGrid>
      <w:tr w:rsidTr="004F1005">
        <w:tblPrEx>
          <w:tblW w:w="0" w:type="auto"/>
          <w:tblLayout w:type="fixed"/>
          <w:tblCellMar>
            <w:left w:w="62" w:type="dxa"/>
            <w:right w:w="62" w:type="dxa"/>
          </w:tblCellMar>
          <w:tblLook w:val="0000"/>
        </w:tblPrEx>
        <w:trPr>
          <w:tblHeader/>
        </w:trPr>
        <w:tc>
          <w:tcPr>
            <w:tcW w:w="2744"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Employability skills</w:t>
            </w:r>
          </w:p>
        </w:tc>
        <w:tc>
          <w:tcPr>
            <w:tcW w:w="5778"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This unit contains employability skills.</w:t>
            </w:r>
          </w:p>
        </w:tc>
      </w:tr>
    </w:tbl>
    <w:p w:rsidR="004F1005" w:rsidP="00B71682">
      <w:pPr>
        <w:pStyle w:val="BodyText"/>
      </w:pPr>
    </w:p>
    <w:p w:rsidR="004F1005" w:rsidP="00B71682">
      <w:pPr>
        <w:pStyle w:val="BodyText"/>
      </w:pPr>
    </w:p>
    <w:p w:rsidR="00000000" w:rsidRPr="00B71682" w:rsidP="00B71682">
      <w:pPr>
        <w:pStyle w:val="Heading1"/>
      </w:pPr>
      <w:bookmarkStart w:id="7" w:name="O_287943"/>
      <w:bookmarkEnd w:id="7"/>
      <w:r w:rsidRPr="00B71682">
        <w:t>Elements and Performance Criteria Pre-Content</w:t>
      </w:r>
    </w:p>
    <w:tbl>
      <w:tblPr>
        <w:tblW w:w="0" w:type="auto"/>
        <w:tblLayout w:type="fixed"/>
        <w:tblCellMar>
          <w:left w:w="62" w:type="dxa"/>
          <w:right w:w="62" w:type="dxa"/>
        </w:tblCellMar>
        <w:tblLook w:val="0000"/>
      </w:tblPr>
      <w:tblGrid>
        <w:gridCol w:w="2567"/>
        <w:gridCol w:w="5955"/>
      </w:tblGrid>
      <w:tr w:rsidTr="004F1005">
        <w:tblPrEx>
          <w:tblW w:w="0" w:type="auto"/>
          <w:tblLayout w:type="fixed"/>
          <w:tblCellMar>
            <w:left w:w="62" w:type="dxa"/>
            <w:right w:w="62" w:type="dxa"/>
          </w:tblCellMar>
          <w:tblLook w:val="0000"/>
        </w:tblPrEx>
        <w:tc>
          <w:tcPr>
            <w:tcW w:w="2567" w:type="dxa"/>
            <w:tcBorders>
              <w:top w:val="single" w:sz="6" w:space="0" w:color="auto"/>
              <w:left w:val="nil"/>
              <w:bottom w:val="nil"/>
              <w:right w:val="nil"/>
            </w:tcBorders>
            <w:tcMar>
              <w:top w:w="0" w:type="dxa"/>
              <w:left w:w="62" w:type="dxa"/>
              <w:bottom w:w="0" w:type="dxa"/>
              <w:right w:w="62" w:type="dxa"/>
            </w:tcMar>
          </w:tcPr>
          <w:p w:rsidR="00000000" w:rsidP="00B71682">
            <w:pPr>
              <w:pStyle w:val="BodyText"/>
              <w:rPr>
                <w:lang w:val="en-NZ"/>
              </w:rPr>
            </w:pPr>
            <w:r w:rsidRPr="00B71682">
              <w:t>Elements describe the essential outcomes of a unit of competency.</w:t>
            </w:r>
          </w:p>
        </w:tc>
        <w:tc>
          <w:tcPr>
            <w:tcW w:w="5955" w:type="dxa"/>
            <w:tcBorders>
              <w:top w:val="single" w:sz="6" w:space="0" w:color="auto"/>
              <w:left w:val="nil"/>
              <w:bottom w:val="nil"/>
              <w:right w:val="nil"/>
            </w:tcBorders>
            <w:tcMar>
              <w:top w:w="0" w:type="dxa"/>
              <w:left w:w="62" w:type="dxa"/>
              <w:bottom w:w="0" w:type="dxa"/>
              <w:right w:w="62" w:type="dxa"/>
            </w:tcMar>
          </w:tcPr>
          <w:p w:rsidR="00000000" w:rsidRPr="00B71682" w:rsidP="00B71682">
            <w:pPr>
              <w:pStyle w:val="BodyText"/>
            </w:pPr>
            <w:r w:rsidRPr="00B71682">
              <w:t>Performance criteria describe the performance needed to demonstrate achievement of the element. Where bold italicised text is used, further information is detailed in the required skills and</w:t>
            </w:r>
            <w:r w:rsidRPr="00B71682">
              <w:t xml:space="preserve"> knowledge section and the range statement. Assessment of performance is to be consistent with the evidence guide.</w:t>
            </w:r>
          </w:p>
        </w:tc>
      </w:tr>
    </w:tbl>
    <w:p w:rsidR="00000000" w:rsidRPr="00B71682" w:rsidP="00B71682">
      <w:pPr>
        <w:pStyle w:val="BodyText"/>
      </w:pPr>
    </w:p>
    <w:p w:rsidR="00000000" w:rsidRPr="00B71682" w:rsidP="00B71682">
      <w:pPr>
        <w:pStyle w:val="AllowPageBreak"/>
      </w:pPr>
    </w:p>
    <w:p w:rsidR="00000000" w:rsidRPr="00B71682" w:rsidP="00B71682">
      <w:pPr>
        <w:pStyle w:val="Heading1"/>
      </w:pPr>
      <w:bookmarkStart w:id="8" w:name="O_234610"/>
      <w:bookmarkEnd w:id="8"/>
      <w:r w:rsidRPr="00B71682">
        <w:t>Elements and Performance Criteria</w:t>
      </w:r>
    </w:p>
    <w:tbl>
      <w:tblPr>
        <w:tblW w:w="0" w:type="auto"/>
        <w:tblLayout w:type="fixed"/>
        <w:tblCellMar>
          <w:left w:w="62" w:type="dxa"/>
          <w:right w:w="62" w:type="dxa"/>
        </w:tblCellMar>
        <w:tblLook w:val="0000"/>
      </w:tblPr>
      <w:tblGrid>
        <w:gridCol w:w="2567"/>
        <w:gridCol w:w="5955"/>
      </w:tblGrid>
      <w:tr w:rsidTr="004F1005">
        <w:tblPrEx>
          <w:tblW w:w="0" w:type="auto"/>
          <w:tblLayout w:type="fixed"/>
          <w:tblCellMar>
            <w:left w:w="62" w:type="dxa"/>
            <w:right w:w="62" w:type="dxa"/>
          </w:tblCellMar>
          <w:tblLook w:val="0000"/>
        </w:tblPrEx>
        <w:trPr>
          <w:tblHeader/>
        </w:trPr>
        <w:tc>
          <w:tcPr>
            <w:tcW w:w="2567" w:type="dxa"/>
            <w:tcBorders>
              <w:top w:val="nil"/>
              <w:left w:val="nil"/>
              <w:bottom w:val="single" w:sz="6" w:space="0" w:color="auto"/>
              <w:right w:val="nil"/>
            </w:tcBorders>
            <w:tcMar>
              <w:top w:w="0" w:type="dxa"/>
              <w:left w:w="62" w:type="dxa"/>
              <w:bottom w:w="0" w:type="dxa"/>
              <w:right w:w="62" w:type="dxa"/>
            </w:tcMar>
          </w:tcPr>
          <w:p w:rsidR="00000000" w:rsidRPr="00B71682" w:rsidP="00B71682">
            <w:pPr>
              <w:pStyle w:val="BodyText"/>
            </w:pPr>
            <w:r w:rsidRPr="00B71682">
              <w:rPr>
                <w:rStyle w:val="SpecialBold"/>
              </w:rPr>
              <w:t>ELEMENT</w:t>
            </w:r>
          </w:p>
        </w:tc>
        <w:tc>
          <w:tcPr>
            <w:tcW w:w="5955" w:type="dxa"/>
            <w:tcBorders>
              <w:top w:val="nil"/>
              <w:left w:val="nil"/>
              <w:bottom w:val="single" w:sz="6" w:space="0" w:color="auto"/>
              <w:right w:val="nil"/>
            </w:tcBorders>
            <w:tcMar>
              <w:top w:w="0" w:type="dxa"/>
              <w:left w:w="62" w:type="dxa"/>
              <w:bottom w:w="0" w:type="dxa"/>
              <w:right w:w="62" w:type="dxa"/>
            </w:tcMar>
          </w:tcPr>
          <w:p w:rsidR="00000000" w:rsidP="00B71682">
            <w:pPr>
              <w:pStyle w:val="BodyText"/>
              <w:rPr>
                <w:lang w:val="en-NZ"/>
              </w:rPr>
            </w:pPr>
            <w:r w:rsidRPr="00B71682">
              <w:rPr>
                <w:rStyle w:val="SpecialBold"/>
              </w:rPr>
              <w:t>PERFORMANCE CRITERIA</w:t>
            </w:r>
          </w:p>
        </w:tc>
      </w:tr>
      <w:tr w:rsidTr="004F10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71682">
            <w:pPr>
              <w:pStyle w:val="List"/>
              <w:rPr>
                <w:lang w:val="en-NZ"/>
              </w:rPr>
            </w:pPr>
            <w:r w:rsidRPr="00B71682">
              <w:t>1.</w:t>
            </w:r>
            <w:r w:rsidRPr="00B71682">
              <w:tab/>
              <w:t>Calculate water usage.</w:t>
            </w:r>
          </w:p>
        </w:tc>
        <w:tc>
          <w:tcPr>
            <w:tcW w:w="5955" w:type="dxa"/>
            <w:tcBorders>
              <w:top w:val="nil"/>
              <w:left w:val="nil"/>
              <w:bottom w:val="nil"/>
              <w:right w:val="nil"/>
            </w:tcBorders>
            <w:tcMar>
              <w:top w:w="0" w:type="dxa"/>
              <w:left w:w="62" w:type="dxa"/>
              <w:bottom w:w="0" w:type="dxa"/>
              <w:right w:w="62" w:type="dxa"/>
            </w:tcMar>
          </w:tcPr>
          <w:p w:rsidR="00000000" w:rsidRPr="00B71682" w:rsidP="00B71682">
            <w:pPr>
              <w:pStyle w:val="List2"/>
            </w:pPr>
            <w:r w:rsidRPr="00B71682">
              <w:t>1.1.</w:t>
            </w:r>
            <w:r w:rsidRPr="00B71682">
              <w:tab/>
            </w:r>
            <w:r w:rsidRPr="00B71682">
              <w:rPr>
                <w:rStyle w:val="BoldandItalics"/>
              </w:rPr>
              <w:t>Scope of work</w:t>
            </w:r>
            <w:r w:rsidRPr="00B71682">
              <w:t xml:space="preserve"> is established for water auditing. </w:t>
            </w:r>
          </w:p>
          <w:p w:rsidR="00000000" w:rsidRPr="00B71682" w:rsidP="00B71682">
            <w:pPr>
              <w:pStyle w:val="List2"/>
            </w:pPr>
            <w:r w:rsidRPr="00B71682">
              <w:t>1.2.</w:t>
            </w:r>
            <w:r w:rsidRPr="00B71682">
              <w:tab/>
            </w:r>
            <w:r w:rsidRPr="00B71682">
              <w:rPr>
                <w:rStyle w:val="BoldandItalics"/>
              </w:rPr>
              <w:t>Client requirements</w:t>
            </w:r>
            <w:r w:rsidRPr="00B71682">
              <w:t xml:space="preserve"> are identified from plans, specifications and client briefs. </w:t>
            </w:r>
          </w:p>
          <w:p w:rsidR="00000000" w:rsidRPr="00B71682" w:rsidP="00B71682">
            <w:pPr>
              <w:pStyle w:val="List2"/>
            </w:pPr>
            <w:r w:rsidRPr="00B71682">
              <w:t>1.3.</w:t>
            </w:r>
            <w:r w:rsidRPr="00B71682">
              <w:tab/>
            </w:r>
            <w:r w:rsidRPr="00B71682">
              <w:rPr>
                <w:rStyle w:val="BoldandItalics"/>
              </w:rPr>
              <w:t>Types of meter and flow measuring devices</w:t>
            </w:r>
            <w:r w:rsidRPr="00B71682">
              <w:t xml:space="preserve"> and their use and location are specified. </w:t>
            </w:r>
          </w:p>
          <w:p w:rsidR="00000000" w:rsidRPr="00B71682" w:rsidP="00B71682">
            <w:pPr>
              <w:pStyle w:val="List2"/>
            </w:pPr>
            <w:r w:rsidRPr="00B71682">
              <w:t>1.4.</w:t>
            </w:r>
            <w:r w:rsidRPr="00B71682">
              <w:tab/>
            </w:r>
            <w:r w:rsidRPr="00B71682">
              <w:rPr>
                <w:rStyle w:val="BoldandItalics"/>
              </w:rPr>
              <w:t>Flow and pressure tests</w:t>
            </w:r>
            <w:r w:rsidRPr="00B71682">
              <w:t xml:space="preserve"> are conducted</w:t>
            </w:r>
            <w:r w:rsidRPr="00B71682">
              <w:t xml:space="preserve"> and flows at outlets are calculated. </w:t>
            </w:r>
          </w:p>
          <w:p w:rsidR="00000000" w:rsidRPr="00B71682" w:rsidP="00B71682">
            <w:pPr>
              <w:pStyle w:val="List2"/>
            </w:pPr>
            <w:r w:rsidRPr="00B71682">
              <w:t>1.5.</w:t>
            </w:r>
            <w:r w:rsidRPr="00B71682">
              <w:tab/>
              <w:t>Anticipated water use is compared to actual use and difference is calculated.</w:t>
            </w:r>
          </w:p>
          <w:p w:rsidR="00000000" w:rsidRPr="00B71682" w:rsidP="00B71682">
            <w:pPr>
              <w:pStyle w:val="List2"/>
            </w:pPr>
            <w:r w:rsidRPr="00B71682">
              <w:t>1.6.</w:t>
            </w:r>
            <w:r w:rsidRPr="00B71682">
              <w:tab/>
            </w:r>
            <w:r w:rsidRPr="00B71682">
              <w:rPr>
                <w:rStyle w:val="BoldandItalics"/>
              </w:rPr>
              <w:t>Statutory and local government regulatory requirements</w:t>
            </w:r>
            <w:r w:rsidRPr="00B71682">
              <w:t xml:space="preserve"> for the use of water are interpreted and applied. </w:t>
            </w:r>
          </w:p>
          <w:p w:rsidR="00000000" w:rsidRPr="00B71682" w:rsidP="00B71682">
            <w:pPr>
              <w:pStyle w:val="List2"/>
            </w:pPr>
            <w:r w:rsidRPr="00B71682">
              <w:t>1.7.</w:t>
            </w:r>
            <w:r w:rsidRPr="00B71682">
              <w:tab/>
            </w:r>
            <w:r w:rsidRPr="00B71682">
              <w:rPr>
                <w:rStyle w:val="BoldandItalics"/>
              </w:rPr>
              <w:t>Manufacturer requi</w:t>
            </w:r>
            <w:r w:rsidRPr="00B71682">
              <w:rPr>
                <w:rStyle w:val="BoldandItalics"/>
              </w:rPr>
              <w:t>rements</w:t>
            </w:r>
            <w:r w:rsidRPr="00B71682">
              <w:t xml:space="preserve"> and trade and technical manuals are interpreted. </w:t>
            </w:r>
          </w:p>
          <w:p w:rsidR="00000000" w:rsidP="00B71682">
            <w:pPr>
              <w:pStyle w:val="List2"/>
              <w:rPr>
                <w:lang w:val="en-NZ"/>
              </w:rPr>
            </w:pPr>
            <w:r w:rsidRPr="00B71682">
              <w:t>1.8.</w:t>
            </w:r>
            <w:r w:rsidRPr="00B71682">
              <w:tab/>
            </w:r>
            <w:r w:rsidRPr="00B71682">
              <w:rPr>
                <w:rStyle w:val="BoldandItalics"/>
              </w:rPr>
              <w:t>Desktop study</w:t>
            </w:r>
            <w:r w:rsidRPr="00B71682">
              <w:t xml:space="preserve"> is conducted and </w:t>
            </w:r>
            <w:r w:rsidRPr="00B71682">
              <w:rPr>
                <w:rStyle w:val="BoldandItalics"/>
              </w:rPr>
              <w:t>performance requirements</w:t>
            </w:r>
            <w:r w:rsidRPr="00B71682">
              <w:t xml:space="preserve"> are established. </w:t>
            </w:r>
          </w:p>
        </w:tc>
      </w:tr>
      <w:tr w:rsidTr="004F10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71682">
            <w:pPr>
              <w:pStyle w:val="List"/>
              <w:rPr>
                <w:lang w:val="en-NZ"/>
              </w:rPr>
            </w:pPr>
            <w:r w:rsidRPr="00B71682">
              <w:t>2.</w:t>
            </w:r>
            <w:r w:rsidRPr="00B71682">
              <w:tab/>
              <w:t>Identify excessive water and energy usage.</w:t>
            </w:r>
          </w:p>
        </w:tc>
        <w:tc>
          <w:tcPr>
            <w:tcW w:w="5955" w:type="dxa"/>
            <w:tcBorders>
              <w:top w:val="nil"/>
              <w:left w:val="nil"/>
              <w:bottom w:val="nil"/>
              <w:right w:val="nil"/>
            </w:tcBorders>
            <w:tcMar>
              <w:top w:w="0" w:type="dxa"/>
              <w:left w:w="62" w:type="dxa"/>
              <w:bottom w:w="0" w:type="dxa"/>
              <w:right w:w="62" w:type="dxa"/>
            </w:tcMar>
          </w:tcPr>
          <w:p w:rsidR="00000000" w:rsidRPr="00B71682" w:rsidP="00B71682">
            <w:pPr>
              <w:pStyle w:val="List2"/>
            </w:pPr>
            <w:r w:rsidRPr="00B71682">
              <w:t>2.1.</w:t>
            </w:r>
            <w:r w:rsidRPr="00B71682">
              <w:tab/>
            </w:r>
            <w:r w:rsidRPr="00B71682">
              <w:rPr>
                <w:rStyle w:val="BoldandItalics"/>
              </w:rPr>
              <w:t>Leak identification processes</w:t>
            </w:r>
            <w:r w:rsidRPr="00B71682">
              <w:t xml:space="preserve"> are implemented. </w:t>
            </w:r>
          </w:p>
          <w:p w:rsidR="00000000" w:rsidRPr="00B71682" w:rsidP="00B71682">
            <w:pPr>
              <w:pStyle w:val="List2"/>
            </w:pPr>
            <w:r w:rsidRPr="00B71682">
              <w:t>2.2.</w:t>
            </w:r>
            <w:r w:rsidRPr="00B71682">
              <w:tab/>
            </w:r>
            <w:r w:rsidRPr="00B71682">
              <w:t>Flows are measured and evaluated against national and industry standards.</w:t>
            </w:r>
          </w:p>
          <w:p w:rsidR="00000000" w:rsidRPr="00B71682" w:rsidP="00B71682">
            <w:pPr>
              <w:pStyle w:val="List2"/>
            </w:pPr>
            <w:r w:rsidRPr="00B71682">
              <w:t>2.3.</w:t>
            </w:r>
            <w:r w:rsidRPr="00B71682">
              <w:tab/>
              <w:t>Suitability of existing fixtures and fittings is evaluated against new technology.</w:t>
            </w:r>
          </w:p>
          <w:p w:rsidR="00000000" w:rsidRPr="00B71682" w:rsidP="00B71682">
            <w:pPr>
              <w:pStyle w:val="List2"/>
            </w:pPr>
            <w:r w:rsidRPr="00B71682">
              <w:t>2.4.</w:t>
            </w:r>
            <w:r w:rsidRPr="00B71682">
              <w:tab/>
              <w:t>Water use times are identified and compared to optimal timing.</w:t>
            </w:r>
          </w:p>
          <w:p w:rsidR="00000000" w:rsidRPr="00B71682" w:rsidP="00B71682">
            <w:pPr>
              <w:pStyle w:val="List2"/>
            </w:pPr>
            <w:r w:rsidRPr="00B71682">
              <w:t>2.5.</w:t>
            </w:r>
            <w:r w:rsidRPr="00B71682">
              <w:tab/>
              <w:t xml:space="preserve">Existing inefficient </w:t>
            </w:r>
            <w:r w:rsidRPr="00B71682">
              <w:t>system conditions, such as dead legs, are identified and analysed.</w:t>
            </w:r>
          </w:p>
          <w:p w:rsidR="00000000" w:rsidP="00B71682">
            <w:pPr>
              <w:pStyle w:val="List2"/>
              <w:rPr>
                <w:lang w:val="en-NZ"/>
              </w:rPr>
            </w:pPr>
            <w:r w:rsidRPr="00B71682">
              <w:t>2.6.</w:t>
            </w:r>
            <w:r w:rsidRPr="00B71682">
              <w:tab/>
              <w:t>Pressure test is conducted and consequences of high and low pressures are identified and compared to industry standards.</w:t>
            </w:r>
          </w:p>
        </w:tc>
      </w:tr>
      <w:tr w:rsidTr="004F10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71682">
            <w:pPr>
              <w:pStyle w:val="List"/>
              <w:rPr>
                <w:lang w:val="en-NZ"/>
              </w:rPr>
            </w:pPr>
            <w:r w:rsidRPr="00B71682">
              <w:t>3.</w:t>
            </w:r>
            <w:r w:rsidRPr="00B71682">
              <w:tab/>
              <w:t>Evaluate measures to conserve water and energy.</w:t>
            </w:r>
          </w:p>
        </w:tc>
        <w:tc>
          <w:tcPr>
            <w:tcW w:w="5955" w:type="dxa"/>
            <w:tcBorders>
              <w:top w:val="nil"/>
              <w:left w:val="nil"/>
              <w:bottom w:val="nil"/>
              <w:right w:val="nil"/>
            </w:tcBorders>
            <w:tcMar>
              <w:top w:w="0" w:type="dxa"/>
              <w:left w:w="62" w:type="dxa"/>
              <w:bottom w:w="0" w:type="dxa"/>
              <w:right w:w="62" w:type="dxa"/>
            </w:tcMar>
          </w:tcPr>
          <w:p w:rsidR="00000000" w:rsidRPr="00B71682" w:rsidP="00B71682">
            <w:pPr>
              <w:pStyle w:val="List2"/>
            </w:pPr>
            <w:r w:rsidRPr="00B71682">
              <w:t>3.1.</w:t>
            </w:r>
            <w:r w:rsidRPr="00B71682">
              <w:tab/>
              <w:t>Flow r</w:t>
            </w:r>
            <w:r w:rsidRPr="00B71682">
              <w:t xml:space="preserve">estrictors, </w:t>
            </w:r>
            <w:r w:rsidRPr="00B71682">
              <w:rPr>
                <w:rStyle w:val="BoldandItalics"/>
              </w:rPr>
              <w:t>sensors</w:t>
            </w:r>
            <w:r w:rsidRPr="00B71682">
              <w:t xml:space="preserve"> and pressure-limiting devices are specified for a range of applications. </w:t>
            </w:r>
          </w:p>
          <w:p w:rsidR="00000000" w:rsidRPr="00B71682" w:rsidP="00B71682">
            <w:pPr>
              <w:pStyle w:val="List2"/>
            </w:pPr>
            <w:r w:rsidRPr="00B71682">
              <w:t>3.2.</w:t>
            </w:r>
            <w:r w:rsidRPr="00B71682">
              <w:tab/>
            </w:r>
            <w:r w:rsidRPr="00B71682">
              <w:rPr>
                <w:rStyle w:val="BoldandItalics"/>
              </w:rPr>
              <w:t>Automatic systems</w:t>
            </w:r>
            <w:r w:rsidRPr="00B71682">
              <w:t xml:space="preserve"> are specified for a range of applications. </w:t>
            </w:r>
          </w:p>
          <w:p w:rsidR="00000000" w:rsidRPr="00B71682" w:rsidP="00B71682">
            <w:pPr>
              <w:pStyle w:val="List2"/>
            </w:pPr>
            <w:r w:rsidRPr="00B71682">
              <w:t>3.3.</w:t>
            </w:r>
            <w:r w:rsidRPr="00B71682">
              <w:tab/>
            </w:r>
            <w:r w:rsidRPr="00B71682">
              <w:rPr>
                <w:rStyle w:val="BoldandItalics"/>
              </w:rPr>
              <w:t>Alternative processes and practices</w:t>
            </w:r>
            <w:r w:rsidRPr="00B71682">
              <w:t xml:space="preserve"> are evaluated for optimum water and energy usage. </w:t>
            </w:r>
          </w:p>
          <w:p w:rsidR="00000000" w:rsidRPr="00B71682" w:rsidP="00B71682">
            <w:pPr>
              <w:pStyle w:val="List2"/>
            </w:pPr>
            <w:r w:rsidRPr="00B71682">
              <w:t>3.4</w:t>
            </w:r>
            <w:r w:rsidRPr="00B71682">
              <w:t>.</w:t>
            </w:r>
            <w:r w:rsidRPr="00B71682">
              <w:tab/>
            </w:r>
            <w:r w:rsidRPr="00B71682">
              <w:rPr>
                <w:rStyle w:val="BoldandItalics"/>
              </w:rPr>
              <w:t>Alternative fixtures and fittings</w:t>
            </w:r>
            <w:r w:rsidRPr="00B71682">
              <w:t xml:space="preserve"> are evaluated for optimum water and energy usage. </w:t>
            </w:r>
          </w:p>
          <w:p w:rsidR="00000000" w:rsidRPr="00B71682" w:rsidP="00B71682">
            <w:pPr>
              <w:pStyle w:val="List2"/>
            </w:pPr>
            <w:r w:rsidRPr="00B71682">
              <w:t>3.5.</w:t>
            </w:r>
            <w:r w:rsidRPr="00B71682">
              <w:tab/>
            </w:r>
            <w:r w:rsidRPr="00B71682">
              <w:rPr>
                <w:rStyle w:val="BoldandItalics"/>
              </w:rPr>
              <w:t>Rainwater harvesting</w:t>
            </w:r>
            <w:r w:rsidRPr="00B71682">
              <w:t xml:space="preserve"> techniques and processes are applied. </w:t>
            </w:r>
          </w:p>
          <w:p w:rsidR="00000000" w:rsidP="00B71682">
            <w:pPr>
              <w:pStyle w:val="List2"/>
              <w:rPr>
                <w:lang w:val="en-NZ"/>
              </w:rPr>
            </w:pPr>
            <w:r w:rsidRPr="00B71682">
              <w:t>3.6.</w:t>
            </w:r>
            <w:r w:rsidRPr="00B71682">
              <w:tab/>
            </w:r>
            <w:r w:rsidRPr="00B71682">
              <w:rPr>
                <w:rStyle w:val="BoldandItalics"/>
              </w:rPr>
              <w:t>Recycling and re</w:t>
            </w:r>
            <w:r w:rsidRPr="00B71682">
              <w:t>-</w:t>
            </w:r>
            <w:r w:rsidRPr="00B71682">
              <w:rPr>
                <w:rStyle w:val="BoldandItalics"/>
              </w:rPr>
              <w:t>use processes</w:t>
            </w:r>
            <w:r w:rsidRPr="00B71682">
              <w:t xml:space="preserve"> are designed. </w:t>
            </w:r>
          </w:p>
        </w:tc>
      </w:tr>
      <w:tr w:rsidTr="004F1005">
        <w:tblPrEx>
          <w:tblW w:w="0" w:type="auto"/>
          <w:tblLayout w:type="fixed"/>
          <w:tblCellMar>
            <w:left w:w="62" w:type="dxa"/>
            <w:right w:w="62" w:type="dxa"/>
          </w:tblCellMar>
          <w:tblLook w:val="0000"/>
        </w:tblPrEx>
        <w:tc>
          <w:tcPr>
            <w:tcW w:w="2567" w:type="dxa"/>
            <w:tcBorders>
              <w:top w:val="nil"/>
              <w:left w:val="nil"/>
              <w:bottom w:val="nil"/>
              <w:right w:val="nil"/>
            </w:tcBorders>
            <w:tcMar>
              <w:top w:w="0" w:type="dxa"/>
              <w:left w:w="62" w:type="dxa"/>
              <w:bottom w:w="0" w:type="dxa"/>
              <w:right w:w="62" w:type="dxa"/>
            </w:tcMar>
          </w:tcPr>
          <w:p w:rsidR="00000000" w:rsidP="00B71682">
            <w:pPr>
              <w:pStyle w:val="List"/>
              <w:rPr>
                <w:lang w:val="en-NZ"/>
              </w:rPr>
            </w:pPr>
            <w:r w:rsidRPr="00B71682">
              <w:t>4.</w:t>
            </w:r>
            <w:r w:rsidRPr="00B71682">
              <w:tab/>
              <w:t>Report findings.</w:t>
            </w:r>
          </w:p>
        </w:tc>
        <w:tc>
          <w:tcPr>
            <w:tcW w:w="5955" w:type="dxa"/>
            <w:tcBorders>
              <w:top w:val="nil"/>
              <w:left w:val="nil"/>
              <w:bottom w:val="nil"/>
              <w:right w:val="nil"/>
            </w:tcBorders>
            <w:tcMar>
              <w:top w:w="0" w:type="dxa"/>
              <w:left w:w="62" w:type="dxa"/>
              <w:bottom w:w="0" w:type="dxa"/>
              <w:right w:w="62" w:type="dxa"/>
            </w:tcMar>
          </w:tcPr>
          <w:p w:rsidR="00000000" w:rsidRPr="00B71682" w:rsidP="00B71682">
            <w:pPr>
              <w:pStyle w:val="List2"/>
            </w:pPr>
            <w:r w:rsidRPr="00B71682">
              <w:t>4.1.</w:t>
            </w:r>
            <w:r w:rsidRPr="00B71682">
              <w:tab/>
            </w:r>
            <w:r w:rsidRPr="00B71682">
              <w:rPr>
                <w:rStyle w:val="BoldandItalics"/>
              </w:rPr>
              <w:t>Cost</w:t>
            </w:r>
            <w:r w:rsidRPr="00B71682">
              <w:t>-</w:t>
            </w:r>
            <w:r w:rsidRPr="00B71682">
              <w:rPr>
                <w:rStyle w:val="BoldandItalics"/>
              </w:rPr>
              <w:t>benefit analysis</w:t>
            </w:r>
            <w:r w:rsidRPr="00B71682">
              <w:t xml:space="preserve"> is co</w:t>
            </w:r>
            <w:r w:rsidRPr="00B71682">
              <w:t xml:space="preserve">nducted, including the investment return period. </w:t>
            </w:r>
          </w:p>
          <w:p w:rsidR="00000000" w:rsidRPr="00B71682" w:rsidP="00B71682">
            <w:pPr>
              <w:pStyle w:val="List2"/>
            </w:pPr>
            <w:r w:rsidRPr="00B71682">
              <w:t>4.2.</w:t>
            </w:r>
            <w:r w:rsidRPr="00B71682">
              <w:tab/>
            </w:r>
            <w:r w:rsidRPr="00B71682">
              <w:rPr>
                <w:rStyle w:val="BoldandItalics"/>
              </w:rPr>
              <w:t>Water and energy audit report</w:t>
            </w:r>
            <w:r w:rsidRPr="00B71682">
              <w:t xml:space="preserve"> is prepared. </w:t>
            </w:r>
          </w:p>
          <w:p w:rsidR="00000000" w:rsidRPr="00B71682" w:rsidP="00B71682">
            <w:pPr>
              <w:pStyle w:val="List2"/>
            </w:pPr>
            <w:r w:rsidRPr="00B71682">
              <w:t>4.3.</w:t>
            </w:r>
            <w:r w:rsidRPr="00B71682">
              <w:tab/>
              <w:t>Resultant environmental benefits and water and energy savings are identified and reported.</w:t>
            </w:r>
          </w:p>
        </w:tc>
      </w:tr>
    </w:tbl>
    <w:p w:rsidR="004F1005" w:rsidP="00B71682">
      <w:pPr>
        <w:pStyle w:val="BodyText"/>
      </w:pPr>
    </w:p>
    <w:p w:rsidR="004F1005" w:rsidP="00B71682">
      <w:pPr>
        <w:pStyle w:val="BodyText"/>
      </w:pPr>
    </w:p>
    <w:p w:rsidR="00000000" w:rsidRPr="00B71682" w:rsidP="00B71682">
      <w:pPr>
        <w:pStyle w:val="Heading1"/>
      </w:pPr>
      <w:bookmarkStart w:id="9" w:name="O_258560"/>
      <w:bookmarkEnd w:id="9"/>
      <w:r w:rsidRPr="00B71682">
        <w:t>Required Skills and Knowledge</w:t>
      </w:r>
    </w:p>
    <w:tbl>
      <w:tblPr>
        <w:tblW w:w="0" w:type="auto"/>
        <w:tblLayout w:type="fixed"/>
        <w:tblCellMar>
          <w:left w:w="62" w:type="dxa"/>
          <w:right w:w="62" w:type="dxa"/>
        </w:tblCellMar>
        <w:tblLook w:val="0000"/>
      </w:tblPr>
      <w:tblGrid>
        <w:gridCol w:w="8522"/>
      </w:tblGrid>
      <w:tr w:rsidTr="004F1005">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REQUIRED SKILLS AND KNOWLEDGE</w:t>
            </w:r>
          </w:p>
        </w:tc>
      </w:tr>
      <w:tr w:rsidTr="004F1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t>This section describes the skills and knowledge required for this unit.</w:t>
            </w:r>
          </w:p>
        </w:tc>
      </w:tr>
      <w:tr w:rsidTr="004F1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Required skills</w:t>
            </w:r>
          </w:p>
        </w:tc>
      </w:tr>
      <w:tr w:rsidTr="004F1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Required skills for this unit are:</w:t>
            </w:r>
          </w:p>
          <w:p w:rsidR="00000000" w:rsidRPr="00B71682" w:rsidP="00B71682">
            <w:pPr>
              <w:pStyle w:val="ListBullet"/>
            </w:pPr>
            <w:r w:rsidRPr="00B71682">
              <w:t>accurately applying design principles relating to hydraulic systems, d</w:t>
            </w:r>
            <w:r w:rsidRPr="00B71682">
              <w:t>esign concepts, measurements and calculations</w:t>
            </w:r>
          </w:p>
          <w:p w:rsidR="00000000" w:rsidRPr="00B71682" w:rsidP="00B71682">
            <w:pPr>
              <w:pStyle w:val="ListBullet"/>
            </w:pPr>
            <w:r w:rsidRPr="00B71682">
              <w:t>applying and interpreting documentation from a wide range of sources, including legislation, standards, drawings and specifications</w:t>
            </w:r>
          </w:p>
          <w:p w:rsidR="00000000" w:rsidRPr="00B71682" w:rsidP="00B71682">
            <w:pPr>
              <w:pStyle w:val="ListBullet"/>
            </w:pPr>
            <w:r w:rsidRPr="00B71682">
              <w:t>communication skills to:</w:t>
            </w:r>
          </w:p>
          <w:p w:rsidR="00000000" w:rsidRPr="00B71682" w:rsidP="00B71682">
            <w:pPr>
              <w:pStyle w:val="ListBullet2"/>
            </w:pPr>
            <w:r w:rsidRPr="00B71682">
              <w:t>communicate with others to ensure safe and effective</w:t>
            </w:r>
            <w:r w:rsidRPr="00B71682">
              <w:t xml:space="preserve"> work practices</w:t>
            </w:r>
          </w:p>
          <w:p w:rsidR="00000000" w:rsidRPr="00B71682" w:rsidP="00B71682">
            <w:pPr>
              <w:pStyle w:val="ListBullet2"/>
            </w:pPr>
            <w:r w:rsidRPr="00B71682">
              <w:t>confirm job specifications and client requirements</w:t>
            </w:r>
          </w:p>
          <w:p w:rsidR="00000000" w:rsidRPr="00B71682" w:rsidP="00B71682">
            <w:pPr>
              <w:pStyle w:val="ListBullet2"/>
            </w:pPr>
            <w:r w:rsidRPr="00B71682">
              <w:t>enable clear and direct communication, using questioning to identify and confirm requirements, share information, listen and understand</w:t>
            </w:r>
          </w:p>
          <w:p w:rsidR="00000000" w:rsidRPr="00B71682" w:rsidP="00B71682">
            <w:pPr>
              <w:pStyle w:val="ListBullet2"/>
            </w:pPr>
            <w:r w:rsidRPr="00B71682">
              <w:t>read and interpret:</w:t>
            </w:r>
          </w:p>
          <w:p w:rsidR="00000000" w:rsidRPr="00B71682" w:rsidP="00B71682">
            <w:pPr>
              <w:pStyle w:val="ListBullet3"/>
            </w:pPr>
            <w:r w:rsidRPr="00B71682">
              <w:t>plans, specifications, drawings and design briefs</w:t>
            </w:r>
          </w:p>
          <w:p w:rsidR="00000000" w:rsidRPr="00B71682" w:rsidP="00B71682">
            <w:pPr>
              <w:pStyle w:val="ListBullet3"/>
            </w:pPr>
            <w:r w:rsidRPr="00B71682">
              <w:t>standards and manufacturer requirements and manuals</w:t>
            </w:r>
          </w:p>
          <w:p w:rsidR="00000000" w:rsidRPr="00B71682" w:rsidP="00B71682">
            <w:pPr>
              <w:pStyle w:val="ListBullet3"/>
            </w:pPr>
            <w:r w:rsidRPr="00B71682">
              <w:t>statutory and regulatory requirements</w:t>
            </w:r>
          </w:p>
          <w:p w:rsidR="00000000" w:rsidRPr="00B71682" w:rsidP="00B71682">
            <w:pPr>
              <w:pStyle w:val="ListBullet2"/>
            </w:pPr>
            <w:r w:rsidRPr="00B71682">
              <w:t>use language and concepts appropriate to cultural differences</w:t>
            </w:r>
          </w:p>
          <w:p w:rsidR="00000000" w:rsidRPr="00B71682" w:rsidP="00B71682">
            <w:pPr>
              <w:pStyle w:val="ListBullet2"/>
            </w:pPr>
            <w:r w:rsidRPr="00B71682">
              <w:t>use and interpret non-verbal communication, such as h</w:t>
            </w:r>
            <w:r w:rsidRPr="00B71682">
              <w:t>and signals</w:t>
            </w:r>
          </w:p>
          <w:p w:rsidR="00000000" w:rsidRPr="00B71682" w:rsidP="00B71682">
            <w:pPr>
              <w:pStyle w:val="ListBullet"/>
            </w:pPr>
            <w:r w:rsidRPr="00B71682">
              <w:t>written skills to prepare a water and energy audit report</w:t>
            </w:r>
          </w:p>
          <w:p w:rsidR="00000000" w:rsidRPr="00B71682" w:rsidP="00B71682">
            <w:pPr>
              <w:pStyle w:val="ListBullet"/>
            </w:pPr>
            <w:r w:rsidRPr="00B71682">
              <w:t>complying with OHS and organisational quality procedures and processes</w:t>
            </w:r>
          </w:p>
          <w:p w:rsidR="00000000" w:rsidRPr="00B71682" w:rsidP="00B71682">
            <w:pPr>
              <w:pStyle w:val="ListBullet"/>
            </w:pPr>
            <w:r w:rsidRPr="00B71682">
              <w:t>innovation skills to develop creative and responsive approaches to conserving water and energy</w:t>
            </w:r>
          </w:p>
          <w:p w:rsidR="00000000" w:rsidRPr="00B71682" w:rsidP="00B71682">
            <w:pPr>
              <w:pStyle w:val="ListBullet"/>
            </w:pPr>
            <w:r w:rsidRPr="00B71682">
              <w:t>numeracy skills to apply measurements and calculations</w:t>
            </w:r>
          </w:p>
          <w:p w:rsidR="00000000" w:rsidRPr="00B71682" w:rsidP="00B71682">
            <w:pPr>
              <w:pStyle w:val="ListBullet"/>
            </w:pPr>
            <w:r w:rsidRPr="00B71682">
              <w:t>planning and organisational skills to:</w:t>
            </w:r>
          </w:p>
          <w:p w:rsidR="00000000" w:rsidRPr="00B71682" w:rsidP="00B71682">
            <w:pPr>
              <w:pStyle w:val="ListBullet2"/>
            </w:pPr>
            <w:r w:rsidRPr="00B71682">
              <w:t>research, collect, organise and understand information relating to water use</w:t>
            </w:r>
          </w:p>
          <w:p w:rsidR="00000000" w:rsidRPr="00B71682" w:rsidP="00B71682">
            <w:pPr>
              <w:pStyle w:val="ListBullet2"/>
            </w:pPr>
            <w:r w:rsidRPr="00B71682">
              <w:t>take initiative and make decisions</w:t>
            </w:r>
          </w:p>
          <w:p w:rsidR="00000000" w:rsidRPr="00B71682" w:rsidP="00B71682">
            <w:pPr>
              <w:pStyle w:val="ListBullet"/>
            </w:pPr>
            <w:r w:rsidRPr="00B71682">
              <w:t>problem solving skills to:</w:t>
            </w:r>
          </w:p>
          <w:p w:rsidR="00000000" w:rsidRPr="00B71682" w:rsidP="00B71682">
            <w:pPr>
              <w:pStyle w:val="ListBullet2"/>
            </w:pPr>
            <w:r w:rsidRPr="00B71682">
              <w:t>analyse requirements</w:t>
            </w:r>
          </w:p>
          <w:p w:rsidR="00000000" w:rsidRPr="00B71682" w:rsidP="00B71682">
            <w:pPr>
              <w:pStyle w:val="ListBullet2"/>
            </w:pPr>
            <w:r w:rsidRPr="00B71682">
              <w:t>carry out tests</w:t>
            </w:r>
          </w:p>
          <w:p w:rsidR="00000000" w:rsidRPr="00B71682" w:rsidP="00B71682">
            <w:pPr>
              <w:pStyle w:val="ListBullet2"/>
            </w:pPr>
            <w:r w:rsidRPr="00B71682">
              <w:t>consider options</w:t>
            </w:r>
          </w:p>
          <w:p w:rsidR="00000000" w:rsidRPr="00B71682" w:rsidP="00B71682">
            <w:pPr>
              <w:pStyle w:val="ListBullet2"/>
            </w:pPr>
            <w:r w:rsidRPr="00B71682">
              <w:t>recommend appropriate water and energy saving measures</w:t>
            </w:r>
          </w:p>
          <w:p w:rsidR="00000000" w:rsidP="00B71682">
            <w:pPr>
              <w:pStyle w:val="ListBullet"/>
              <w:rPr>
                <w:lang w:val="en-NZ"/>
              </w:rPr>
            </w:pPr>
            <w:r w:rsidRPr="00B71682">
              <w:t>teamwork skills to work with others to action tasks and relate to people from a range of cultural and ethnic backgrounds and with varying physical and mental abilities.</w:t>
            </w:r>
          </w:p>
        </w:tc>
      </w:tr>
      <w:tr w:rsidTr="004F1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Required knowledge</w:t>
            </w:r>
          </w:p>
        </w:tc>
      </w:tr>
      <w:tr w:rsidTr="004F1005">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Required knowledge for this unit is:</w:t>
            </w:r>
          </w:p>
          <w:p w:rsidR="00000000" w:rsidRPr="00B71682" w:rsidP="00B71682">
            <w:pPr>
              <w:pStyle w:val="ListBullet"/>
            </w:pPr>
            <w:r w:rsidRPr="00B71682">
              <w:t>hazards associated with devices and systems used in the hydraulic sector</w:t>
            </w:r>
          </w:p>
          <w:p w:rsidR="00000000" w:rsidRPr="00B71682" w:rsidP="00B71682">
            <w:pPr>
              <w:pStyle w:val="ListBullet"/>
            </w:pPr>
            <w:r w:rsidRPr="00B71682">
              <w:t>installation methods used in hydraulic systems</w:t>
            </w:r>
          </w:p>
          <w:p w:rsidR="00000000" w:rsidRPr="00B71682" w:rsidP="00B71682">
            <w:pPr>
              <w:pStyle w:val="ListBullet"/>
            </w:pPr>
            <w:r w:rsidRPr="00B71682">
              <w:t>nature of materials and effect of their performance in a variety of conditions</w:t>
            </w:r>
          </w:p>
          <w:p w:rsidR="00000000" w:rsidRPr="00B71682" w:rsidP="00B71682">
            <w:pPr>
              <w:pStyle w:val="ListBullet"/>
            </w:pPr>
            <w:r w:rsidRPr="00B71682">
              <w:t>preparation and interpretation of work drawings and specifications</w:t>
            </w:r>
          </w:p>
          <w:p w:rsidR="00000000" w:rsidRPr="00B71682" w:rsidP="00B71682">
            <w:pPr>
              <w:pStyle w:val="ListBullet"/>
            </w:pPr>
            <w:r w:rsidRPr="00B71682">
              <w:t>requirements of state regulatory authorities, Australian and New Zealand standards, manufacturer specification</w:t>
            </w:r>
            <w:r w:rsidRPr="00B71682">
              <w:t>s, Building Code of Australia (BCA) and other applicable codes or standard operating procedures relevant to the sector</w:t>
            </w:r>
          </w:p>
          <w:p w:rsidR="00000000" w:rsidRPr="00B71682" w:rsidP="00B71682">
            <w:pPr>
              <w:pStyle w:val="ListBullet"/>
            </w:pPr>
            <w:r w:rsidRPr="00B71682">
              <w:t>terminology and definitions used in hydraulic design</w:t>
            </w:r>
          </w:p>
          <w:p w:rsidR="00000000" w:rsidRPr="00B71682" w:rsidP="00B71682">
            <w:pPr>
              <w:pStyle w:val="ListBullet"/>
            </w:pPr>
            <w:r w:rsidRPr="00B71682">
              <w:t>variety of applications of technology principles in design of water and energy-effic</w:t>
            </w:r>
            <w:r w:rsidRPr="00B71682">
              <w:t>ient usage systems for all classes of building.</w:t>
            </w:r>
          </w:p>
        </w:tc>
      </w:tr>
    </w:tbl>
    <w:p w:rsidR="004F1005" w:rsidP="00B71682">
      <w:pPr>
        <w:pStyle w:val="BodyText"/>
      </w:pPr>
    </w:p>
    <w:p w:rsidR="004F1005" w:rsidP="00B71682">
      <w:pPr>
        <w:pStyle w:val="BodyText"/>
      </w:pPr>
    </w:p>
    <w:p w:rsidR="00000000" w:rsidRPr="00B71682" w:rsidP="00B71682">
      <w:pPr>
        <w:pStyle w:val="AllowPageBreak"/>
      </w:pPr>
    </w:p>
    <w:p w:rsidR="00000000" w:rsidRPr="00B71682" w:rsidP="00B71682">
      <w:pPr>
        <w:pStyle w:val="Heading1"/>
      </w:pPr>
      <w:bookmarkStart w:id="10" w:name="O_242594"/>
      <w:bookmarkEnd w:id="10"/>
      <w:r w:rsidRPr="00B71682">
        <w:t>Evidence Guide</w:t>
      </w:r>
    </w:p>
    <w:tbl>
      <w:tblPr>
        <w:tblW w:w="0" w:type="auto"/>
        <w:tblLayout w:type="fixed"/>
        <w:tblCellMar>
          <w:left w:w="62" w:type="dxa"/>
          <w:right w:w="62" w:type="dxa"/>
        </w:tblCellMar>
        <w:tblLook w:val="0000"/>
      </w:tblPr>
      <w:tblGrid>
        <w:gridCol w:w="3499"/>
        <w:gridCol w:w="5023"/>
      </w:tblGrid>
      <w:tr w:rsidTr="004F100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71682">
            <w:pPr>
              <w:pStyle w:val="BodyText"/>
              <w:rPr>
                <w:lang w:val="en-NZ"/>
              </w:rPr>
            </w:pPr>
            <w:r w:rsidRPr="00B71682">
              <w:rPr>
                <w:rStyle w:val="SpecialBold"/>
              </w:rPr>
              <w:t>EVIDENCE GUIDE</w:t>
            </w:r>
          </w:p>
        </w:tc>
      </w:tr>
      <w:tr w:rsidTr="004F100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71682">
            <w:pPr>
              <w:pStyle w:val="BodyText"/>
              <w:rPr>
                <w:lang w:val="en-NZ"/>
              </w:rPr>
            </w:pPr>
            <w:r w:rsidRPr="00B71682">
              <w:t>The evidence guide provides advice on assessment and must be read in conjunction with the performance criteria, required skills and knowledge, range statement and the Assessment Guidelines for the Training Package.</w:t>
            </w:r>
          </w:p>
        </w:tc>
      </w:tr>
      <w:tr w:rsidTr="004F100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Overview of assessment</w:t>
            </w:r>
          </w:p>
        </w:tc>
        <w:tc>
          <w:tcPr>
            <w:tcW w:w="5023"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This unit of competency could be assessed in the workplace or a close simulation of the workplace environment providing that simulated or project-based assessment techniques fully replicate plumbing and services workplace conditions, materials, activities,</w:t>
            </w:r>
            <w:r w:rsidRPr="00B71682">
              <w:t xml:space="preserve"> responsibilities and procedures.</w:t>
            </w:r>
          </w:p>
          <w:p w:rsidR="00000000" w:rsidP="00B71682">
            <w:pPr>
              <w:pStyle w:val="BodyText"/>
              <w:rPr>
                <w:lang w:val="en-NZ"/>
              </w:rPr>
            </w:pPr>
            <w:r w:rsidRPr="00B71682">
              <w:t xml:space="preserve">It could be assessed on its own or as part of an integrated assessment activity involving audit of water and energy use in at least two different types of building and the preparation of comprehensive reports. </w:t>
            </w:r>
          </w:p>
        </w:tc>
      </w:tr>
      <w:tr w:rsidTr="004F100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Critical a</w:t>
            </w:r>
            <w:r w:rsidRPr="00B71682">
              <w:rPr>
                <w:rStyle w:val="SpecialBold"/>
              </w:rPr>
              <w:t>spects for assessment and evidence required to demonstrate competency in this unit</w:t>
            </w:r>
          </w:p>
        </w:tc>
        <w:tc>
          <w:tcPr>
            <w:tcW w:w="5023"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A person who demonstrates competency in this unit must be able to provide evidence of:</w:t>
            </w:r>
          </w:p>
          <w:p w:rsidR="00000000" w:rsidRPr="00B71682" w:rsidP="00B71682">
            <w:pPr>
              <w:pStyle w:val="ListBullet"/>
            </w:pPr>
            <w:r w:rsidRPr="00B71682">
              <w:t>conducting a water audit</w:t>
            </w:r>
          </w:p>
          <w:p w:rsidR="00000000" w:rsidRPr="00B71682" w:rsidP="00B71682">
            <w:pPr>
              <w:pStyle w:val="ListBullet"/>
            </w:pPr>
            <w:r w:rsidRPr="00B71682">
              <w:t>conducting pressure and flow measurements</w:t>
            </w:r>
          </w:p>
          <w:p w:rsidR="00000000" w:rsidRPr="00B71682" w:rsidP="00B71682">
            <w:pPr>
              <w:pStyle w:val="ListBullet"/>
            </w:pPr>
            <w:r w:rsidRPr="00B71682">
              <w:t>interpreting and ap</w:t>
            </w:r>
            <w:r w:rsidRPr="00B71682">
              <w:t>plying statutory and local government requirements for the use of water and energy</w:t>
            </w:r>
          </w:p>
          <w:p w:rsidR="00000000" w:rsidRPr="00B71682" w:rsidP="00B71682">
            <w:pPr>
              <w:pStyle w:val="ListBullet"/>
            </w:pPr>
            <w:r w:rsidRPr="00B71682">
              <w:t>reporting water wasting practices and processes, including leaks</w:t>
            </w:r>
          </w:p>
          <w:p w:rsidR="00000000" w:rsidRPr="00B71682" w:rsidP="00B71682">
            <w:pPr>
              <w:pStyle w:val="ListBullet"/>
            </w:pPr>
            <w:r w:rsidRPr="00B71682">
              <w:t>specifying sensors and automatic systems for a range of applications</w:t>
            </w:r>
          </w:p>
          <w:p w:rsidR="00000000" w:rsidRPr="00B71682" w:rsidP="00B71682">
            <w:pPr>
              <w:pStyle w:val="ListBullet"/>
            </w:pPr>
            <w:r w:rsidRPr="00B71682">
              <w:t>recommending recycling and re-use proce</w:t>
            </w:r>
            <w:r w:rsidRPr="00B71682">
              <w:t>sses</w:t>
            </w:r>
          </w:p>
          <w:p w:rsidR="00000000" w:rsidRPr="00B71682" w:rsidP="00B71682">
            <w:pPr>
              <w:pStyle w:val="ListBullet"/>
            </w:pPr>
            <w:r w:rsidRPr="00B71682">
              <w:t>preparing a water and energy audit report</w:t>
            </w:r>
          </w:p>
          <w:p w:rsidR="00000000" w:rsidRPr="00B71682" w:rsidP="00B71682">
            <w:pPr>
              <w:pStyle w:val="ListBullet"/>
            </w:pPr>
            <w:r w:rsidRPr="00B71682">
              <w:t>conducting a cost-benefit analysis, including investment return period</w:t>
            </w:r>
          </w:p>
          <w:p w:rsidR="00000000" w:rsidP="00B71682">
            <w:pPr>
              <w:pStyle w:val="ListBullet"/>
              <w:rPr>
                <w:lang w:val="en-NZ"/>
              </w:rPr>
            </w:pPr>
            <w:r w:rsidRPr="00B71682">
              <w:t>identifying and reporting on environmental benefits and water and energy savings.</w:t>
            </w:r>
          </w:p>
        </w:tc>
      </w:tr>
      <w:tr w:rsidTr="004F100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Context of and specific resources for assessment</w:t>
            </w:r>
          </w:p>
        </w:tc>
        <w:tc>
          <w:tcPr>
            <w:tcW w:w="5023"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This competency is to be assessed using standard and authorised work practices, safety requirements and environmental constraints.</w:t>
            </w:r>
          </w:p>
          <w:p w:rsidR="00000000" w:rsidRPr="00B71682" w:rsidP="00B71682">
            <w:pPr>
              <w:pStyle w:val="BodyText"/>
            </w:pPr>
            <w:r w:rsidRPr="00B71682">
              <w:t>Assessment of essential underpinning knowledge will usually be conducted in an off-site context.</w:t>
            </w:r>
          </w:p>
          <w:p w:rsidR="00000000" w:rsidRPr="00B71682" w:rsidP="00B71682">
            <w:pPr>
              <w:pStyle w:val="BodyText"/>
            </w:pPr>
            <w:r w:rsidRPr="00B71682">
              <w:t>Assessment is to comply with</w:t>
            </w:r>
            <w:r w:rsidRPr="00B71682">
              <w:t xml:space="preserve"> relevant regulatory or Australian standards' requirements.</w:t>
            </w:r>
          </w:p>
          <w:p w:rsidR="00000000" w:rsidRPr="00B71682" w:rsidP="00B71682">
            <w:pPr>
              <w:pStyle w:val="BodyText"/>
            </w:pPr>
            <w:r w:rsidRPr="00B71682">
              <w:t>Resource implications for assessment include:</w:t>
            </w:r>
          </w:p>
          <w:p w:rsidR="00000000" w:rsidRPr="00B71682" w:rsidP="00B71682">
            <w:pPr>
              <w:pStyle w:val="ListBullet"/>
            </w:pPr>
            <w:r w:rsidRPr="00B71682">
              <w:t>an induction procedure and requirement</w:t>
            </w:r>
          </w:p>
          <w:p w:rsidR="00000000" w:rsidRPr="00B71682" w:rsidP="00B71682">
            <w:pPr>
              <w:pStyle w:val="ListBullet"/>
            </w:pPr>
            <w:r w:rsidRPr="00B71682">
              <w:t>realistic tasks or simulated tasks covering the minimum task requirements</w:t>
            </w:r>
          </w:p>
          <w:p w:rsidR="00000000" w:rsidRPr="00B71682" w:rsidP="00B71682">
            <w:pPr>
              <w:pStyle w:val="ListBullet"/>
            </w:pPr>
            <w:r w:rsidRPr="00B71682">
              <w:t>relevant specifications and work inst</w:t>
            </w:r>
            <w:r w:rsidRPr="00B71682">
              <w:t>ructions, including design brief drawings, specifications, codes, design concepts and construction schedules</w:t>
            </w:r>
          </w:p>
          <w:p w:rsidR="00000000" w:rsidRPr="00B71682" w:rsidP="00B71682">
            <w:pPr>
              <w:pStyle w:val="ListBullet"/>
            </w:pPr>
            <w:r w:rsidRPr="00B71682">
              <w:t>tools and equipment appropriate to applying safe work practices, including computers, software and calculators</w:t>
            </w:r>
          </w:p>
          <w:p w:rsidR="00000000" w:rsidRPr="00B71682" w:rsidP="00B71682">
            <w:pPr>
              <w:pStyle w:val="ListBullet"/>
            </w:pPr>
            <w:r w:rsidRPr="00B71682">
              <w:t>workplace instructions relating to s</w:t>
            </w:r>
            <w:r w:rsidRPr="00B71682">
              <w:t>afe working practices and addressing hazards and emergencies</w:t>
            </w:r>
          </w:p>
          <w:p w:rsidR="00000000" w:rsidRPr="00B71682" w:rsidP="00B71682">
            <w:pPr>
              <w:pStyle w:val="ListBullet"/>
            </w:pPr>
            <w:r w:rsidRPr="00B71682">
              <w:t>material safety data sheets</w:t>
            </w:r>
          </w:p>
          <w:p w:rsidR="00000000" w:rsidRPr="00B71682" w:rsidP="00B71682">
            <w:pPr>
              <w:pStyle w:val="ListBullet"/>
            </w:pPr>
            <w:r w:rsidRPr="00B71682">
              <w:t>research resources, including industry related systems information.</w:t>
            </w:r>
          </w:p>
          <w:p w:rsidR="00000000" w:rsidP="00B71682">
            <w:pPr>
              <w:pStyle w:val="BodyText"/>
              <w:rPr>
                <w:lang w:val="en-NZ"/>
              </w:rPr>
            </w:pPr>
            <w:r w:rsidRPr="00B71682">
              <w:t>Reasonable adjustments for people with disabilities must be made to assessment processes where requ</w:t>
            </w:r>
            <w:r w:rsidRPr="00B71682">
              <w:t xml:space="preserve">ired. This could include access to modified equipment and other physical resources, and the provision of appropriate assessment support. </w:t>
            </w:r>
          </w:p>
        </w:tc>
      </w:tr>
      <w:tr w:rsidTr="004F1005">
        <w:tblPrEx>
          <w:tblW w:w="0" w:type="auto"/>
          <w:tblLayout w:type="fixed"/>
          <w:tblCellMar>
            <w:left w:w="62" w:type="dxa"/>
            <w:right w:w="62" w:type="dxa"/>
          </w:tblCellMar>
          <w:tblLook w:val="0000"/>
        </w:tblPrEx>
        <w:tc>
          <w:tcPr>
            <w:tcW w:w="3499"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Method of assessment</w:t>
            </w:r>
          </w:p>
        </w:tc>
        <w:tc>
          <w:tcPr>
            <w:tcW w:w="5023"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Assessment methods must:</w:t>
            </w:r>
          </w:p>
          <w:p w:rsidR="00000000" w:rsidRPr="00B71682" w:rsidP="00B71682">
            <w:pPr>
              <w:pStyle w:val="ListBullet"/>
            </w:pPr>
            <w:r w:rsidRPr="00B71682">
              <w:t>satisfy the endorsed Ass</w:t>
            </w:r>
            <w:r w:rsidRPr="00B71682">
              <w:t>essment Guidelines of the Construction, Plumbing and Services Training Package</w:t>
            </w:r>
          </w:p>
          <w:p w:rsidR="00000000" w:rsidRPr="00B71682" w:rsidP="00B71682">
            <w:pPr>
              <w:pStyle w:val="ListBullet"/>
            </w:pPr>
            <w:r w:rsidRPr="00B71682">
              <w:t xml:space="preserve">include direct observation of tasks in real or simulated work conditions, with questioning to confirm the ability to consistently identify and correctly interpret the essential </w:t>
            </w:r>
            <w:r w:rsidRPr="00B71682">
              <w:t>underpinning knowledge required for practical application</w:t>
            </w:r>
          </w:p>
          <w:p w:rsidR="00000000" w:rsidRPr="00B71682" w:rsidP="00B71682">
            <w:pPr>
              <w:pStyle w:val="ListBullet"/>
            </w:pPr>
            <w:r w:rsidRPr="00B71682">
              <w:t>reinforce the integration of employability skills with workplace tasks and job roles</w:t>
            </w:r>
          </w:p>
          <w:p w:rsidR="00000000" w:rsidRPr="00B71682" w:rsidP="00B71682">
            <w:pPr>
              <w:pStyle w:val="ListBullet"/>
            </w:pPr>
            <w:r w:rsidRPr="00B71682">
              <w:t>confirm that competency is verified and able to be transferred to other circumstances and environments.</w:t>
            </w:r>
          </w:p>
          <w:p w:rsidR="00000000" w:rsidRPr="00B71682" w:rsidP="00B71682">
            <w:pPr>
              <w:pStyle w:val="BodyText"/>
            </w:pPr>
            <w:r w:rsidRPr="00B71682">
              <w:t xml:space="preserve">Validity </w:t>
            </w:r>
            <w:r w:rsidRPr="00B71682">
              <w:t>and sufficiency of evidence requires that:</w:t>
            </w:r>
          </w:p>
          <w:p w:rsidR="00000000" w:rsidRPr="00B71682" w:rsidP="00B71682">
            <w:pPr>
              <w:pStyle w:val="ListBullet"/>
            </w:pPr>
            <w:r w:rsidRPr="00B71682">
              <w:t>competency will need to be demonstrated over a period of time reflecting the scope of the role and the practical requirements of the workplace</w:t>
            </w:r>
          </w:p>
          <w:p w:rsidR="00000000" w:rsidRPr="00B71682" w:rsidP="00B71682">
            <w:pPr>
              <w:pStyle w:val="ListBullet"/>
            </w:pPr>
            <w:r w:rsidRPr="00B71682">
              <w:t>where the assessment is part of a structured learning experience the e</w:t>
            </w:r>
            <w:r w:rsidRPr="00B71682">
              <w:t>vidence collected must relate to a number of performances assessed at different points in time and separated by further learning and practice, with a decision on competency only taken at the point when the assessor has complete confidence in the person's d</w:t>
            </w:r>
            <w:r w:rsidRPr="00B71682">
              <w:t>emonstrated ability and applied knowledge</w:t>
            </w:r>
          </w:p>
          <w:p w:rsidR="00000000" w:rsidRPr="00B71682" w:rsidP="00B71682">
            <w:pPr>
              <w:pStyle w:val="ListBullet"/>
            </w:pPr>
            <w:r w:rsidRPr="00B71682">
              <w:t>all assessment that is part of a structured learning experience must include a combination of direct, indirect and supplementary evidence.</w:t>
            </w:r>
          </w:p>
          <w:p w:rsidR="00000000" w:rsidRPr="00B71682" w:rsidP="00B71682">
            <w:pPr>
              <w:pStyle w:val="BodyText"/>
            </w:pPr>
            <w:r w:rsidRPr="00B71682">
              <w:t>Assessment processes and techniques should as far as is practical take into</w:t>
            </w:r>
            <w:r w:rsidRPr="00B71682">
              <w:t xml:space="preserve"> account the language, literacy and numeracy capacity of the candidate in relation to the competency being assessed.</w:t>
            </w:r>
          </w:p>
          <w:p w:rsidR="00000000" w:rsidRPr="00B71682" w:rsidP="00B71682">
            <w:pPr>
              <w:pStyle w:val="BodyText"/>
            </w:pPr>
            <w:r w:rsidRPr="00B71682">
              <w:t>Supplementary evidence of competency may be obtained from relevant authenticated documentation from third parties, such as existing supervi</w:t>
            </w:r>
            <w:r w:rsidRPr="00B71682">
              <w:t xml:space="preserve">sors, team leaders or specialist training staff. </w:t>
            </w:r>
          </w:p>
        </w:tc>
      </w:tr>
    </w:tbl>
    <w:p w:rsidR="004F1005" w:rsidP="00B71682">
      <w:pPr>
        <w:pStyle w:val="BodyText"/>
      </w:pPr>
    </w:p>
    <w:p w:rsidR="004F1005" w:rsidP="00B71682">
      <w:pPr>
        <w:pStyle w:val="BodyText"/>
      </w:pPr>
    </w:p>
    <w:p w:rsidR="00000000" w:rsidRPr="00B71682" w:rsidP="00B71682">
      <w:pPr>
        <w:pStyle w:val="Heading1"/>
      </w:pPr>
      <w:bookmarkStart w:id="11" w:name="O_250577"/>
      <w:bookmarkEnd w:id="11"/>
      <w:r w:rsidRPr="00B71682">
        <w:t>Range Statement</w:t>
      </w:r>
    </w:p>
    <w:tbl>
      <w:tblPr>
        <w:tblW w:w="0" w:type="auto"/>
        <w:tblLayout w:type="fixed"/>
        <w:tblCellMar>
          <w:left w:w="62" w:type="dxa"/>
          <w:right w:w="62" w:type="dxa"/>
        </w:tblCellMar>
        <w:tblLook w:val="0000"/>
      </w:tblPr>
      <w:tblGrid>
        <w:gridCol w:w="3477"/>
        <w:gridCol w:w="5045"/>
      </w:tblGrid>
      <w:tr w:rsidTr="004F1005">
        <w:tblPrEx>
          <w:tblW w:w="0" w:type="auto"/>
          <w:tblLayout w:type="fixed"/>
          <w:tblCellMar>
            <w:left w:w="62" w:type="dxa"/>
            <w:right w:w="62" w:type="dxa"/>
          </w:tblCellMar>
          <w:tblLook w:val="0000"/>
        </w:tblPrEx>
        <w:trPr>
          <w:tblHeader/>
        </w:trPr>
        <w:tc>
          <w:tcPr>
            <w:tcW w:w="8522" w:type="dxa"/>
            <w:gridSpan w:val="2"/>
            <w:tcBorders>
              <w:top w:val="nil"/>
              <w:left w:val="nil"/>
              <w:bottom w:val="single" w:sz="6" w:space="0" w:color="auto"/>
              <w:right w:val="nil"/>
            </w:tcBorders>
            <w:tcMar>
              <w:top w:w="0" w:type="dxa"/>
              <w:left w:w="62" w:type="dxa"/>
              <w:bottom w:w="0" w:type="dxa"/>
              <w:right w:w="62" w:type="dxa"/>
            </w:tcMar>
          </w:tcPr>
          <w:p w:rsidR="00000000" w:rsidP="00B71682">
            <w:pPr>
              <w:pStyle w:val="BodyText"/>
              <w:rPr>
                <w:lang w:val="en-NZ"/>
              </w:rPr>
            </w:pPr>
            <w:r w:rsidRPr="00B71682">
              <w:rPr>
                <w:rStyle w:val="SpecialBold"/>
              </w:rPr>
              <w:t>RANGE STATEMENT</w:t>
            </w:r>
          </w:p>
        </w:tc>
      </w:tr>
      <w:tr w:rsidTr="004F1005">
        <w:tblPrEx>
          <w:tblW w:w="0" w:type="auto"/>
          <w:tblLayout w:type="fixed"/>
          <w:tblCellMar>
            <w:left w:w="62" w:type="dxa"/>
            <w:right w:w="62" w:type="dxa"/>
          </w:tblCellMar>
          <w:tblLook w:val="0000"/>
        </w:tblPrEx>
        <w:tc>
          <w:tcPr>
            <w:tcW w:w="8522" w:type="dxa"/>
            <w:gridSpan w:val="2"/>
            <w:tcBorders>
              <w:top w:val="single" w:sz="6" w:space="0" w:color="auto"/>
              <w:left w:val="nil"/>
              <w:bottom w:val="nil"/>
              <w:right w:val="nil"/>
            </w:tcBorders>
            <w:tcMar>
              <w:top w:w="0" w:type="dxa"/>
              <w:left w:w="62" w:type="dxa"/>
              <w:bottom w:w="0" w:type="dxa"/>
              <w:right w:w="62" w:type="dxa"/>
            </w:tcMar>
          </w:tcPr>
          <w:p w:rsidR="00000000" w:rsidP="00B71682">
            <w:pPr>
              <w:pStyle w:val="BodyText"/>
              <w:rPr>
                <w:lang w:val="en-NZ"/>
              </w:rPr>
            </w:pPr>
            <w:r w:rsidRPr="00B71682">
              <w:t xml:space="preserve">The range statement relates to the unit of competency as a whole. It allows for different work environments and situations that may affect </w:t>
            </w:r>
            <w:r w:rsidRPr="00B71682">
              <w:t>performance. Bold italicised wording, if used in the performance criteria, is detailed below. Essential operating conditions that may be present with training and assessment (depending on the work situation, needs of the candidate, accessibility of the ite</w:t>
            </w:r>
            <w:r w:rsidRPr="00B71682">
              <w:t>m, and local industry and regional contexts) may also be included.</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Scope of work</w:t>
            </w:r>
            <w:r w:rsidRPr="00B71682">
              <w:t xml:space="preserve"> includes:</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compiling reports</w:t>
            </w:r>
          </w:p>
          <w:p w:rsidR="00000000" w:rsidRPr="00B71682" w:rsidP="00B71682">
            <w:pPr>
              <w:pStyle w:val="ListBullet"/>
            </w:pPr>
            <w:r w:rsidRPr="00B71682">
              <w:t>identifying:</w:t>
            </w:r>
          </w:p>
          <w:p w:rsidR="00000000" w:rsidRPr="00B71682" w:rsidP="00B71682">
            <w:pPr>
              <w:pStyle w:val="ListBullet2"/>
            </w:pPr>
            <w:r w:rsidRPr="00B71682">
              <w:t>alternative procedures, practices and products that reduce water and energy consumption</w:t>
            </w:r>
          </w:p>
          <w:p w:rsidR="00000000" w:rsidRPr="00B71682" w:rsidP="00B71682">
            <w:pPr>
              <w:pStyle w:val="ListBullet2"/>
            </w:pPr>
            <w:r w:rsidRPr="00B71682">
              <w:t>wasted water</w:t>
            </w:r>
          </w:p>
          <w:p w:rsidR="00000000" w:rsidRPr="00B71682" w:rsidP="00B71682">
            <w:pPr>
              <w:pStyle w:val="ListBullet2"/>
            </w:pPr>
            <w:r w:rsidRPr="00B71682">
              <w:t>water-saving initiatives</w:t>
            </w:r>
          </w:p>
          <w:p w:rsidR="00000000" w:rsidP="00B71682">
            <w:pPr>
              <w:pStyle w:val="ListBullet"/>
              <w:rPr>
                <w:lang w:val="en-NZ"/>
              </w:rPr>
            </w:pPr>
            <w:r w:rsidRPr="00B71682">
              <w:t>producing a cost-benefit analysis.</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Client requirements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compliance with regulatory requirements</w:t>
            </w:r>
          </w:p>
          <w:p w:rsidR="00000000" w:rsidRPr="00B71682" w:rsidP="00B71682">
            <w:pPr>
              <w:pStyle w:val="ListBullet"/>
            </w:pPr>
            <w:r w:rsidRPr="00B71682">
              <w:t>more efficient use of water resources</w:t>
            </w:r>
          </w:p>
          <w:p w:rsidR="00000000" w:rsidRPr="00B71682" w:rsidP="00B71682">
            <w:pPr>
              <w:pStyle w:val="ListBullet"/>
            </w:pPr>
            <w:r w:rsidRPr="00B71682">
              <w:t>reduction in water and energy costs</w:t>
            </w:r>
          </w:p>
          <w:p w:rsidR="00000000" w:rsidP="00B71682">
            <w:pPr>
              <w:pStyle w:val="ListBullet"/>
              <w:rPr>
                <w:lang w:val="en-NZ"/>
              </w:rPr>
            </w:pPr>
            <w:r w:rsidRPr="00B71682">
              <w:t>reserve capacity.</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Types of meter and flow measuring devices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applications, which may include:</w:t>
            </w:r>
          </w:p>
          <w:p w:rsidR="00000000" w:rsidRPr="00B71682" w:rsidP="00B71682">
            <w:pPr>
              <w:pStyle w:val="ListBullet2"/>
            </w:pPr>
            <w:r w:rsidRPr="00B71682">
              <w:t>domestic supply</w:t>
            </w:r>
          </w:p>
          <w:p w:rsidR="00000000" w:rsidRPr="00B71682" w:rsidP="00B71682">
            <w:pPr>
              <w:pStyle w:val="ListBullet2"/>
            </w:pPr>
            <w:r w:rsidRPr="00B71682">
              <w:t>irrigation</w:t>
            </w:r>
          </w:p>
          <w:p w:rsidR="00000000" w:rsidRPr="00B71682" w:rsidP="00B71682">
            <w:pPr>
              <w:pStyle w:val="ListBullet2"/>
            </w:pPr>
            <w:r w:rsidRPr="00B71682">
              <w:t>mechanical</w:t>
            </w:r>
          </w:p>
          <w:p w:rsidR="00000000" w:rsidRPr="00B71682" w:rsidP="00B71682">
            <w:pPr>
              <w:pStyle w:val="ListBullet2"/>
            </w:pPr>
            <w:r w:rsidRPr="00B71682">
              <w:t>sanitation</w:t>
            </w:r>
          </w:p>
          <w:p w:rsidR="00000000" w:rsidRPr="00B71682" w:rsidP="00B71682">
            <w:pPr>
              <w:pStyle w:val="ListBullet2"/>
            </w:pPr>
            <w:r w:rsidRPr="00B71682">
              <w:t>trade waste</w:t>
            </w:r>
          </w:p>
          <w:p w:rsidR="00000000" w:rsidRPr="00B71682" w:rsidP="00B71682">
            <w:pPr>
              <w:pStyle w:val="ListBullet"/>
            </w:pPr>
            <w:r w:rsidRPr="00B71682">
              <w:t>direct</w:t>
            </w:r>
          </w:p>
          <w:p w:rsidR="00000000" w:rsidRPr="00B71682" w:rsidP="00B71682">
            <w:pPr>
              <w:pStyle w:val="ListBullet"/>
            </w:pPr>
            <w:r w:rsidRPr="00B71682">
              <w:t>electronic</w:t>
            </w:r>
          </w:p>
          <w:p w:rsidR="00000000" w:rsidRPr="00B71682" w:rsidP="00B71682">
            <w:pPr>
              <w:pStyle w:val="ListBullet"/>
            </w:pPr>
            <w:r w:rsidRPr="00B71682">
              <w:t>hand-held</w:t>
            </w:r>
          </w:p>
          <w:p w:rsidR="00000000" w:rsidRPr="00B71682" w:rsidP="00B71682">
            <w:pPr>
              <w:pStyle w:val="ListBullet"/>
            </w:pPr>
            <w:r w:rsidRPr="00B71682">
              <w:t>indirect</w:t>
            </w:r>
          </w:p>
          <w:p w:rsidR="00000000" w:rsidRPr="00B71682" w:rsidP="00B71682">
            <w:pPr>
              <w:pStyle w:val="ListBullet"/>
            </w:pPr>
            <w:r w:rsidRPr="00B71682">
              <w:t>in-line</w:t>
            </w:r>
          </w:p>
          <w:p w:rsidR="00000000" w:rsidP="00B71682">
            <w:pPr>
              <w:pStyle w:val="ListBullet"/>
              <w:rPr>
                <w:lang w:val="en-NZ"/>
              </w:rPr>
            </w:pPr>
            <w:r w:rsidRPr="00B71682">
              <w:t>mechanical.</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Flow and pressure tests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interpretation of flow and pressure tests conducted by a contractor</w:t>
            </w:r>
          </w:p>
          <w:p w:rsidR="00000000" w:rsidP="00B71682">
            <w:pPr>
              <w:pStyle w:val="ListBullet"/>
              <w:rPr>
                <w:lang w:val="en-NZ"/>
              </w:rPr>
            </w:pPr>
            <w:r w:rsidRPr="00B71682">
              <w:t>on-site measurement of flow (l and s), velocity (m and s) and pressure (kPa).</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Statutory and local government regulatory requirements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Acts and regulations</w:t>
            </w:r>
          </w:p>
          <w:p w:rsidR="00000000" w:rsidRPr="00B71682" w:rsidP="00B71682">
            <w:pPr>
              <w:pStyle w:val="ListBullet"/>
            </w:pPr>
            <w:r w:rsidRPr="00B71682">
              <w:t>BCA</w:t>
            </w:r>
          </w:p>
          <w:p w:rsidR="00000000" w:rsidP="00B71682">
            <w:pPr>
              <w:pStyle w:val="ListBullet"/>
              <w:rPr>
                <w:lang w:val="en-NZ"/>
              </w:rPr>
            </w:pPr>
            <w:r w:rsidRPr="00B71682">
              <w:t>state and local government policies.</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Manufacturer requirements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material specif</w:t>
            </w:r>
            <w:r w:rsidRPr="00B71682">
              <w:t>ications</w:t>
            </w:r>
          </w:p>
          <w:p w:rsidR="00000000" w:rsidRPr="00B71682" w:rsidP="00B71682">
            <w:pPr>
              <w:pStyle w:val="ListBullet"/>
            </w:pPr>
            <w:r w:rsidRPr="00B71682">
              <w:t>pump tables</w:t>
            </w:r>
          </w:p>
          <w:p w:rsidR="00000000" w:rsidRPr="00B71682" w:rsidP="00B71682">
            <w:pPr>
              <w:pStyle w:val="ListBullet"/>
            </w:pPr>
            <w:r w:rsidRPr="00B71682">
              <w:t>sizing tables</w:t>
            </w:r>
          </w:p>
          <w:p w:rsidR="00000000" w:rsidP="00B71682">
            <w:pPr>
              <w:pStyle w:val="ListBullet"/>
              <w:rPr>
                <w:lang w:val="en-NZ"/>
              </w:rPr>
            </w:pPr>
            <w:r w:rsidRPr="00B71682">
              <w:t>technical and trade manuals.</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Desktop study</w:t>
            </w:r>
            <w:r w:rsidRPr="00B71682">
              <w:t xml:space="preserve"> includes:</w:t>
            </w:r>
          </w:p>
        </w:tc>
        <w:tc>
          <w:tcPr>
            <w:tcW w:w="5045" w:type="dxa"/>
            <w:tcBorders>
              <w:top w:val="nil"/>
              <w:left w:val="nil"/>
              <w:bottom w:val="nil"/>
              <w:right w:val="nil"/>
            </w:tcBorders>
            <w:tcMar>
              <w:top w:w="0" w:type="dxa"/>
              <w:left w:w="62" w:type="dxa"/>
              <w:bottom w:w="0" w:type="dxa"/>
              <w:right w:w="62" w:type="dxa"/>
            </w:tcMar>
          </w:tcPr>
          <w:p w:rsidR="00000000" w:rsidP="00B71682">
            <w:pPr>
              <w:pStyle w:val="ListBullet"/>
              <w:rPr>
                <w:lang w:val="en-NZ"/>
              </w:rPr>
            </w:pPr>
            <w:r w:rsidRPr="00B71682">
              <w:t>research and evaluation of water-saving products, processes and procedures currently available.</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Performance requirements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P="00B71682">
            <w:pPr>
              <w:pStyle w:val="ListBullet"/>
              <w:rPr>
                <w:lang w:val="en-NZ"/>
              </w:rPr>
            </w:pPr>
            <w:r w:rsidRPr="00B71682">
              <w:t>flow, velocity, pressure and discharge requirements, established using Australian and New Zealand standards, local authority plans and BCA.</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Leak identification processes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electronic leak detection</w:t>
            </w:r>
          </w:p>
          <w:p w:rsidR="00000000" w:rsidRPr="00B71682" w:rsidP="00B71682">
            <w:pPr>
              <w:pStyle w:val="ListBullet"/>
            </w:pPr>
            <w:r w:rsidRPr="00B71682">
              <w:t>listening devices</w:t>
            </w:r>
          </w:p>
          <w:p w:rsidR="00000000" w:rsidRPr="00B71682" w:rsidP="00B71682">
            <w:pPr>
              <w:pStyle w:val="ListBullet"/>
            </w:pPr>
            <w:r w:rsidRPr="00B71682">
              <w:t>metering</w:t>
            </w:r>
          </w:p>
          <w:p w:rsidR="00000000" w:rsidP="00B71682">
            <w:pPr>
              <w:pStyle w:val="ListBullet"/>
              <w:rPr>
                <w:lang w:val="en-NZ"/>
              </w:rPr>
            </w:pPr>
            <w:r w:rsidRPr="00B71682">
              <w:t>pipe inspection cameras</w:t>
            </w:r>
            <w:r w:rsidRPr="00B71682">
              <w:t>.</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Sensors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energy</w:t>
            </w:r>
          </w:p>
          <w:p w:rsidR="00000000" w:rsidRPr="00B71682" w:rsidP="00B71682">
            <w:pPr>
              <w:pStyle w:val="ListBullet"/>
            </w:pPr>
            <w:r w:rsidRPr="00B71682">
              <w:t>entry and exit</w:t>
            </w:r>
          </w:p>
          <w:p w:rsidR="00000000" w:rsidRPr="00B71682" w:rsidP="00B71682">
            <w:pPr>
              <w:pStyle w:val="ListBullet"/>
            </w:pPr>
            <w:r w:rsidRPr="00B71682">
              <w:t>heat</w:t>
            </w:r>
          </w:p>
          <w:p w:rsidR="00000000" w:rsidRPr="00B71682" w:rsidP="00B71682">
            <w:pPr>
              <w:pStyle w:val="ListBullet"/>
            </w:pPr>
            <w:r w:rsidRPr="00B71682">
              <w:t>high and low level</w:t>
            </w:r>
          </w:p>
          <w:p w:rsidR="00000000" w:rsidRPr="00B71682" w:rsidP="00B71682">
            <w:pPr>
              <w:pStyle w:val="ListBullet"/>
            </w:pPr>
            <w:r w:rsidRPr="00B71682">
              <w:t>moisture</w:t>
            </w:r>
          </w:p>
          <w:p w:rsidR="00000000" w:rsidP="00B71682">
            <w:pPr>
              <w:pStyle w:val="ListBullet"/>
              <w:rPr>
                <w:lang w:val="en-NZ"/>
              </w:rPr>
            </w:pPr>
            <w:r w:rsidRPr="00B71682">
              <w:t>motion.</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Automatic systems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electronic and mechanical timer</w:t>
            </w:r>
          </w:p>
          <w:p w:rsidR="00000000" w:rsidRPr="00B71682" w:rsidP="00B71682">
            <w:pPr>
              <w:pStyle w:val="ListBullet"/>
            </w:pPr>
            <w:r w:rsidRPr="00B71682">
              <w:t>pressure-activated</w:t>
            </w:r>
          </w:p>
          <w:p w:rsidR="00000000" w:rsidRPr="00B71682" w:rsidP="00B71682">
            <w:pPr>
              <w:pStyle w:val="ListBullet"/>
            </w:pPr>
            <w:r w:rsidRPr="00B71682">
              <w:t>sprinkler</w:t>
            </w:r>
          </w:p>
          <w:p w:rsidR="00000000" w:rsidRPr="00B71682" w:rsidP="00B71682">
            <w:pPr>
              <w:pStyle w:val="ListBullet"/>
            </w:pPr>
            <w:r w:rsidRPr="00B71682">
              <w:t>sun-tracking</w:t>
            </w:r>
          </w:p>
          <w:p w:rsidR="00000000" w:rsidRPr="00B71682" w:rsidP="00B71682">
            <w:pPr>
              <w:pStyle w:val="ListBullet"/>
            </w:pPr>
            <w:r w:rsidRPr="00B71682">
              <w:t>use-activated</w:t>
            </w:r>
          </w:p>
          <w:p w:rsidR="00000000" w:rsidP="00B71682">
            <w:pPr>
              <w:pStyle w:val="ListBullet"/>
              <w:rPr>
                <w:lang w:val="en-NZ"/>
              </w:rPr>
            </w:pPr>
            <w:r w:rsidRPr="00B71682">
              <w:t>wind-activated.</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Alternative processes and practices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processes such as wash-down processes and order of operation</w:t>
            </w:r>
          </w:p>
          <w:p w:rsidR="00000000" w:rsidRPr="00B71682" w:rsidP="00B71682">
            <w:pPr>
              <w:pStyle w:val="ListBullet"/>
            </w:pPr>
            <w:r w:rsidRPr="00B71682">
              <w:t>alternatives may include:</w:t>
            </w:r>
          </w:p>
          <w:p w:rsidR="00000000" w:rsidRPr="00B71682" w:rsidP="00B71682">
            <w:pPr>
              <w:pStyle w:val="ListBullet2"/>
            </w:pPr>
            <w:r w:rsidRPr="00B71682">
              <w:t>change in materials used in a process</w:t>
            </w:r>
          </w:p>
          <w:p w:rsidR="00000000" w:rsidRPr="00B71682" w:rsidP="00B71682">
            <w:pPr>
              <w:pStyle w:val="ListBullet2"/>
            </w:pPr>
            <w:r w:rsidRPr="00B71682">
              <w:t>change in timing of a process</w:t>
            </w:r>
          </w:p>
          <w:p w:rsidR="00000000" w:rsidRPr="00B71682" w:rsidP="00B71682">
            <w:pPr>
              <w:pStyle w:val="ListBullet2"/>
            </w:pPr>
            <w:r w:rsidRPr="00B71682">
              <w:t>discontinuation of a process</w:t>
            </w:r>
          </w:p>
          <w:p w:rsidR="00000000" w:rsidRPr="00B71682" w:rsidP="00B71682">
            <w:pPr>
              <w:pStyle w:val="ListBullet2"/>
            </w:pPr>
            <w:r w:rsidRPr="00B71682">
              <w:t>modification of a process</w:t>
            </w:r>
          </w:p>
          <w:p w:rsidR="00000000" w:rsidRPr="00B71682" w:rsidP="00B71682">
            <w:pPr>
              <w:pStyle w:val="ListBullet"/>
            </w:pPr>
            <w:r w:rsidRPr="00B71682">
              <w:t>practices include:</w:t>
            </w:r>
          </w:p>
          <w:p w:rsidR="00000000" w:rsidRPr="00B71682" w:rsidP="00B71682">
            <w:pPr>
              <w:pStyle w:val="ListBullet2"/>
            </w:pPr>
            <w:r w:rsidRPr="00B71682">
              <w:t>running dishwashers and washing machines with full loads</w:t>
            </w:r>
          </w:p>
          <w:p w:rsidR="00000000" w:rsidRPr="00B71682" w:rsidP="00B71682">
            <w:pPr>
              <w:pStyle w:val="ListBullet2"/>
            </w:pPr>
            <w:r w:rsidRPr="00B71682">
              <w:t>testing pipe systems with air instead of water</w:t>
            </w:r>
          </w:p>
          <w:p w:rsidR="00000000" w:rsidRPr="00B71682" w:rsidP="00B71682">
            <w:pPr>
              <w:pStyle w:val="ListBullet2"/>
            </w:pPr>
            <w:r w:rsidRPr="00B71682">
              <w:t>washing teeth with the tap off</w:t>
            </w:r>
          </w:p>
          <w:p w:rsidR="00000000" w:rsidP="00B71682">
            <w:pPr>
              <w:pStyle w:val="ListBullet2"/>
              <w:rPr>
                <w:lang w:val="en-NZ"/>
              </w:rPr>
            </w:pPr>
            <w:r w:rsidRPr="00B71682">
              <w:t>watering before sunrise and after sunset.</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Alternative fixtures and fittings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continuous-flow gas water heaters</w:t>
            </w:r>
          </w:p>
          <w:p w:rsidR="00000000" w:rsidRPr="00B71682" w:rsidP="00B71682">
            <w:pPr>
              <w:pStyle w:val="ListBullet"/>
            </w:pPr>
            <w:r w:rsidRPr="00B71682">
              <w:t>h</w:t>
            </w:r>
            <w:r w:rsidRPr="00B71682">
              <w:t>eat-pump heated water systems</w:t>
            </w:r>
          </w:p>
          <w:p w:rsidR="00000000" w:rsidRPr="00B71682" w:rsidP="00B71682">
            <w:pPr>
              <w:pStyle w:val="ListBullet"/>
            </w:pPr>
            <w:r w:rsidRPr="00B71682">
              <w:t>irrigation systems</w:t>
            </w:r>
          </w:p>
          <w:p w:rsidR="00000000" w:rsidRPr="00B71682" w:rsidP="00B71682">
            <w:pPr>
              <w:pStyle w:val="ListBullet"/>
            </w:pPr>
            <w:r w:rsidRPr="00B71682">
              <w:t>low-energy and water-use appliances, include:</w:t>
            </w:r>
          </w:p>
          <w:p w:rsidR="00000000" w:rsidRPr="00B71682" w:rsidP="00B71682">
            <w:pPr>
              <w:pStyle w:val="ListBullet2"/>
            </w:pPr>
            <w:r w:rsidRPr="00B71682">
              <w:t>air conditioners</w:t>
            </w:r>
          </w:p>
          <w:p w:rsidR="00000000" w:rsidRPr="00B71682" w:rsidP="00B71682">
            <w:pPr>
              <w:pStyle w:val="ListBullet2"/>
            </w:pPr>
            <w:r w:rsidRPr="00B71682">
              <w:t>cisterns</w:t>
            </w:r>
          </w:p>
          <w:p w:rsidR="00000000" w:rsidRPr="00B71682" w:rsidP="00B71682">
            <w:pPr>
              <w:pStyle w:val="ListBullet2"/>
            </w:pPr>
            <w:r w:rsidRPr="00B71682">
              <w:t>cooling towers</w:t>
            </w:r>
          </w:p>
          <w:p w:rsidR="00000000" w:rsidRPr="00B71682" w:rsidP="00B71682">
            <w:pPr>
              <w:pStyle w:val="ListBullet2"/>
            </w:pPr>
            <w:r w:rsidRPr="00B71682">
              <w:t>dishwashers</w:t>
            </w:r>
          </w:p>
          <w:p w:rsidR="00000000" w:rsidRPr="00B71682" w:rsidP="00B71682">
            <w:pPr>
              <w:pStyle w:val="ListBullet2"/>
            </w:pPr>
            <w:r w:rsidRPr="00B71682">
              <w:t>freezers</w:t>
            </w:r>
          </w:p>
          <w:p w:rsidR="00000000" w:rsidRPr="00B71682" w:rsidP="00B71682">
            <w:pPr>
              <w:pStyle w:val="ListBullet2"/>
            </w:pPr>
            <w:r w:rsidRPr="00B71682">
              <w:t>low volume toilet flushing systems</w:t>
            </w:r>
          </w:p>
          <w:p w:rsidR="00000000" w:rsidRPr="00B71682" w:rsidP="00B71682">
            <w:pPr>
              <w:pStyle w:val="ListBullet2"/>
            </w:pPr>
            <w:r w:rsidRPr="00B71682">
              <w:t>refrigerators</w:t>
            </w:r>
          </w:p>
          <w:p w:rsidR="00000000" w:rsidRPr="00B71682" w:rsidP="00B71682">
            <w:pPr>
              <w:pStyle w:val="ListBullet2"/>
            </w:pPr>
            <w:r w:rsidRPr="00B71682">
              <w:t>tapware</w:t>
            </w:r>
          </w:p>
          <w:p w:rsidR="00000000" w:rsidRPr="00B71682" w:rsidP="00B71682">
            <w:pPr>
              <w:pStyle w:val="ListBullet2"/>
            </w:pPr>
            <w:r w:rsidRPr="00B71682">
              <w:t>urinals</w:t>
            </w:r>
          </w:p>
          <w:p w:rsidR="00000000" w:rsidRPr="00B71682" w:rsidP="00B71682">
            <w:pPr>
              <w:pStyle w:val="ListBullet2"/>
            </w:pPr>
            <w:r w:rsidRPr="00B71682">
              <w:t>washing machines</w:t>
            </w:r>
          </w:p>
          <w:p w:rsidR="00000000" w:rsidRPr="00B71682" w:rsidP="00B71682">
            <w:pPr>
              <w:pStyle w:val="ListBullet"/>
            </w:pPr>
            <w:r w:rsidRPr="00B71682">
              <w:t>low-flow shower roses</w:t>
            </w:r>
          </w:p>
          <w:p w:rsidR="00000000" w:rsidRPr="00B71682" w:rsidP="00B71682">
            <w:pPr>
              <w:pStyle w:val="ListBullet"/>
            </w:pPr>
            <w:r w:rsidRPr="00B71682">
              <w:t>outlet-flow control devices</w:t>
            </w:r>
          </w:p>
          <w:p w:rsidR="00000000" w:rsidP="00B71682">
            <w:pPr>
              <w:pStyle w:val="ListBullet"/>
              <w:rPr>
                <w:lang w:val="en-NZ"/>
              </w:rPr>
            </w:pPr>
            <w:r w:rsidRPr="00B71682">
              <w:t>solar heated water systems.</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Rainwater harvesting</w:t>
            </w:r>
            <w:r w:rsidRPr="00B71682">
              <w:t xml:space="preserve"> includes:</w:t>
            </w:r>
          </w:p>
        </w:tc>
        <w:tc>
          <w:tcPr>
            <w:tcW w:w="5045" w:type="dxa"/>
            <w:tcBorders>
              <w:top w:val="nil"/>
              <w:left w:val="nil"/>
              <w:bottom w:val="nil"/>
              <w:right w:val="nil"/>
            </w:tcBorders>
            <w:tcMar>
              <w:top w:w="0" w:type="dxa"/>
              <w:left w:w="62" w:type="dxa"/>
              <w:bottom w:w="0" w:type="dxa"/>
              <w:right w:w="62" w:type="dxa"/>
            </w:tcMar>
          </w:tcPr>
          <w:p w:rsidR="00000000" w:rsidP="00B71682">
            <w:pPr>
              <w:pStyle w:val="ListBullet"/>
              <w:rPr>
                <w:lang w:val="en-NZ"/>
              </w:rPr>
            </w:pPr>
            <w:r w:rsidRPr="00B71682">
              <w:t>collection, storage and distribution of rainwater, including the use of tanks and dams.</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Recycling and re</w:t>
            </w:r>
            <w:r w:rsidRPr="00B71682">
              <w:t>-</w:t>
            </w:r>
            <w:r w:rsidRPr="00B71682">
              <w:rPr>
                <w:rStyle w:val="BoldandItalics"/>
              </w:rPr>
              <w:t>use processes</w:t>
            </w:r>
            <w:r w:rsidRPr="00B71682">
              <w:t xml:space="preserve"> include:</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recycling water from washing down floors</w:t>
            </w:r>
          </w:p>
          <w:p w:rsidR="00000000" w:rsidRPr="00B71682" w:rsidP="00B71682">
            <w:pPr>
              <w:pStyle w:val="ListBullet"/>
            </w:pPr>
            <w:r w:rsidRPr="00B71682">
              <w:t>re-use of rinse water from washing processes</w:t>
            </w:r>
          </w:p>
          <w:p w:rsidR="00000000" w:rsidP="00B71682">
            <w:pPr>
              <w:pStyle w:val="ListBullet"/>
              <w:rPr>
                <w:lang w:val="en-NZ"/>
              </w:rPr>
            </w:pPr>
            <w:r w:rsidRPr="00B71682">
              <w:t>grey water re-use options.</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Cost</w:t>
            </w:r>
            <w:r w:rsidRPr="00B71682">
              <w:t>-</w:t>
            </w:r>
            <w:r w:rsidRPr="00B71682">
              <w:rPr>
                <w:rStyle w:val="BoldandItalics"/>
              </w:rPr>
              <w:t>benefit analysis</w:t>
            </w:r>
            <w:r w:rsidRPr="00B71682">
              <w:t xml:space="preserve"> includes:</w:t>
            </w:r>
          </w:p>
        </w:tc>
        <w:tc>
          <w:tcPr>
            <w:tcW w:w="5045" w:type="dxa"/>
            <w:tcBorders>
              <w:top w:val="nil"/>
              <w:left w:val="nil"/>
              <w:bottom w:val="nil"/>
              <w:right w:val="nil"/>
            </w:tcBorders>
            <w:tcMar>
              <w:top w:w="0" w:type="dxa"/>
              <w:left w:w="62" w:type="dxa"/>
              <w:bottom w:w="0" w:type="dxa"/>
              <w:right w:w="62" w:type="dxa"/>
            </w:tcMar>
          </w:tcPr>
          <w:p w:rsidR="00000000" w:rsidP="00B71682">
            <w:pPr>
              <w:pStyle w:val="ListBullet"/>
              <w:rPr>
                <w:lang w:val="en-NZ"/>
              </w:rPr>
            </w:pPr>
            <w:r w:rsidRPr="00B71682">
              <w:t>comparison of installation and set-up costs and cost recovery period with environmental water and energy savin</w:t>
            </w:r>
            <w:r w:rsidRPr="00B71682">
              <w:t>gs.</w:t>
            </w:r>
          </w:p>
        </w:tc>
      </w:tr>
      <w:tr w:rsidTr="004F1005">
        <w:tblPrEx>
          <w:tblW w:w="0" w:type="auto"/>
          <w:tblLayout w:type="fixed"/>
          <w:tblCellMar>
            <w:left w:w="62" w:type="dxa"/>
            <w:right w:w="62" w:type="dxa"/>
          </w:tblCellMar>
          <w:tblLook w:val="0000"/>
        </w:tblPrEx>
        <w:tc>
          <w:tcPr>
            <w:tcW w:w="347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BoldandItalics"/>
              </w:rPr>
              <w:t>Water and energy audit report</w:t>
            </w:r>
            <w:r w:rsidRPr="00B71682">
              <w:t xml:space="preserve"> is a comprehensive report written to industry standards that includes:</w:t>
            </w:r>
          </w:p>
        </w:tc>
        <w:tc>
          <w:tcPr>
            <w:tcW w:w="5045" w:type="dxa"/>
            <w:tcBorders>
              <w:top w:val="nil"/>
              <w:left w:val="nil"/>
              <w:bottom w:val="nil"/>
              <w:right w:val="nil"/>
            </w:tcBorders>
            <w:tcMar>
              <w:top w:w="0" w:type="dxa"/>
              <w:left w:w="62" w:type="dxa"/>
              <w:bottom w:w="0" w:type="dxa"/>
              <w:right w:w="62" w:type="dxa"/>
            </w:tcMar>
          </w:tcPr>
          <w:p w:rsidR="00000000" w:rsidRPr="00B71682" w:rsidP="00B71682">
            <w:pPr>
              <w:pStyle w:val="ListBullet"/>
            </w:pPr>
            <w:r w:rsidRPr="00B71682">
              <w:t>methodology</w:t>
            </w:r>
          </w:p>
          <w:p w:rsidR="00000000" w:rsidRPr="00B71682" w:rsidP="00B71682">
            <w:pPr>
              <w:pStyle w:val="ListBullet"/>
            </w:pPr>
            <w:r w:rsidRPr="00B71682">
              <w:t>results</w:t>
            </w:r>
          </w:p>
          <w:p w:rsidR="00000000" w:rsidRPr="00B71682" w:rsidP="00B71682">
            <w:pPr>
              <w:pStyle w:val="ListBullet"/>
            </w:pPr>
            <w:r w:rsidRPr="00B71682">
              <w:t>analysis</w:t>
            </w:r>
          </w:p>
          <w:p w:rsidR="00000000" w:rsidRPr="00B71682" w:rsidP="00B71682">
            <w:pPr>
              <w:pStyle w:val="ListBullet"/>
            </w:pPr>
            <w:r w:rsidRPr="00B71682">
              <w:t>conclusions</w:t>
            </w:r>
          </w:p>
          <w:p w:rsidR="00000000" w:rsidRPr="00B71682" w:rsidP="00B71682">
            <w:pPr>
              <w:pStyle w:val="ListBullet"/>
            </w:pPr>
            <w:r w:rsidRPr="00B71682">
              <w:t>recommendations.</w:t>
            </w:r>
          </w:p>
        </w:tc>
      </w:tr>
    </w:tbl>
    <w:p w:rsidR="004F1005" w:rsidP="00B71682">
      <w:pPr>
        <w:pStyle w:val="BodyText"/>
      </w:pPr>
    </w:p>
    <w:p w:rsidR="004F1005" w:rsidP="00B71682">
      <w:pPr>
        <w:pStyle w:val="BodyText"/>
      </w:pPr>
    </w:p>
    <w:p w:rsidR="00000000" w:rsidRPr="00B71682" w:rsidP="00B71682">
      <w:pPr>
        <w:pStyle w:val="Heading1"/>
      </w:pPr>
      <w:bookmarkStart w:id="12" w:name="O_200060"/>
      <w:bookmarkEnd w:id="12"/>
      <w:r w:rsidRPr="00B71682">
        <w:t>Unit Sector(s)</w:t>
      </w:r>
    </w:p>
    <w:tbl>
      <w:tblPr>
        <w:tblW w:w="0" w:type="auto"/>
        <w:tblLayout w:type="fixed"/>
        <w:tblCellMar>
          <w:left w:w="62" w:type="dxa"/>
          <w:right w:w="62" w:type="dxa"/>
        </w:tblCellMar>
        <w:tblLook w:val="0000"/>
      </w:tblPr>
      <w:tblGrid>
        <w:gridCol w:w="2617"/>
        <w:gridCol w:w="5905"/>
      </w:tblGrid>
      <w:tr w:rsidTr="004F1005">
        <w:tblPrEx>
          <w:tblW w:w="0" w:type="auto"/>
          <w:tblLayout w:type="fixed"/>
          <w:tblCellMar>
            <w:left w:w="62" w:type="dxa"/>
            <w:right w:w="62" w:type="dxa"/>
          </w:tblCellMar>
          <w:tblLook w:val="0000"/>
        </w:tblPrEx>
        <w:trPr>
          <w:tblHeader/>
        </w:trPr>
        <w:tc>
          <w:tcPr>
            <w:tcW w:w="2617"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Unit sector</w:t>
            </w:r>
          </w:p>
        </w:tc>
        <w:tc>
          <w:tcPr>
            <w:tcW w:w="5905" w:type="dxa"/>
            <w:tcBorders>
              <w:top w:val="nil"/>
              <w:left w:val="nil"/>
              <w:bottom w:val="nil"/>
              <w:right w:val="nil"/>
            </w:tcBorders>
            <w:tcMar>
              <w:top w:w="0" w:type="dxa"/>
              <w:left w:w="62" w:type="dxa"/>
              <w:bottom w:w="0" w:type="dxa"/>
              <w:right w:w="62" w:type="dxa"/>
            </w:tcMar>
          </w:tcPr>
          <w:p w:rsidR="00000000" w:rsidRPr="00B71682" w:rsidP="00B71682">
            <w:pPr>
              <w:pStyle w:val="BodyText"/>
            </w:pPr>
            <w:r w:rsidRPr="00B71682">
              <w:t>Plumbing and services</w:t>
            </w:r>
          </w:p>
        </w:tc>
      </w:tr>
    </w:tbl>
    <w:p w:rsidR="004F1005" w:rsidP="00B71682">
      <w:pPr>
        <w:pStyle w:val="BodyText"/>
      </w:pPr>
    </w:p>
    <w:p w:rsidR="004F1005" w:rsidP="00B71682">
      <w:pPr>
        <w:pStyle w:val="BodyText"/>
      </w:pPr>
    </w:p>
    <w:p w:rsidR="00000000" w:rsidRPr="00B71682" w:rsidP="00B71682">
      <w:pPr>
        <w:pStyle w:val="Heading1"/>
      </w:pPr>
      <w:bookmarkStart w:id="13" w:name="O_200057"/>
      <w:bookmarkEnd w:id="13"/>
      <w:r w:rsidRPr="00B71682">
        <w:t>Co-requisite units</w:t>
      </w:r>
    </w:p>
    <w:tbl>
      <w:tblPr>
        <w:tblW w:w="0" w:type="auto"/>
        <w:tblLayout w:type="fixed"/>
        <w:tblCellMar>
          <w:left w:w="62" w:type="dxa"/>
          <w:right w:w="62" w:type="dxa"/>
        </w:tblCellMar>
        <w:tblLook w:val="0000"/>
      </w:tblPr>
      <w:tblGrid>
        <w:gridCol w:w="2620"/>
        <w:gridCol w:w="1340"/>
        <w:gridCol w:w="4562"/>
      </w:tblGrid>
      <w:tr w:rsidTr="004F1005">
        <w:tblPrEx>
          <w:tblW w:w="0" w:type="auto"/>
          <w:tblLayout w:type="fixed"/>
          <w:tblCellMar>
            <w:left w:w="62" w:type="dxa"/>
            <w:right w:w="62" w:type="dxa"/>
          </w:tblCellMar>
          <w:tblLook w:val="0000"/>
        </w:tblPrEx>
        <w:trPr>
          <w:tblHeader/>
        </w:trPr>
        <w:tc>
          <w:tcPr>
            <w:tcW w:w="2620"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Co-requisite units</w:t>
            </w:r>
          </w:p>
        </w:tc>
        <w:tc>
          <w:tcPr>
            <w:tcW w:w="5902" w:type="dxa"/>
            <w:gridSpan w:val="2"/>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t>Nil</w:t>
            </w:r>
          </w:p>
        </w:tc>
      </w:tr>
      <w:tr w:rsidTr="004F100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p>
        </w:tc>
      </w:tr>
      <w:tr w:rsidTr="004F1005">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2" w:type="dxa"/>
            <w:tcBorders>
              <w:top w:val="nil"/>
              <w:left w:val="nil"/>
              <w:bottom w:val="nil"/>
              <w:right w:val="nil"/>
            </w:tcBorders>
            <w:tcMar>
              <w:top w:w="0" w:type="dxa"/>
              <w:left w:w="62" w:type="dxa"/>
              <w:bottom w:w="0" w:type="dxa"/>
              <w:right w:w="62" w:type="dxa"/>
            </w:tcMar>
          </w:tcPr>
          <w:p w:rsidR="00000000" w:rsidRPr="00B71682" w:rsidP="00B71682">
            <w:pPr>
              <w:pStyle w:val="BodyText"/>
            </w:pPr>
          </w:p>
        </w:tc>
      </w:tr>
    </w:tbl>
    <w:p w:rsidR="004F1005" w:rsidP="00B71682">
      <w:pPr>
        <w:pStyle w:val="BodyText"/>
      </w:pPr>
    </w:p>
    <w:p w:rsidR="004F1005" w:rsidP="00B71682">
      <w:pPr>
        <w:pStyle w:val="BodyText"/>
      </w:pPr>
    </w:p>
    <w:p w:rsidR="00000000" w:rsidRPr="00B71682" w:rsidP="00B71682">
      <w:pPr>
        <w:pStyle w:val="Heading1"/>
      </w:pPr>
      <w:bookmarkStart w:id="14" w:name="O_200059"/>
      <w:bookmarkEnd w:id="14"/>
      <w:r w:rsidRPr="00B71682">
        <w:t>Functional area</w:t>
      </w:r>
    </w:p>
    <w:tbl>
      <w:tblPr>
        <w:tblW w:w="0" w:type="auto"/>
        <w:tblLayout w:type="fixed"/>
        <w:tblCellMar>
          <w:left w:w="62" w:type="dxa"/>
          <w:right w:w="62" w:type="dxa"/>
        </w:tblCellMar>
        <w:tblLook w:val="0000"/>
      </w:tblPr>
      <w:tblGrid>
        <w:gridCol w:w="2710"/>
        <w:gridCol w:w="5812"/>
      </w:tblGrid>
      <w:tr w:rsidTr="004F1005">
        <w:tblPrEx>
          <w:tblW w:w="0" w:type="auto"/>
          <w:tblLayout w:type="fixed"/>
          <w:tblCellMar>
            <w:left w:w="62" w:type="dxa"/>
            <w:right w:w="62" w:type="dxa"/>
          </w:tblCellMar>
          <w:tblLook w:val="0000"/>
        </w:tblPrEx>
        <w:trPr>
          <w:tblHeader/>
        </w:trPr>
        <w:tc>
          <w:tcPr>
            <w:tcW w:w="2710" w:type="dxa"/>
            <w:tcBorders>
              <w:top w:val="nil"/>
              <w:left w:val="nil"/>
              <w:bottom w:val="nil"/>
              <w:right w:val="nil"/>
            </w:tcBorders>
            <w:tcMar>
              <w:top w:w="0" w:type="dxa"/>
              <w:left w:w="62" w:type="dxa"/>
              <w:bottom w:w="0" w:type="dxa"/>
              <w:right w:w="62" w:type="dxa"/>
            </w:tcMar>
          </w:tcPr>
          <w:p w:rsidR="00000000" w:rsidP="00B71682">
            <w:pPr>
              <w:pStyle w:val="BodyText"/>
              <w:rPr>
                <w:lang w:val="en-NZ"/>
              </w:rPr>
            </w:pPr>
            <w:r w:rsidRPr="00B71682">
              <w:rPr>
                <w:rStyle w:val="SpecialBold"/>
              </w:rPr>
              <w:t>Functional area</w:t>
            </w:r>
          </w:p>
        </w:tc>
        <w:tc>
          <w:tcPr>
            <w:tcW w:w="5812" w:type="dxa"/>
            <w:tcBorders>
              <w:top w:val="nil"/>
              <w:left w:val="nil"/>
              <w:bottom w:val="nil"/>
              <w:right w:val="nil"/>
            </w:tcBorders>
            <w:tcMar>
              <w:top w:w="0" w:type="dxa"/>
              <w:left w:w="62" w:type="dxa"/>
              <w:bottom w:w="0" w:type="dxa"/>
              <w:right w:w="62" w:type="dxa"/>
            </w:tcMar>
          </w:tcPr>
          <w:p w:rsidR="00000000" w:rsidRPr="00B71682" w:rsidP="00B71682">
            <w:pPr>
              <w:pStyle w:val="BodyText"/>
            </w:pPr>
          </w:p>
        </w:tc>
      </w:tr>
    </w:tbl>
    <w:p w:rsidR="004F1005" w:rsidP="00B71682">
      <w:pPr>
        <w:pStyle w:val="BodyText"/>
      </w:pPr>
    </w:p>
    <w:p w:rsidR="004F1005" w:rsidP="00B71682">
      <w:pPr>
        <w:pStyle w:val="BodyText"/>
      </w:pPr>
    </w:p>
    <w:p w:rsidR="00000000" w:rsidRPr="00B71682" w:rsidP="00B71682"/>
    <w:sectPr w:rsidSect="00B716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1005" w:rsidP="004F100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05" w:rsidP="00B7168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4F1005" w:rsidP="00B7168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F1005" w:rsidP="00B7168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82" w:rsidRPr="004F1005" w:rsidP="004F100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6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1005" w:rsidRPr="002D2AF8" w:rsidP="00B71682">
    <w:pPr>
      <w:pStyle w:val="Header"/>
      <w:framePr w:wrap="around"/>
    </w:pPr>
    <w:r>
      <w:fldChar w:fldCharType="begin"/>
    </w:r>
    <w:r>
      <w:instrText xml:space="preserve"> TITLE   \* MERGEFORMAT </w:instrText>
    </w:r>
    <w:r>
      <w:fldChar w:fldCharType="separate"/>
    </w:r>
    <w:r>
      <w:t>CPCPPS5004A Conduct a water audit and identify water-saving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4F1005" w:rsidP="00B716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12DA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2BC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092F7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6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682"/>
    <w:pPr>
      <w:spacing w:before="360" w:after="60"/>
      <w:outlineLvl w:val="0"/>
    </w:pPr>
    <w:rPr>
      <w:sz w:val="32"/>
    </w:rPr>
  </w:style>
  <w:style w:type="paragraph" w:styleId="Heading2">
    <w:name w:val="heading 2"/>
    <w:basedOn w:val="HeadingBase"/>
    <w:next w:val="BodyText"/>
    <w:link w:val="Heading2Char"/>
    <w:qFormat/>
    <w:rsid w:val="00B71682"/>
    <w:pPr>
      <w:keepLines/>
      <w:spacing w:before="240" w:after="120"/>
      <w:outlineLvl w:val="1"/>
    </w:pPr>
    <w:rPr>
      <w:sz w:val="28"/>
      <w:szCs w:val="40"/>
    </w:rPr>
  </w:style>
  <w:style w:type="paragraph" w:styleId="Heading3">
    <w:name w:val="heading 3"/>
    <w:basedOn w:val="HeadingBase"/>
    <w:next w:val="BodyText"/>
    <w:link w:val="Heading3Char"/>
    <w:qFormat/>
    <w:rsid w:val="00B71682"/>
    <w:pPr>
      <w:spacing w:before="180" w:after="120"/>
      <w:outlineLvl w:val="2"/>
    </w:pPr>
    <w:rPr>
      <w:spacing w:val="-10"/>
      <w:kern w:val="32"/>
    </w:rPr>
  </w:style>
  <w:style w:type="paragraph" w:styleId="Heading4">
    <w:name w:val="heading 4"/>
    <w:basedOn w:val="HeadingBase"/>
    <w:next w:val="BodyText"/>
    <w:link w:val="Heading4Char"/>
    <w:qFormat/>
    <w:rsid w:val="00B71682"/>
    <w:pPr>
      <w:spacing w:before="160" w:after="120"/>
      <w:outlineLvl w:val="3"/>
    </w:pPr>
    <w:rPr>
      <w:sz w:val="22"/>
    </w:rPr>
  </w:style>
  <w:style w:type="paragraph" w:styleId="Heading5">
    <w:name w:val="heading 5"/>
    <w:basedOn w:val="HeadingBase"/>
    <w:next w:val="Normal"/>
    <w:link w:val="Heading5Char"/>
    <w:qFormat/>
    <w:rsid w:val="00B71682"/>
    <w:pPr>
      <w:spacing w:before="80"/>
      <w:outlineLvl w:val="4"/>
    </w:pPr>
    <w:rPr>
      <w:color w:val="918585"/>
      <w:sz w:val="20"/>
    </w:rPr>
  </w:style>
  <w:style w:type="paragraph" w:styleId="Heading6">
    <w:name w:val="heading 6"/>
    <w:basedOn w:val="HeadingBase"/>
    <w:next w:val="Normal"/>
    <w:link w:val="Heading6Char"/>
    <w:qFormat/>
    <w:rsid w:val="00B71682"/>
    <w:pPr>
      <w:spacing w:before="60"/>
      <w:outlineLvl w:val="5"/>
    </w:pPr>
    <w:rPr>
      <w:color w:val="918585"/>
      <w:sz w:val="20"/>
    </w:rPr>
  </w:style>
  <w:style w:type="paragraph" w:styleId="Heading7">
    <w:name w:val="heading 7"/>
    <w:basedOn w:val="Normal"/>
    <w:next w:val="Normal"/>
    <w:link w:val="Heading7Char"/>
    <w:qFormat/>
    <w:rsid w:val="00B71682"/>
    <w:pPr>
      <w:ind w:left="720"/>
      <w:outlineLvl w:val="6"/>
    </w:pPr>
    <w:rPr>
      <w:i/>
    </w:rPr>
  </w:style>
  <w:style w:type="paragraph" w:styleId="Heading8">
    <w:name w:val="heading 8"/>
    <w:basedOn w:val="Normal"/>
    <w:next w:val="Normal"/>
    <w:link w:val="Heading8Char"/>
    <w:qFormat/>
    <w:rsid w:val="00B71682"/>
    <w:pPr>
      <w:ind w:left="720"/>
      <w:outlineLvl w:val="7"/>
    </w:pPr>
    <w:rPr>
      <w:i/>
    </w:rPr>
  </w:style>
  <w:style w:type="paragraph" w:styleId="Heading9">
    <w:name w:val="heading 9"/>
    <w:basedOn w:val="Normal"/>
    <w:next w:val="Normal"/>
    <w:link w:val="Heading9Char"/>
    <w:qFormat/>
    <w:rsid w:val="00B71682"/>
    <w:pPr>
      <w:ind w:left="720"/>
      <w:outlineLvl w:val="8"/>
    </w:pPr>
    <w:rPr>
      <w:i/>
    </w:rPr>
  </w:style>
  <w:style w:type="character" w:default="1" w:styleId="DefaultParagraphFont">
    <w:name w:val="Default Paragraph Font"/>
    <w:uiPriority w:val="1"/>
    <w:unhideWhenUsed/>
    <w:rsid w:val="00B716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682"/>
  </w:style>
  <w:style w:type="character" w:customStyle="1" w:styleId="Heading1Char">
    <w:name w:val="Heading 1 Char"/>
    <w:basedOn w:val="DefaultParagraphFont"/>
    <w:link w:val="Heading1"/>
    <w:rsid w:val="00B71682"/>
    <w:rPr>
      <w:rFonts w:ascii="Times New Roman" w:eastAsia="Times New Roman" w:hAnsi="Times New Roman" w:cs="Times New Roman"/>
      <w:b/>
      <w:sz w:val="32"/>
      <w:szCs w:val="20"/>
      <w:lang w:eastAsia="en-US"/>
    </w:rPr>
  </w:style>
  <w:style w:type="paragraph" w:styleId="BodyText">
    <w:name w:val="Body Text"/>
    <w:basedOn w:val="Normal"/>
    <w:link w:val="BodyTextChar"/>
    <w:rsid w:val="00B716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71682"/>
    <w:rPr>
      <w:rFonts w:ascii="Times New Roman" w:eastAsia="Times New Roman" w:hAnsi="Times New Roman" w:cs="Times New Roman"/>
      <w:sz w:val="24"/>
      <w:lang w:eastAsia="en-US"/>
    </w:rPr>
  </w:style>
  <w:style w:type="paragraph" w:styleId="Footer">
    <w:name w:val="footer"/>
    <w:basedOn w:val="Normal"/>
    <w:link w:val="FooterChar"/>
    <w:rsid w:val="00B716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682"/>
    <w:rPr>
      <w:rFonts w:ascii="Times New Roman" w:eastAsia="Times New Roman" w:hAnsi="Times New Roman" w:cs="Times New Roman"/>
      <w:sz w:val="16"/>
      <w:lang w:eastAsia="en-US"/>
    </w:rPr>
  </w:style>
  <w:style w:type="paragraph" w:styleId="List">
    <w:name w:val="List"/>
    <w:basedOn w:val="BodyText"/>
    <w:next w:val="BodyText"/>
    <w:rsid w:val="00B71682"/>
    <w:pPr>
      <w:tabs>
        <w:tab w:val="left" w:pos="340"/>
      </w:tabs>
      <w:spacing w:before="60" w:after="60"/>
      <w:ind w:left="340" w:hanging="340"/>
    </w:pPr>
  </w:style>
  <w:style w:type="paragraph" w:styleId="ListBullet">
    <w:name w:val="List Bullet"/>
    <w:basedOn w:val="List"/>
    <w:rsid w:val="00B71682"/>
    <w:pPr>
      <w:numPr>
        <w:numId w:val="14"/>
      </w:numPr>
      <w:tabs>
        <w:tab w:val="clear" w:pos="340"/>
      </w:tabs>
      <w:spacing w:before="40" w:after="40"/>
    </w:pPr>
  </w:style>
  <w:style w:type="character" w:customStyle="1" w:styleId="SpecialBold">
    <w:name w:val="Special Bold"/>
    <w:basedOn w:val="DefaultParagraphFont"/>
    <w:rsid w:val="00B71682"/>
    <w:rPr>
      <w:b/>
      <w:spacing w:val="0"/>
    </w:rPr>
  </w:style>
  <w:style w:type="paragraph" w:styleId="ListBullet2">
    <w:name w:val="List Bullet 2"/>
    <w:basedOn w:val="List2"/>
    <w:rsid w:val="00B71682"/>
    <w:pPr>
      <w:numPr>
        <w:numId w:val="15"/>
      </w:numPr>
      <w:tabs>
        <w:tab w:val="clear" w:pos="680"/>
      </w:tabs>
    </w:pPr>
  </w:style>
  <w:style w:type="paragraph" w:customStyle="1" w:styleId="SuperHeading">
    <w:name w:val="SuperHeading"/>
    <w:basedOn w:val="Normal"/>
    <w:rsid w:val="00B71682"/>
    <w:pPr>
      <w:spacing w:before="240" w:after="120"/>
      <w:outlineLvl w:val="0"/>
    </w:pPr>
    <w:rPr>
      <w:rFonts w:ascii="Times New Roman" w:hAnsi="Times New Roman"/>
      <w:b/>
      <w:sz w:val="28"/>
    </w:rPr>
  </w:style>
  <w:style w:type="paragraph" w:customStyle="1" w:styleId="AllowPageBreak">
    <w:name w:val="AllowPageBreak"/>
    <w:rsid w:val="00B716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71682"/>
    <w:pPr>
      <w:tabs>
        <w:tab w:val="left" w:pos="680"/>
      </w:tabs>
      <w:spacing w:before="60" w:after="60"/>
      <w:ind w:left="680" w:hanging="340"/>
    </w:pPr>
  </w:style>
  <w:style w:type="paragraph" w:styleId="ListBullet3">
    <w:name w:val="List Bullet 3"/>
    <w:basedOn w:val="List3"/>
    <w:rsid w:val="00B71682"/>
    <w:pPr>
      <w:numPr>
        <w:numId w:val="3"/>
      </w:numPr>
      <w:tabs>
        <w:tab w:val="clear" w:pos="1021"/>
      </w:tabs>
      <w:ind w:left="1037" w:hanging="357"/>
    </w:pPr>
  </w:style>
  <w:style w:type="character" w:customStyle="1" w:styleId="BoldandItalics">
    <w:name w:val="Bold and Italics"/>
    <w:qFormat/>
    <w:rsid w:val="00B71682"/>
    <w:rPr>
      <w:b/>
      <w:i/>
      <w:u w:val="none"/>
    </w:rPr>
  </w:style>
  <w:style w:type="character" w:customStyle="1" w:styleId="Heading2Char">
    <w:name w:val="Heading 2 Char"/>
    <w:basedOn w:val="DefaultParagraphFont"/>
    <w:link w:val="Heading2"/>
    <w:rsid w:val="00B716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6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6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6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6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6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6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682"/>
    <w:rPr>
      <w:rFonts w:ascii="Courier New" w:eastAsia="Times New Roman" w:hAnsi="Courier New" w:cs="Times New Roman"/>
      <w:i/>
      <w:szCs w:val="20"/>
      <w:lang w:eastAsia="en-US"/>
    </w:rPr>
  </w:style>
  <w:style w:type="paragraph" w:customStyle="1" w:styleId="HeadingBase">
    <w:name w:val="Heading Base"/>
    <w:rsid w:val="00B716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682"/>
    <w:pPr>
      <w:tabs>
        <w:tab w:val="right" w:leader="dot" w:pos="9072"/>
      </w:tabs>
      <w:ind w:left="567"/>
    </w:pPr>
    <w:rPr>
      <w:szCs w:val="22"/>
    </w:rPr>
  </w:style>
  <w:style w:type="paragraph" w:customStyle="1" w:styleId="TOCBase">
    <w:name w:val="TOC Base"/>
    <w:rsid w:val="00B716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682"/>
    <w:pPr>
      <w:tabs>
        <w:tab w:val="right" w:leader="dot" w:pos="9072"/>
      </w:tabs>
      <w:spacing w:before="40" w:after="40"/>
      <w:ind w:left="284"/>
    </w:pPr>
    <w:rPr>
      <w:rFonts w:ascii="Times New Roman" w:hAnsi="Times New Roman"/>
    </w:rPr>
  </w:style>
  <w:style w:type="paragraph" w:styleId="TOC1">
    <w:name w:val="toc 1"/>
    <w:basedOn w:val="TOCBase"/>
    <w:next w:val="Normal"/>
    <w:rsid w:val="00B7168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71682"/>
    <w:pPr>
      <w:spacing w:before="5040"/>
      <w:jc w:val="center"/>
    </w:pPr>
    <w:rPr>
      <w:sz w:val="48"/>
      <w:szCs w:val="72"/>
      <w:lang w:val="en-US"/>
    </w:rPr>
  </w:style>
  <w:style w:type="character" w:customStyle="1" w:styleId="TitleChar">
    <w:name w:val="Title Char"/>
    <w:basedOn w:val="DefaultParagraphFont"/>
    <w:link w:val="Title"/>
    <w:rsid w:val="00B716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682"/>
    <w:pPr>
      <w:tabs>
        <w:tab w:val="left" w:pos="3600"/>
        <w:tab w:val="left" w:pos="3958"/>
      </w:tabs>
    </w:pPr>
  </w:style>
  <w:style w:type="paragraph" w:customStyle="1" w:styleId="Note">
    <w:name w:val="Note"/>
    <w:basedOn w:val="BodyText"/>
    <w:rsid w:val="00B716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682"/>
    <w:pPr>
      <w:framePr w:wrap="auto" w:hAnchor="text" w:y="6049"/>
    </w:pPr>
    <w:rPr>
      <w:color w:val="000000"/>
      <w:sz w:val="40"/>
    </w:rPr>
  </w:style>
  <w:style w:type="paragraph" w:customStyle="1" w:styleId="TOCTitle">
    <w:name w:val="TOCTitle"/>
    <w:basedOn w:val="Heading1"/>
    <w:rsid w:val="00B71682"/>
    <w:pPr>
      <w:spacing w:after="240"/>
      <w:jc w:val="center"/>
      <w:outlineLvl w:val="9"/>
    </w:pPr>
    <w:rPr>
      <w:caps/>
    </w:rPr>
  </w:style>
  <w:style w:type="paragraph" w:customStyle="1" w:styleId="Version">
    <w:name w:val="Version"/>
    <w:rsid w:val="00B716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682"/>
    <w:pPr>
      <w:keepNext w:val="0"/>
      <w:tabs>
        <w:tab w:val="right" w:pos="4176"/>
      </w:tabs>
      <w:ind w:left="198" w:hanging="198"/>
    </w:pPr>
    <w:rPr>
      <w:rFonts w:ascii="Garamond" w:hAnsi="Garamond"/>
    </w:rPr>
  </w:style>
  <w:style w:type="paragraph" w:styleId="IndexHeading">
    <w:name w:val="index heading"/>
    <w:basedOn w:val="Normal"/>
    <w:next w:val="Index1"/>
    <w:semiHidden/>
    <w:rsid w:val="00B71682"/>
    <w:pPr>
      <w:spacing w:before="120" w:after="120"/>
    </w:pPr>
    <w:rPr>
      <w:rFonts w:ascii="Arial" w:hAnsi="Arial"/>
      <w:b/>
      <w:color w:val="918585"/>
      <w:sz w:val="24"/>
    </w:rPr>
  </w:style>
  <w:style w:type="paragraph" w:styleId="Header">
    <w:name w:val="header"/>
    <w:basedOn w:val="Normal"/>
    <w:link w:val="HeaderChar"/>
    <w:rsid w:val="00B716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682"/>
    <w:rPr>
      <w:rFonts w:ascii="Times New Roman" w:eastAsia="Times New Roman" w:hAnsi="Times New Roman" w:cs="Times New Roman"/>
      <w:sz w:val="16"/>
      <w:szCs w:val="20"/>
      <w:lang w:val="en-GB" w:eastAsia="en-US"/>
    </w:rPr>
  </w:style>
  <w:style w:type="paragraph" w:customStyle="1" w:styleId="Chapter">
    <w:name w:val="Chapter"/>
    <w:basedOn w:val="Normal"/>
    <w:rsid w:val="00B71682"/>
    <w:pPr>
      <w:spacing w:before="240"/>
    </w:pPr>
    <w:rPr>
      <w:rFonts w:ascii="Times New Roman" w:hAnsi="Times New Roman"/>
      <w:smallCaps/>
      <w:spacing w:val="80"/>
      <w:sz w:val="28"/>
    </w:rPr>
  </w:style>
  <w:style w:type="paragraph" w:customStyle="1" w:styleId="InChapter">
    <w:name w:val="InChapter"/>
    <w:basedOn w:val="Heading3"/>
    <w:rsid w:val="00B71682"/>
    <w:pPr>
      <w:spacing w:after="240"/>
      <w:outlineLvl w:val="9"/>
    </w:pPr>
    <w:rPr>
      <w:noProof/>
    </w:rPr>
  </w:style>
  <w:style w:type="paragraph" w:styleId="Index2">
    <w:name w:val="index 2"/>
    <w:basedOn w:val="Normal"/>
    <w:next w:val="Normal"/>
    <w:semiHidden/>
    <w:rsid w:val="00B71682"/>
    <w:pPr>
      <w:tabs>
        <w:tab w:val="right" w:pos="4176"/>
      </w:tabs>
      <w:ind w:left="568" w:hanging="284"/>
    </w:pPr>
    <w:rPr>
      <w:rFonts w:ascii="Garamond" w:hAnsi="Garamond"/>
    </w:rPr>
  </w:style>
  <w:style w:type="paragraph" w:customStyle="1" w:styleId="Byline">
    <w:name w:val="Byline"/>
    <w:rsid w:val="00B716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682"/>
    <w:pPr>
      <w:tabs>
        <w:tab w:val="clear" w:pos="3600"/>
        <w:tab w:val="clear" w:pos="3958"/>
      </w:tabs>
      <w:jc w:val="right"/>
    </w:pPr>
  </w:style>
  <w:style w:type="character" w:styleId="Emphasis">
    <w:name w:val="Emphasis"/>
    <w:basedOn w:val="DefaultParagraphFont"/>
    <w:qFormat/>
    <w:rsid w:val="00B71682"/>
    <w:rPr>
      <w:i/>
    </w:rPr>
  </w:style>
  <w:style w:type="paragraph" w:styleId="Caption">
    <w:name w:val="caption"/>
    <w:basedOn w:val="BodyText"/>
    <w:next w:val="Normal"/>
    <w:qFormat/>
    <w:rsid w:val="00B71682"/>
    <w:pPr>
      <w:framePr w:w="2268" w:hSpace="181" w:vSpace="181" w:wrap="around" w:vAnchor="text" w:hAnchor="page" w:x="1135" w:y="285" w:anchorLock="1"/>
    </w:pPr>
    <w:rPr>
      <w:i/>
    </w:rPr>
  </w:style>
  <w:style w:type="paragraph" w:customStyle="1" w:styleId="MiniTOCTitle">
    <w:name w:val="MiniTOCTitle"/>
    <w:basedOn w:val="Heading4"/>
    <w:rsid w:val="00B71682"/>
    <w:pPr>
      <w:spacing w:before="240"/>
      <w:outlineLvl w:val="9"/>
    </w:pPr>
    <w:rPr>
      <w:noProof/>
      <w:sz w:val="24"/>
    </w:rPr>
  </w:style>
  <w:style w:type="paragraph" w:customStyle="1" w:styleId="MiniTOCItem">
    <w:name w:val="MiniTOCItem"/>
    <w:basedOn w:val="ListBullet"/>
    <w:rsid w:val="00B71682"/>
    <w:pPr>
      <w:numPr>
        <w:numId w:val="0"/>
      </w:numPr>
      <w:tabs>
        <w:tab w:val="right" w:leader="dot" w:pos="6521"/>
      </w:tabs>
      <w:spacing w:before="0" w:after="0"/>
    </w:pPr>
  </w:style>
  <w:style w:type="paragraph" w:customStyle="1" w:styleId="TOFTitle">
    <w:name w:val="TOFTitle"/>
    <w:basedOn w:val="TOCTitle"/>
    <w:rsid w:val="00B71682"/>
  </w:style>
  <w:style w:type="paragraph" w:styleId="TableofFigures">
    <w:name w:val="table of figures"/>
    <w:basedOn w:val="Normal"/>
    <w:next w:val="Normal"/>
    <w:semiHidden/>
    <w:rsid w:val="00B71682"/>
    <w:pPr>
      <w:tabs>
        <w:tab w:val="right" w:leader="dot" w:pos="9072"/>
      </w:tabs>
      <w:ind w:left="970" w:hanging="403"/>
    </w:pPr>
    <w:rPr>
      <w:rFonts w:ascii="Times New Roman" w:hAnsi="Times New Roman"/>
      <w:b/>
    </w:rPr>
  </w:style>
  <w:style w:type="paragraph" w:styleId="ListNumber">
    <w:name w:val="List Number"/>
    <w:basedOn w:val="List"/>
    <w:rsid w:val="00B71682"/>
    <w:pPr>
      <w:numPr>
        <w:numId w:val="12"/>
      </w:numPr>
    </w:pPr>
  </w:style>
  <w:style w:type="character" w:customStyle="1" w:styleId="WingdingSymbols">
    <w:name w:val="Wingding Symbols"/>
    <w:rsid w:val="00B71682"/>
    <w:rPr>
      <w:rFonts w:ascii="Wingdings" w:hAnsi="Wingdings"/>
    </w:rPr>
  </w:style>
  <w:style w:type="paragraph" w:customStyle="1" w:styleId="TableHeading">
    <w:name w:val="Table Heading"/>
    <w:basedOn w:val="HeadingBase"/>
    <w:rsid w:val="00B71682"/>
    <w:pPr>
      <w:keepLines/>
      <w:pBdr>
        <w:bottom w:val="single" w:sz="6" w:space="1" w:color="918585"/>
      </w:pBdr>
      <w:spacing w:before="240"/>
    </w:pPr>
  </w:style>
  <w:style w:type="character" w:customStyle="1" w:styleId="HotSpot">
    <w:name w:val="HotSpot"/>
    <w:rsid w:val="00B71682"/>
    <w:rPr>
      <w:color w:val="0033CC"/>
      <w:u w:val="none"/>
    </w:rPr>
  </w:style>
  <w:style w:type="paragraph" w:customStyle="1" w:styleId="BodyTextRight">
    <w:name w:val="Body Text Right"/>
    <w:basedOn w:val="BodyText"/>
    <w:rsid w:val="00B71682"/>
    <w:pPr>
      <w:spacing w:before="0" w:after="0"/>
      <w:jc w:val="right"/>
    </w:pPr>
  </w:style>
  <w:style w:type="paragraph" w:styleId="Index3">
    <w:name w:val="index 3"/>
    <w:basedOn w:val="ListNumber2"/>
    <w:next w:val="Normal"/>
    <w:semiHidden/>
    <w:rsid w:val="00B71682"/>
    <w:pPr>
      <w:numPr>
        <w:numId w:val="0"/>
      </w:numPr>
      <w:tabs>
        <w:tab w:val="right" w:leader="dot" w:pos="4176"/>
      </w:tabs>
    </w:pPr>
  </w:style>
  <w:style w:type="paragraph" w:styleId="ListNumber2">
    <w:name w:val="List Number 2"/>
    <w:basedOn w:val="List2"/>
    <w:rsid w:val="00B71682"/>
    <w:pPr>
      <w:numPr>
        <w:numId w:val="11"/>
      </w:numPr>
      <w:tabs>
        <w:tab w:val="clear" w:pos="1060"/>
      </w:tabs>
    </w:pPr>
  </w:style>
  <w:style w:type="paragraph" w:customStyle="1" w:styleId="MarginNote">
    <w:name w:val="Margin Note"/>
    <w:basedOn w:val="BodyText"/>
    <w:rsid w:val="00B716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6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6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682"/>
    <w:rPr>
      <w:sz w:val="32"/>
    </w:rPr>
  </w:style>
  <w:style w:type="paragraph" w:customStyle="1" w:styleId="HeadingProcedure">
    <w:name w:val="Heading Procedure"/>
    <w:basedOn w:val="HeadingBase"/>
    <w:next w:val="Normal"/>
    <w:rsid w:val="00B71682"/>
    <w:pPr>
      <w:tabs>
        <w:tab w:val="left" w:pos="0"/>
      </w:tabs>
      <w:spacing w:before="120" w:after="60"/>
    </w:pPr>
    <w:rPr>
      <w:i/>
      <w:color w:val="918585"/>
      <w:sz w:val="22"/>
    </w:rPr>
  </w:style>
  <w:style w:type="paragraph" w:customStyle="1" w:styleId="TableBodyText">
    <w:name w:val="Table Body Text"/>
    <w:basedOn w:val="BodyText"/>
    <w:rsid w:val="00B71682"/>
    <w:pPr>
      <w:spacing w:before="60" w:after="60"/>
    </w:pPr>
  </w:style>
  <w:style w:type="paragraph" w:styleId="ListContinue">
    <w:name w:val="List Continue"/>
    <w:basedOn w:val="List"/>
    <w:rsid w:val="00B71682"/>
    <w:pPr>
      <w:ind w:firstLine="0"/>
    </w:pPr>
  </w:style>
  <w:style w:type="paragraph" w:customStyle="1" w:styleId="ListNote">
    <w:name w:val="List Note"/>
    <w:basedOn w:val="List"/>
    <w:rsid w:val="00B71682"/>
    <w:pPr>
      <w:pBdr>
        <w:top w:val="single" w:sz="6" w:space="2" w:color="918585"/>
        <w:bottom w:val="single" w:sz="6" w:space="2" w:color="918585"/>
      </w:pBdr>
      <w:tabs>
        <w:tab w:val="left" w:pos="1021"/>
      </w:tabs>
      <w:ind w:firstLine="0"/>
    </w:pPr>
  </w:style>
  <w:style w:type="paragraph" w:customStyle="1" w:styleId="Warning">
    <w:name w:val="Warning"/>
    <w:basedOn w:val="BodyText"/>
    <w:rsid w:val="00B71682"/>
    <w:pPr>
      <w:shd w:val="clear" w:color="auto" w:fill="D9D9D9"/>
      <w:tabs>
        <w:tab w:val="left" w:pos="992"/>
      </w:tabs>
      <w:ind w:left="119" w:right="119"/>
    </w:pPr>
    <w:rPr>
      <w:sz w:val="20"/>
    </w:rPr>
  </w:style>
  <w:style w:type="paragraph" w:customStyle="1" w:styleId="MarginIcons">
    <w:name w:val="Margin Icons"/>
    <w:basedOn w:val="BodyText"/>
    <w:rsid w:val="00B716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682"/>
    <w:rPr>
      <w:rFonts w:ascii="Courier New" w:hAnsi="Courier New"/>
    </w:rPr>
  </w:style>
  <w:style w:type="paragraph" w:customStyle="1" w:styleId="NoteBullet">
    <w:name w:val="Note Bullet"/>
    <w:basedOn w:val="Note"/>
    <w:rsid w:val="00B71682"/>
    <w:pPr>
      <w:tabs>
        <w:tab w:val="clear" w:pos="680"/>
      </w:tabs>
      <w:spacing w:before="60" w:after="60"/>
    </w:pPr>
  </w:style>
  <w:style w:type="paragraph" w:customStyle="1" w:styleId="SubHeading2">
    <w:name w:val="SubHeading2"/>
    <w:basedOn w:val="HeadingBase"/>
    <w:rsid w:val="00B71682"/>
    <w:pPr>
      <w:spacing w:before="240" w:after="60"/>
    </w:pPr>
    <w:rPr>
      <w:sz w:val="20"/>
    </w:rPr>
  </w:style>
  <w:style w:type="paragraph" w:customStyle="1" w:styleId="SubHeading1">
    <w:name w:val="SubHeading1"/>
    <w:basedOn w:val="HeadingBase"/>
    <w:rsid w:val="00B71682"/>
    <w:pPr>
      <w:spacing w:before="240" w:after="60"/>
    </w:pPr>
    <w:rPr>
      <w:color w:val="918585"/>
      <w:sz w:val="22"/>
    </w:rPr>
  </w:style>
  <w:style w:type="paragraph" w:customStyle="1" w:styleId="SideHeading">
    <w:name w:val="Side Heading"/>
    <w:basedOn w:val="HeadingBase"/>
    <w:rsid w:val="00B716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682"/>
    <w:pPr>
      <w:numPr>
        <w:numId w:val="13"/>
      </w:numPr>
    </w:pPr>
  </w:style>
  <w:style w:type="paragraph" w:styleId="PlainText">
    <w:name w:val="Plain Text"/>
    <w:basedOn w:val="Normal"/>
    <w:link w:val="PlainTextChar"/>
    <w:rsid w:val="00B71682"/>
    <w:rPr>
      <w:sz w:val="20"/>
    </w:rPr>
  </w:style>
  <w:style w:type="character" w:customStyle="1" w:styleId="PlainTextChar">
    <w:name w:val="Plain Text Char"/>
    <w:basedOn w:val="DefaultParagraphFont"/>
    <w:link w:val="PlainText"/>
    <w:rsid w:val="00B71682"/>
    <w:rPr>
      <w:rFonts w:ascii="Courier New" w:eastAsia="Times New Roman" w:hAnsi="Courier New" w:cs="Times New Roman"/>
      <w:sz w:val="20"/>
      <w:szCs w:val="20"/>
      <w:lang w:eastAsia="en-US"/>
    </w:rPr>
  </w:style>
  <w:style w:type="character" w:customStyle="1" w:styleId="MenuOption">
    <w:name w:val="Menu Option"/>
    <w:basedOn w:val="DefaultParagraphFont"/>
    <w:rsid w:val="00B71682"/>
    <w:rPr>
      <w:b/>
      <w:smallCaps/>
    </w:rPr>
  </w:style>
  <w:style w:type="paragraph" w:customStyle="1" w:styleId="TableListNumber">
    <w:name w:val="Table List Number"/>
    <w:basedOn w:val="ListNumber"/>
    <w:rsid w:val="00B71682"/>
    <w:pPr>
      <w:numPr>
        <w:numId w:val="0"/>
      </w:numPr>
    </w:pPr>
  </w:style>
  <w:style w:type="paragraph" w:styleId="TOC4">
    <w:name w:val="toc 4"/>
    <w:basedOn w:val="TOCBase"/>
    <w:next w:val="Normal"/>
    <w:semiHidden/>
    <w:rsid w:val="00B71682"/>
    <w:pPr>
      <w:tabs>
        <w:tab w:val="right" w:leader="dot" w:pos="9071"/>
      </w:tabs>
      <w:ind w:left="1701"/>
    </w:pPr>
  </w:style>
  <w:style w:type="paragraph" w:customStyle="1" w:styleId="ListAlpha">
    <w:name w:val="List Alpha"/>
    <w:basedOn w:val="List"/>
    <w:rsid w:val="00B71682"/>
    <w:pPr>
      <w:numPr>
        <w:numId w:val="10"/>
      </w:numPr>
    </w:pPr>
  </w:style>
  <w:style w:type="paragraph" w:customStyle="1" w:styleId="ListAlpha2">
    <w:name w:val="List Alpha 2"/>
    <w:basedOn w:val="List2"/>
    <w:rsid w:val="00B71682"/>
    <w:pPr>
      <w:numPr>
        <w:numId w:val="9"/>
      </w:numPr>
    </w:pPr>
  </w:style>
  <w:style w:type="paragraph" w:styleId="List3">
    <w:name w:val="List 3"/>
    <w:basedOn w:val="BodyText"/>
    <w:rsid w:val="00B71682"/>
    <w:pPr>
      <w:tabs>
        <w:tab w:val="left" w:pos="1021"/>
      </w:tabs>
      <w:spacing w:before="60" w:after="60"/>
      <w:ind w:left="1020" w:hanging="340"/>
    </w:pPr>
  </w:style>
  <w:style w:type="paragraph" w:styleId="List4">
    <w:name w:val="List 4"/>
    <w:basedOn w:val="BodyText"/>
    <w:rsid w:val="00B71682"/>
    <w:pPr>
      <w:tabs>
        <w:tab w:val="left" w:pos="1361"/>
      </w:tabs>
      <w:spacing w:before="60" w:after="60"/>
      <w:ind w:left="1361" w:hanging="340"/>
    </w:pPr>
  </w:style>
  <w:style w:type="paragraph" w:styleId="List5">
    <w:name w:val="List 5"/>
    <w:basedOn w:val="BodyText"/>
    <w:rsid w:val="00B71682"/>
    <w:pPr>
      <w:tabs>
        <w:tab w:val="left" w:pos="1701"/>
      </w:tabs>
      <w:spacing w:before="60" w:after="60"/>
      <w:ind w:left="1701" w:hanging="340"/>
    </w:pPr>
  </w:style>
  <w:style w:type="paragraph" w:styleId="ListBullet4">
    <w:name w:val="List Bullet 4"/>
    <w:basedOn w:val="List4"/>
    <w:rsid w:val="00B71682"/>
    <w:pPr>
      <w:numPr>
        <w:numId w:val="4"/>
      </w:numPr>
    </w:pPr>
  </w:style>
  <w:style w:type="paragraph" w:styleId="ListBullet5">
    <w:name w:val="List Bullet 5"/>
    <w:basedOn w:val="List5"/>
    <w:rsid w:val="00B71682"/>
    <w:pPr>
      <w:numPr>
        <w:numId w:val="5"/>
      </w:numPr>
    </w:pPr>
  </w:style>
  <w:style w:type="paragraph" w:styleId="ListContinue2">
    <w:name w:val="List Continue 2"/>
    <w:basedOn w:val="List2"/>
    <w:rsid w:val="00B71682"/>
    <w:pPr>
      <w:ind w:firstLine="0"/>
    </w:pPr>
  </w:style>
  <w:style w:type="paragraph" w:styleId="ListContinue3">
    <w:name w:val="List Continue 3"/>
    <w:basedOn w:val="List3"/>
    <w:rsid w:val="00B71682"/>
    <w:pPr>
      <w:ind w:left="1021" w:firstLine="0"/>
    </w:pPr>
  </w:style>
  <w:style w:type="paragraph" w:styleId="ListContinue4">
    <w:name w:val="List Continue 4"/>
    <w:basedOn w:val="List4"/>
    <w:rsid w:val="00B71682"/>
    <w:pPr>
      <w:ind w:firstLine="0"/>
    </w:pPr>
  </w:style>
  <w:style w:type="paragraph" w:styleId="ListContinue5">
    <w:name w:val="List Continue 5"/>
    <w:basedOn w:val="List5"/>
    <w:rsid w:val="00B71682"/>
    <w:pPr>
      <w:ind w:firstLine="0"/>
    </w:pPr>
  </w:style>
  <w:style w:type="paragraph" w:styleId="ListNumber3">
    <w:name w:val="List Number 3"/>
    <w:basedOn w:val="List3"/>
    <w:rsid w:val="00B71682"/>
    <w:pPr>
      <w:numPr>
        <w:numId w:val="6"/>
      </w:numPr>
    </w:pPr>
  </w:style>
  <w:style w:type="paragraph" w:styleId="ListNumber4">
    <w:name w:val="List Number 4"/>
    <w:basedOn w:val="List4"/>
    <w:rsid w:val="00B71682"/>
    <w:pPr>
      <w:numPr>
        <w:numId w:val="7"/>
      </w:numPr>
    </w:pPr>
  </w:style>
  <w:style w:type="paragraph" w:styleId="ListNumber5">
    <w:name w:val="List Number 5"/>
    <w:basedOn w:val="List5"/>
    <w:rsid w:val="00B71682"/>
    <w:pPr>
      <w:numPr>
        <w:numId w:val="8"/>
      </w:numPr>
    </w:pPr>
  </w:style>
  <w:style w:type="paragraph" w:styleId="BlockText">
    <w:name w:val="Block Text"/>
    <w:basedOn w:val="Normal"/>
    <w:rsid w:val="00B71682"/>
    <w:pPr>
      <w:spacing w:after="120"/>
      <w:ind w:left="1440" w:right="1440"/>
    </w:pPr>
  </w:style>
  <w:style w:type="character" w:customStyle="1" w:styleId="Subscript">
    <w:name w:val="Subscript"/>
    <w:basedOn w:val="DefaultParagraphFont"/>
    <w:rsid w:val="00B71682"/>
    <w:rPr>
      <w:sz w:val="16"/>
      <w:vertAlign w:val="subscript"/>
    </w:rPr>
  </w:style>
  <w:style w:type="character" w:customStyle="1" w:styleId="Superscript">
    <w:name w:val="Superscript"/>
    <w:basedOn w:val="DefaultParagraphFont"/>
    <w:rsid w:val="00B71682"/>
    <w:rPr>
      <w:sz w:val="16"/>
      <w:vertAlign w:val="superscript"/>
    </w:rPr>
  </w:style>
  <w:style w:type="character" w:customStyle="1" w:styleId="Symbols">
    <w:name w:val="Symbols"/>
    <w:basedOn w:val="DefaultParagraphFont"/>
    <w:rsid w:val="00B71682"/>
    <w:rPr>
      <w:rFonts w:ascii="Symbol" w:hAnsi="Symbol"/>
    </w:rPr>
  </w:style>
  <w:style w:type="character" w:customStyle="1" w:styleId="MenuOptions">
    <w:name w:val="Menu Options"/>
    <w:basedOn w:val="DefaultParagraphFont"/>
    <w:rsid w:val="00B71682"/>
    <w:rPr>
      <w:rFonts w:ascii="Arial Narrow" w:hAnsi="Arial Narrow"/>
      <w:smallCaps/>
    </w:rPr>
  </w:style>
  <w:style w:type="character" w:customStyle="1" w:styleId="Buttons">
    <w:name w:val="Buttons"/>
    <w:basedOn w:val="DefaultParagraphFont"/>
    <w:rsid w:val="00B71682"/>
    <w:rPr>
      <w:b/>
    </w:rPr>
  </w:style>
  <w:style w:type="character" w:customStyle="1" w:styleId="Underlined">
    <w:name w:val="Underlined"/>
    <w:basedOn w:val="DefaultParagraphFont"/>
    <w:rsid w:val="00B71682"/>
    <w:rPr>
      <w:u w:val="single"/>
    </w:rPr>
  </w:style>
  <w:style w:type="paragraph" w:customStyle="1" w:styleId="TableBodyTextRight">
    <w:name w:val="Table Body Text Right"/>
    <w:basedOn w:val="TableBodyText"/>
    <w:rsid w:val="00B71682"/>
    <w:pPr>
      <w:widowControl w:val="0"/>
      <w:autoSpaceDE w:val="0"/>
      <w:autoSpaceDN w:val="0"/>
      <w:adjustRightInd w:val="0"/>
      <w:jc w:val="right"/>
    </w:pPr>
    <w:rPr>
      <w:rFonts w:cs="Arial"/>
      <w:szCs w:val="18"/>
    </w:rPr>
  </w:style>
  <w:style w:type="paragraph" w:customStyle="1" w:styleId="CopyrightText">
    <w:name w:val="Copyright Text"/>
    <w:basedOn w:val="BodyText"/>
    <w:rsid w:val="00B71682"/>
    <w:rPr>
      <w:sz w:val="18"/>
    </w:rPr>
  </w:style>
  <w:style w:type="paragraph" w:customStyle="1" w:styleId="BodySmallRight">
    <w:name w:val="Body Small Right"/>
    <w:basedOn w:val="BodyTextRight"/>
    <w:rsid w:val="00B71682"/>
    <w:rPr>
      <w:sz w:val="18"/>
      <w:szCs w:val="18"/>
    </w:rPr>
  </w:style>
  <w:style w:type="paragraph" w:customStyle="1" w:styleId="MarginEdition">
    <w:name w:val="Margin Edition"/>
    <w:basedOn w:val="MarginNote"/>
    <w:rsid w:val="00B71682"/>
    <w:pPr>
      <w:spacing w:before="0" w:after="0"/>
    </w:pPr>
    <w:rPr>
      <w:rFonts w:ascii="Times New Roman" w:hAnsi="Times New Roman"/>
      <w:color w:val="999999"/>
    </w:rPr>
  </w:style>
  <w:style w:type="paragraph" w:customStyle="1" w:styleId="Spacer">
    <w:name w:val="Spacer"/>
    <w:basedOn w:val="Normal"/>
    <w:rsid w:val="00B71682"/>
    <w:rPr>
      <w:sz w:val="2"/>
      <w:szCs w:val="2"/>
    </w:rPr>
  </w:style>
  <w:style w:type="character" w:customStyle="1" w:styleId="Small">
    <w:name w:val="Small"/>
    <w:basedOn w:val="DefaultParagraphFont"/>
    <w:rsid w:val="00B71682"/>
    <w:rPr>
      <w:sz w:val="16"/>
    </w:rPr>
  </w:style>
  <w:style w:type="paragraph" w:customStyle="1" w:styleId="WideTable">
    <w:name w:val="Wide Table"/>
    <w:basedOn w:val="Normal"/>
    <w:rsid w:val="00B71682"/>
    <w:pPr>
      <w:ind w:left="-1418"/>
    </w:pPr>
    <w:rPr>
      <w:sz w:val="2"/>
      <w:szCs w:val="2"/>
    </w:rPr>
  </w:style>
  <w:style w:type="character" w:styleId="PageNumber">
    <w:name w:val="page number"/>
    <w:basedOn w:val="DefaultParagraphFont"/>
    <w:rsid w:val="00B71682"/>
  </w:style>
  <w:style w:type="paragraph" w:styleId="Quote">
    <w:name w:val="Quote"/>
    <w:basedOn w:val="Heading1"/>
    <w:link w:val="QuoteChar"/>
    <w:qFormat/>
    <w:rsid w:val="00B71682"/>
    <w:rPr>
      <w:b w:val="0"/>
      <w:sz w:val="72"/>
      <w:szCs w:val="72"/>
      <w:lang w:val="en-NZ"/>
    </w:rPr>
  </w:style>
  <w:style w:type="character" w:customStyle="1" w:styleId="QuoteChar">
    <w:name w:val="Quote Char"/>
    <w:basedOn w:val="DefaultParagraphFont"/>
    <w:link w:val="Quote"/>
    <w:rsid w:val="00B716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682"/>
    <w:pPr>
      <w:pageBreakBefore/>
    </w:pPr>
  </w:style>
  <w:style w:type="paragraph" w:customStyle="1" w:styleId="Border">
    <w:name w:val="Border"/>
    <w:basedOn w:val="Normal"/>
    <w:qFormat/>
    <w:rsid w:val="00B716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682"/>
    <w:rPr>
      <w:b/>
      <w:bCs/>
      <w:i/>
      <w:iCs/>
      <w:color w:val="auto"/>
    </w:rPr>
  </w:style>
  <w:style w:type="paragraph" w:styleId="IntenseQuote">
    <w:name w:val="Intense Quote"/>
    <w:basedOn w:val="Normal"/>
    <w:next w:val="Normal"/>
    <w:link w:val="IntenseQuoteChar"/>
    <w:uiPriority w:val="30"/>
    <w:qFormat/>
    <w:rsid w:val="00B716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6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682"/>
    <w:rPr>
      <w:smallCaps/>
      <w:color w:val="auto"/>
      <w:u w:val="single"/>
    </w:rPr>
  </w:style>
  <w:style w:type="character" w:styleId="IntenseReference">
    <w:name w:val="Intense Reference"/>
    <w:basedOn w:val="DefaultParagraphFont"/>
    <w:uiPriority w:val="32"/>
    <w:qFormat/>
    <w:rsid w:val="00B71682"/>
    <w:rPr>
      <w:b/>
      <w:bCs/>
      <w:smallCaps/>
      <w:color w:val="auto"/>
      <w:spacing w:val="5"/>
      <w:u w:val="single"/>
    </w:rPr>
  </w:style>
  <w:style w:type="paragraph" w:customStyle="1" w:styleId="2ColumnHeading">
    <w:name w:val="2Column Heading"/>
    <w:basedOn w:val="BodyText"/>
    <w:qFormat/>
    <w:rsid w:val="00B71682"/>
    <w:pPr>
      <w:spacing w:after="60"/>
      <w:ind w:left="-2268"/>
    </w:pPr>
    <w:rPr>
      <w:b/>
    </w:rPr>
  </w:style>
  <w:style w:type="paragraph" w:customStyle="1" w:styleId="Heading1TOC">
    <w:name w:val="Heading1 TOC"/>
    <w:basedOn w:val="Normal"/>
    <w:qFormat/>
    <w:rsid w:val="00B71682"/>
    <w:pPr>
      <w:spacing w:before="240" w:after="120"/>
    </w:pPr>
    <w:rPr>
      <w:rFonts w:ascii="Times New Roman" w:hAnsi="Times New Roman"/>
      <w:b/>
      <w:sz w:val="32"/>
    </w:rPr>
  </w:style>
  <w:style w:type="paragraph" w:customStyle="1" w:styleId="Heading2TOC">
    <w:name w:val="Heading2 TOC"/>
    <w:basedOn w:val="Normal"/>
    <w:qFormat/>
    <w:rsid w:val="00B71682"/>
    <w:pPr>
      <w:spacing w:before="240" w:after="60"/>
    </w:pPr>
    <w:rPr>
      <w:rFonts w:ascii="Times New Roman" w:hAnsi="Times New Roman"/>
      <w:b/>
      <w:sz w:val="28"/>
    </w:rPr>
  </w:style>
  <w:style w:type="character" w:customStyle="1" w:styleId="Underline">
    <w:name w:val="Underline"/>
    <w:basedOn w:val="DefaultParagraphFont"/>
    <w:qFormat/>
    <w:rsid w:val="00B71682"/>
    <w:rPr>
      <w:u w:val="single"/>
    </w:rPr>
  </w:style>
  <w:style w:type="paragraph" w:styleId="BalloonText">
    <w:name w:val="Balloon Text"/>
    <w:basedOn w:val="Normal"/>
    <w:link w:val="BalloonTextChar"/>
    <w:rsid w:val="00B71682"/>
    <w:rPr>
      <w:rFonts w:ascii="Tahoma" w:hAnsi="Tahoma" w:cs="Tahoma"/>
      <w:sz w:val="16"/>
      <w:szCs w:val="16"/>
    </w:rPr>
  </w:style>
  <w:style w:type="character" w:customStyle="1" w:styleId="BalloonTextChar">
    <w:name w:val="Balloon Text Char"/>
    <w:basedOn w:val="DefaultParagraphFont"/>
    <w:link w:val="BalloonText"/>
    <w:rsid w:val="00B716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6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716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682"/>
    <w:rPr>
      <w:b/>
      <w:color w:val="660033"/>
      <w:spacing w:val="0"/>
    </w:rPr>
  </w:style>
  <w:style w:type="paragraph" w:customStyle="1" w:styleId="Nameditemlist">
    <w:name w:val="Named item list"/>
    <w:basedOn w:val="BodyText"/>
    <w:qFormat/>
    <w:rsid w:val="00B716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1896</Words>
  <Characters>12125</Characters>
  <Application>Microsoft Office Word</Application>
  <DocSecurity>0</DocSecurity>
  <Lines>441</Lines>
  <Paragraphs>248</Paragraphs>
  <ScaleCrop>false</ScaleCrop>
  <Company>Author-it Software Corporation Ltd.</Company>
  <LinksUpToDate>false</LinksUpToDate>
  <CharactersWithSpaces>13934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CPCPPS5004A Conduct a water audit and identify water-saving initiatives</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2012-10-05T11:40:00Z</dcterms:created>
  <dcterms:modified xsi:type="dcterms:W3CDTF">2012-10-05T11:40:00Z</dcterms:modified>
</cp:coreProperties>
</file>