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1DC" w:rsidP="009161DC">
      <w:pPr>
        <w:pStyle w:val="Title"/>
      </w:pPr>
      <w:bookmarkStart w:id="0" w:name="_GoBack"/>
      <w:bookmarkEnd w:id="0"/>
      <w:r>
        <w:fldChar w:fldCharType="begin"/>
      </w:r>
      <w:r>
        <w:instrText xml:space="preserve"> TITLE   \* MERGEFORMAT </w:instrText>
      </w:r>
      <w:r>
        <w:fldChar w:fldCharType="separate"/>
      </w:r>
      <w:r>
        <w:t>CPCPFS4012A Commission and maintain special hazard fire suppression systems</w:t>
      </w:r>
      <w:r>
        <w:fldChar w:fldCharType="end"/>
      </w:r>
    </w:p>
    <w:p w:rsidR="009161DC" w:rsidP="009161DC">
      <w:pPr>
        <w:pStyle w:val="Version"/>
        <w:sectPr w:rsidSect="009D6B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BB9" w:rsidP="009D6BB9">
      <w:pPr>
        <w:pStyle w:val="SuperHeading"/>
      </w:pPr>
      <w:r w:rsidRPr="009D6BB9">
        <w:t>CPCPFS4012A Commission and maintain special hazard fire suppression systems</w:t>
      </w:r>
    </w:p>
    <w:p w:rsidR="00000000" w:rsidRPr="009D6BB9" w:rsidP="009D6BB9">
      <w:pPr>
        <w:pStyle w:val="Heading1"/>
      </w:pPr>
      <w:bookmarkStart w:id="1" w:name="O_269847"/>
      <w:bookmarkEnd w:id="1"/>
      <w:r w:rsidRPr="009D6BB9">
        <w:t>Modification History</w:t>
      </w:r>
    </w:p>
    <w:p w:rsidR="00000000" w:rsidRPr="009D6BB9" w:rsidP="009D6BB9">
      <w:pPr>
        <w:pStyle w:val="BodyText"/>
      </w:pPr>
      <w:r w:rsidRPr="009D6BB9">
        <w:t>Not Applicable</w:t>
      </w:r>
    </w:p>
    <w:p w:rsidR="00000000" w:rsidRPr="009D6BB9" w:rsidP="009D6BB9">
      <w:pPr>
        <w:pStyle w:val="AllowPageBreak"/>
      </w:pPr>
    </w:p>
    <w:p w:rsidR="00000000" w:rsidRPr="009D6BB9" w:rsidP="009D6BB9">
      <w:pPr>
        <w:pStyle w:val="Heading1"/>
      </w:pPr>
      <w:bookmarkStart w:id="2" w:name="O_199704"/>
      <w:bookmarkEnd w:id="2"/>
      <w:r w:rsidRPr="009D6BB9">
        <w:t>Unit Descriptor</w:t>
      </w:r>
    </w:p>
    <w:tbl>
      <w:tblPr>
        <w:tblW w:w="0" w:type="auto"/>
        <w:tblLayout w:type="fixed"/>
        <w:tblCellMar>
          <w:left w:w="62" w:type="dxa"/>
          <w:right w:w="62" w:type="dxa"/>
        </w:tblCellMar>
        <w:tblLook w:val="0000"/>
      </w:tblPr>
      <w:tblGrid>
        <w:gridCol w:w="2569"/>
        <w:gridCol w:w="5953"/>
      </w:tblGrid>
      <w:tr w:rsidTr="009161D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 xml:space="preserve">Unit </w:t>
            </w:r>
            <w:r w:rsidRPr="009D6BB9">
              <w:rPr>
                <w:rStyle w:val="SpecialBold"/>
              </w:rPr>
              <w:t>descriptor</w:t>
            </w:r>
          </w:p>
        </w:tc>
        <w:tc>
          <w:tcPr>
            <w:tcW w:w="5953" w:type="dxa"/>
            <w:tcBorders>
              <w:top w:val="nil"/>
              <w:left w:val="nil"/>
              <w:bottom w:val="nil"/>
              <w:right w:val="nil"/>
            </w:tcBorders>
            <w:tcMar>
              <w:top w:w="0" w:type="dxa"/>
              <w:left w:w="62" w:type="dxa"/>
              <w:bottom w:w="0" w:type="dxa"/>
              <w:right w:w="62" w:type="dxa"/>
            </w:tcMar>
          </w:tcPr>
          <w:p w:rsidR="00000000" w:rsidRPr="009D6BB9" w:rsidP="009D6BB9">
            <w:pPr>
              <w:pStyle w:val="BodyText"/>
            </w:pPr>
            <w:r w:rsidRPr="009D6BB9">
              <w:t>This unit of competency specifies the outcomes required to test, commission and maintain special hazard fire suppression systems.</w:t>
            </w:r>
          </w:p>
          <w:p w:rsidR="00000000" w:rsidRPr="009D6BB9" w:rsidP="009D6BB9">
            <w:pPr>
              <w:pStyle w:val="BodyText"/>
            </w:pPr>
            <w:r w:rsidRPr="009D6BB9">
              <w:t>It covers preparation for the work, identification and confirmation of system specifications and requirements, phys</w:t>
            </w:r>
            <w:r w:rsidRPr="009D6BB9">
              <w:t>ical testing and commissioning of the systems, and conduct of systems maintenance and work finalisation processes, including records and documentation.</w:t>
            </w:r>
          </w:p>
          <w:p w:rsidR="00000000" w:rsidRPr="009D6BB9" w:rsidP="009D6BB9">
            <w:pPr>
              <w:pStyle w:val="BodyText"/>
            </w:pPr>
            <w:r w:rsidRPr="009D6BB9">
              <w:t>NOTE: All technicians performing work described in this unit that involves the handling of prescribed oz</w:t>
            </w:r>
            <w:r w:rsidRPr="009D6BB9">
              <w:t>one depleting substances (ODS) and synthetic greenhouse gases (SGG) extinguishing agents must hold an appropriate extinguishing agent handling licence (EAHL).</w:t>
            </w:r>
          </w:p>
        </w:tc>
      </w:tr>
    </w:tbl>
    <w:p w:rsidR="009161DC" w:rsidP="009D6BB9">
      <w:pPr>
        <w:pStyle w:val="BodyText"/>
      </w:pPr>
    </w:p>
    <w:p w:rsidR="009161DC" w:rsidP="009D6BB9">
      <w:pPr>
        <w:pStyle w:val="BodyText"/>
      </w:pPr>
    </w:p>
    <w:p w:rsidR="00000000" w:rsidRPr="009D6BB9" w:rsidP="009D6BB9">
      <w:pPr>
        <w:pStyle w:val="Heading1"/>
      </w:pPr>
      <w:bookmarkStart w:id="3" w:name="O_199708"/>
      <w:bookmarkEnd w:id="3"/>
      <w:r w:rsidRPr="009D6BB9">
        <w:t>Application of the Unit</w:t>
      </w:r>
    </w:p>
    <w:tbl>
      <w:tblPr>
        <w:tblW w:w="0" w:type="auto"/>
        <w:tblLayout w:type="fixed"/>
        <w:tblCellMar>
          <w:left w:w="62" w:type="dxa"/>
          <w:right w:w="62" w:type="dxa"/>
        </w:tblCellMar>
        <w:tblLook w:val="0000"/>
      </w:tblPr>
      <w:tblGrid>
        <w:gridCol w:w="2652"/>
        <w:gridCol w:w="5870"/>
      </w:tblGrid>
      <w:tr w:rsidTr="009161DC">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9D6BB9" w:rsidP="009D6BB9">
            <w:pPr>
              <w:pStyle w:val="BodyText"/>
            </w:pPr>
            <w:r w:rsidRPr="009D6BB9">
              <w:t>Site location for work application may be either domestic or residential, and may be a new work site or an existing structure being renovated, extended, restored or maintained.</w:t>
            </w:r>
          </w:p>
        </w:tc>
      </w:tr>
    </w:tbl>
    <w:p w:rsidR="009161DC" w:rsidP="009D6BB9">
      <w:pPr>
        <w:pStyle w:val="BodyText"/>
      </w:pPr>
    </w:p>
    <w:p w:rsidR="009161DC" w:rsidP="009D6BB9">
      <w:pPr>
        <w:pStyle w:val="BodyText"/>
      </w:pPr>
    </w:p>
    <w:p w:rsidR="00000000" w:rsidRPr="009D6BB9" w:rsidP="009D6BB9">
      <w:pPr>
        <w:pStyle w:val="Heading1"/>
      </w:pPr>
      <w:bookmarkStart w:id="4" w:name="O_278107"/>
      <w:bookmarkEnd w:id="4"/>
      <w:r w:rsidRPr="009D6BB9">
        <w:t>Licensing/Regulatory Information</w:t>
      </w:r>
    </w:p>
    <w:p w:rsidR="00000000" w:rsidRPr="009D6BB9" w:rsidP="009D6BB9">
      <w:pPr>
        <w:pStyle w:val="BodyText"/>
      </w:pPr>
      <w:r w:rsidRPr="009D6BB9">
        <w:t>Not Applicable</w:t>
      </w:r>
    </w:p>
    <w:p w:rsidR="00000000" w:rsidRPr="009D6BB9" w:rsidP="009D6BB9">
      <w:pPr>
        <w:pStyle w:val="AllowPageBreak"/>
      </w:pPr>
    </w:p>
    <w:p w:rsidR="00000000" w:rsidRPr="009D6BB9" w:rsidP="009D6BB9">
      <w:pPr>
        <w:pStyle w:val="Heading1"/>
      </w:pPr>
      <w:bookmarkStart w:id="5" w:name="O_199706"/>
      <w:bookmarkEnd w:id="5"/>
      <w:r w:rsidRPr="009D6BB9">
        <w:t>Pre-Requisites</w:t>
      </w:r>
    </w:p>
    <w:tbl>
      <w:tblPr>
        <w:tblW w:w="0" w:type="auto"/>
        <w:tblLayout w:type="fixed"/>
        <w:tblCellMar>
          <w:left w:w="62" w:type="dxa"/>
          <w:right w:w="62" w:type="dxa"/>
        </w:tblCellMar>
        <w:tblLook w:val="0000"/>
      </w:tblPr>
      <w:tblGrid>
        <w:gridCol w:w="2660"/>
        <w:gridCol w:w="1655"/>
        <w:gridCol w:w="4207"/>
      </w:tblGrid>
      <w:tr w:rsidTr="009161DC">
        <w:tblPrEx>
          <w:tblW w:w="0" w:type="auto"/>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Prerequisite units</w:t>
            </w:r>
          </w:p>
        </w:tc>
        <w:tc>
          <w:tcPr>
            <w:tcW w:w="5862" w:type="dxa"/>
            <w:gridSpan w:val="2"/>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t>Nil</w:t>
            </w:r>
          </w:p>
        </w:tc>
      </w:tr>
      <w:tr w:rsidTr="009161DC">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7" w:type="dxa"/>
            <w:tcBorders>
              <w:top w:val="nil"/>
              <w:left w:val="nil"/>
              <w:bottom w:val="nil"/>
              <w:right w:val="nil"/>
            </w:tcBorders>
            <w:tcMar>
              <w:top w:w="0" w:type="dxa"/>
              <w:left w:w="62" w:type="dxa"/>
              <w:bottom w:w="0" w:type="dxa"/>
              <w:right w:w="62" w:type="dxa"/>
            </w:tcMar>
          </w:tcPr>
          <w:p w:rsidR="00000000" w:rsidRPr="009D6BB9" w:rsidP="009D6BB9">
            <w:pPr>
              <w:pStyle w:val="BodyText"/>
            </w:pPr>
          </w:p>
        </w:tc>
      </w:tr>
    </w:tbl>
    <w:p w:rsidR="009161DC" w:rsidP="009D6BB9">
      <w:pPr>
        <w:pStyle w:val="BodyText"/>
      </w:pPr>
    </w:p>
    <w:p w:rsidR="009161DC" w:rsidP="009D6BB9">
      <w:pPr>
        <w:pStyle w:val="BodyText"/>
      </w:pPr>
    </w:p>
    <w:p w:rsidR="00000000" w:rsidRPr="009D6BB9" w:rsidP="009D6BB9">
      <w:pPr>
        <w:pStyle w:val="Heading1"/>
      </w:pPr>
      <w:bookmarkStart w:id="6" w:name="O_199705"/>
      <w:bookmarkEnd w:id="6"/>
      <w:r w:rsidRPr="009D6BB9">
        <w:t>Employability Skills Information</w:t>
      </w:r>
    </w:p>
    <w:tbl>
      <w:tblPr>
        <w:tblW w:w="0" w:type="auto"/>
        <w:tblLayout w:type="fixed"/>
        <w:tblCellMar>
          <w:left w:w="62" w:type="dxa"/>
          <w:right w:w="62" w:type="dxa"/>
        </w:tblCellMar>
        <w:tblLook w:val="0000"/>
      </w:tblPr>
      <w:tblGrid>
        <w:gridCol w:w="2686"/>
        <w:gridCol w:w="5836"/>
      </w:tblGrid>
      <w:tr w:rsidTr="009161DC">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9D6BB9" w:rsidP="009D6BB9">
            <w:pPr>
              <w:pStyle w:val="BodyText"/>
            </w:pPr>
            <w:r w:rsidRPr="009D6BB9">
              <w:t>This unit contains employability skills.</w:t>
            </w:r>
          </w:p>
        </w:tc>
      </w:tr>
    </w:tbl>
    <w:p w:rsidR="009161DC" w:rsidP="009D6BB9">
      <w:pPr>
        <w:pStyle w:val="BodyText"/>
      </w:pPr>
    </w:p>
    <w:p w:rsidR="009161DC" w:rsidP="009D6BB9">
      <w:pPr>
        <w:pStyle w:val="BodyText"/>
      </w:pPr>
    </w:p>
    <w:p w:rsidR="00000000" w:rsidRPr="009D6BB9" w:rsidP="009D6BB9">
      <w:pPr>
        <w:pStyle w:val="Heading1"/>
      </w:pPr>
      <w:bookmarkStart w:id="7" w:name="O_287893"/>
      <w:bookmarkEnd w:id="7"/>
      <w:r w:rsidRPr="009D6BB9">
        <w:t>Elements and Performance Criteria Pre-Content</w:t>
      </w:r>
    </w:p>
    <w:tbl>
      <w:tblPr>
        <w:tblW w:w="0" w:type="auto"/>
        <w:tblLayout w:type="fixed"/>
        <w:tblCellMar>
          <w:left w:w="62" w:type="dxa"/>
          <w:right w:w="62" w:type="dxa"/>
        </w:tblCellMar>
        <w:tblLook w:val="0000"/>
      </w:tblPr>
      <w:tblGrid>
        <w:gridCol w:w="2567"/>
        <w:gridCol w:w="5955"/>
      </w:tblGrid>
      <w:tr w:rsidTr="009161D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D6BB9">
            <w:pPr>
              <w:pStyle w:val="BodyText"/>
              <w:rPr>
                <w:lang w:val="en-NZ"/>
              </w:rPr>
            </w:pPr>
            <w:r w:rsidRPr="009D6BB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D6BB9" w:rsidP="009D6BB9">
            <w:pPr>
              <w:pStyle w:val="BodyText"/>
            </w:pPr>
            <w:r w:rsidRPr="009D6BB9">
              <w:t>Performance criteria describe the performance needed to demonstrate achievement of the element. Where bold italicised text is used, further information is detailed in the required skills and</w:t>
            </w:r>
            <w:r w:rsidRPr="009D6BB9">
              <w:t xml:space="preserve"> knowledge section and the range statement. Assessment of performance is to be consistent with the evidence guide.</w:t>
            </w:r>
          </w:p>
        </w:tc>
      </w:tr>
    </w:tbl>
    <w:p w:rsidR="00000000" w:rsidRPr="009D6BB9" w:rsidP="009D6BB9">
      <w:pPr>
        <w:pStyle w:val="BodyText"/>
      </w:pPr>
    </w:p>
    <w:p w:rsidR="00000000" w:rsidRPr="009D6BB9" w:rsidP="009D6BB9">
      <w:pPr>
        <w:pStyle w:val="AllowPageBreak"/>
      </w:pPr>
    </w:p>
    <w:p w:rsidR="00000000" w:rsidRPr="009D6BB9" w:rsidP="009D6BB9">
      <w:pPr>
        <w:pStyle w:val="Heading1"/>
      </w:pPr>
      <w:bookmarkStart w:id="8" w:name="O_234560"/>
      <w:bookmarkEnd w:id="8"/>
      <w:r w:rsidRPr="009D6BB9">
        <w:t>Elements and Performance Criteria</w:t>
      </w:r>
    </w:p>
    <w:tbl>
      <w:tblPr>
        <w:tblW w:w="0" w:type="auto"/>
        <w:tblLayout w:type="fixed"/>
        <w:tblCellMar>
          <w:left w:w="62" w:type="dxa"/>
          <w:right w:w="62" w:type="dxa"/>
        </w:tblCellMar>
        <w:tblLook w:val="0000"/>
      </w:tblPr>
      <w:tblGrid>
        <w:gridCol w:w="2567"/>
        <w:gridCol w:w="5955"/>
      </w:tblGrid>
      <w:tr w:rsidTr="009161D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D6BB9" w:rsidP="009D6BB9">
            <w:pPr>
              <w:pStyle w:val="BodyText"/>
            </w:pPr>
            <w:r w:rsidRPr="009D6BB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D6BB9">
            <w:pPr>
              <w:pStyle w:val="BodyText"/>
              <w:rPr>
                <w:lang w:val="en-NZ"/>
              </w:rPr>
            </w:pPr>
            <w:r w:rsidRPr="009D6BB9">
              <w:rPr>
                <w:rStyle w:val="SpecialBold"/>
              </w:rPr>
              <w:t>PERFORMANCE CRITERIA</w:t>
            </w:r>
          </w:p>
        </w:tc>
      </w:tr>
      <w:tr w:rsidTr="009161D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D6BB9">
            <w:pPr>
              <w:pStyle w:val="List"/>
              <w:rPr>
                <w:lang w:val="en-NZ"/>
              </w:rPr>
            </w:pPr>
            <w:r w:rsidRPr="009D6BB9">
              <w:t>1.</w:t>
            </w:r>
            <w:r w:rsidRPr="009D6BB9">
              <w:tab/>
              <w:t>Prepare for work.</w:t>
            </w:r>
          </w:p>
        </w:tc>
        <w:tc>
          <w:tcPr>
            <w:tcW w:w="5955" w:type="dxa"/>
            <w:tcBorders>
              <w:top w:val="nil"/>
              <w:left w:val="nil"/>
              <w:bottom w:val="nil"/>
              <w:right w:val="nil"/>
            </w:tcBorders>
            <w:tcMar>
              <w:top w:w="0" w:type="dxa"/>
              <w:left w:w="62" w:type="dxa"/>
              <w:bottom w:w="0" w:type="dxa"/>
              <w:right w:w="62" w:type="dxa"/>
            </w:tcMar>
          </w:tcPr>
          <w:p w:rsidR="00000000" w:rsidRPr="009D6BB9" w:rsidP="009D6BB9">
            <w:pPr>
              <w:pStyle w:val="List2"/>
            </w:pPr>
            <w:r w:rsidRPr="009D6BB9">
              <w:t>1.1.</w:t>
            </w:r>
            <w:r w:rsidRPr="009D6BB9">
              <w:tab/>
            </w:r>
            <w:r w:rsidRPr="009D6BB9">
              <w:t>Drawings and specifications are obtained.</w:t>
            </w:r>
          </w:p>
          <w:p w:rsidR="00000000" w:rsidRPr="009D6BB9" w:rsidP="009D6BB9">
            <w:pPr>
              <w:pStyle w:val="List2"/>
            </w:pPr>
            <w:r w:rsidRPr="009D6BB9">
              <w:t>1.2.</w:t>
            </w:r>
            <w:r w:rsidRPr="009D6BB9">
              <w:tab/>
            </w:r>
            <w:r w:rsidRPr="009D6BB9">
              <w:rPr>
                <w:rStyle w:val="BoldandItalics"/>
              </w:rPr>
              <w:t>Safety</w:t>
            </w:r>
            <w:r w:rsidRPr="009D6BB9">
              <w:t xml:space="preserve"> (</w:t>
            </w:r>
            <w:r w:rsidRPr="009D6BB9">
              <w:rPr>
                <w:rStyle w:val="BoldandItalics"/>
              </w:rPr>
              <w:t>OHS</w:t>
            </w:r>
            <w:r w:rsidRPr="009D6BB9">
              <w:t xml:space="preserve">) requirements associated with commissioning special hazard fire suppression systems, and the workplace </w:t>
            </w:r>
            <w:r w:rsidRPr="009D6BB9">
              <w:rPr>
                <w:rStyle w:val="BoldandItalics"/>
              </w:rPr>
              <w:t>environmental requirements</w:t>
            </w:r>
            <w:r w:rsidRPr="009D6BB9">
              <w:t xml:space="preserve">, are adhered to throughout the work. </w:t>
            </w:r>
          </w:p>
          <w:p w:rsidR="00000000" w:rsidRPr="009D6BB9" w:rsidP="009D6BB9">
            <w:pPr>
              <w:pStyle w:val="List2"/>
            </w:pPr>
            <w:r w:rsidRPr="009D6BB9">
              <w:t>1.3.</w:t>
            </w:r>
            <w:r w:rsidRPr="009D6BB9">
              <w:tab/>
            </w:r>
            <w:r w:rsidRPr="009D6BB9">
              <w:rPr>
                <w:rStyle w:val="BoldandItalics"/>
              </w:rPr>
              <w:t>Quality assurance</w:t>
            </w:r>
            <w:r w:rsidRPr="009D6BB9">
              <w:t xml:space="preserve"> requir</w:t>
            </w:r>
            <w:r w:rsidRPr="009D6BB9">
              <w:t xml:space="preserve">ements are identified and adhered to in accordance with workplace requirements. </w:t>
            </w:r>
          </w:p>
          <w:p w:rsidR="00000000" w:rsidRPr="009D6BB9" w:rsidP="009D6BB9">
            <w:pPr>
              <w:pStyle w:val="List2"/>
            </w:pPr>
            <w:r w:rsidRPr="009D6BB9">
              <w:t>1.4.</w:t>
            </w:r>
            <w:r w:rsidRPr="009D6BB9">
              <w:tab/>
              <w:t>Apply knowledge and understanding of ODS and SGG legislative and industry requirements to commission, inspect, test and maintain activities for special hazard fire suppre</w:t>
            </w:r>
            <w:r w:rsidRPr="009D6BB9">
              <w:t>ssion systems.</w:t>
            </w:r>
          </w:p>
          <w:p w:rsidR="00000000" w:rsidRPr="009D6BB9" w:rsidP="009D6BB9">
            <w:pPr>
              <w:pStyle w:val="List2"/>
            </w:pPr>
            <w:r w:rsidRPr="009D6BB9">
              <w:t>1.5.</w:t>
            </w:r>
            <w:r w:rsidRPr="009D6BB9">
              <w:tab/>
              <w:t>Tasks are planned and sequenced in conjunction with others involved in or affected by the work.</w:t>
            </w:r>
          </w:p>
          <w:p w:rsidR="00000000" w:rsidRPr="009D6BB9" w:rsidP="009D6BB9">
            <w:pPr>
              <w:pStyle w:val="List2"/>
            </w:pPr>
            <w:r w:rsidRPr="009D6BB9">
              <w:t>1.6.</w:t>
            </w:r>
            <w:r w:rsidRPr="009D6BB9">
              <w:tab/>
            </w:r>
            <w:r w:rsidRPr="009D6BB9">
              <w:rPr>
                <w:rStyle w:val="BoldandItalics"/>
              </w:rPr>
              <w:t>Tools</w:t>
            </w:r>
            <w:r w:rsidRPr="009D6BB9">
              <w:t xml:space="preserve">, </w:t>
            </w:r>
            <w:r w:rsidRPr="009D6BB9">
              <w:rPr>
                <w:rStyle w:val="BoldandItalics"/>
              </w:rPr>
              <w:t>equipment</w:t>
            </w:r>
            <w:r w:rsidRPr="009D6BB9">
              <w:t xml:space="preserve"> and </w:t>
            </w:r>
            <w:r w:rsidRPr="009D6BB9">
              <w:rPr>
                <w:rStyle w:val="BoldandItalics"/>
              </w:rPr>
              <w:t>materials</w:t>
            </w:r>
            <w:r w:rsidRPr="009D6BB9">
              <w:t xml:space="preserve"> for commissioning and maintaining </w:t>
            </w:r>
            <w:r w:rsidRPr="009D6BB9">
              <w:rPr>
                <w:rStyle w:val="BoldandItalics"/>
              </w:rPr>
              <w:t>special hazard fire suppression systems</w:t>
            </w:r>
            <w:r w:rsidRPr="009D6BB9">
              <w:t>, including personal protective</w:t>
            </w:r>
            <w:r w:rsidRPr="009D6BB9">
              <w:t xml:space="preserve"> equipment, are selected and checked for serviceability. </w:t>
            </w:r>
          </w:p>
          <w:p w:rsidR="00000000" w:rsidP="009D6BB9">
            <w:pPr>
              <w:pStyle w:val="List2"/>
              <w:rPr>
                <w:lang w:val="en-NZ"/>
              </w:rPr>
            </w:pPr>
            <w:r w:rsidRPr="009D6BB9">
              <w:t>1.7.</w:t>
            </w:r>
            <w:r w:rsidRPr="009D6BB9">
              <w:tab/>
              <w:t>Work area is prepared to support efficient commissioning process.</w:t>
            </w:r>
          </w:p>
        </w:tc>
      </w:tr>
      <w:tr w:rsidTr="009161D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D6BB9">
            <w:pPr>
              <w:pStyle w:val="List"/>
              <w:rPr>
                <w:lang w:val="en-NZ"/>
              </w:rPr>
            </w:pPr>
            <w:r w:rsidRPr="009D6BB9">
              <w:t>2.</w:t>
            </w:r>
            <w:r w:rsidRPr="009D6BB9">
              <w:tab/>
              <w:t>Identify system requirements.</w:t>
            </w:r>
          </w:p>
        </w:tc>
        <w:tc>
          <w:tcPr>
            <w:tcW w:w="5955" w:type="dxa"/>
            <w:tcBorders>
              <w:top w:val="nil"/>
              <w:left w:val="nil"/>
              <w:bottom w:val="nil"/>
              <w:right w:val="nil"/>
            </w:tcBorders>
            <w:tcMar>
              <w:top w:w="0" w:type="dxa"/>
              <w:left w:w="62" w:type="dxa"/>
              <w:bottom w:w="0" w:type="dxa"/>
              <w:right w:w="62" w:type="dxa"/>
            </w:tcMar>
          </w:tcPr>
          <w:p w:rsidR="00000000" w:rsidRPr="009D6BB9" w:rsidP="009D6BB9">
            <w:pPr>
              <w:pStyle w:val="List2"/>
            </w:pPr>
            <w:r w:rsidRPr="009D6BB9">
              <w:t>2.1.</w:t>
            </w:r>
            <w:r w:rsidRPr="009D6BB9">
              <w:tab/>
              <w:t>Service design requirements are identified and confirmed from job specifications and are</w:t>
            </w:r>
            <w:r w:rsidRPr="009D6BB9">
              <w:t xml:space="preserve"> in accordance with standards.</w:t>
            </w:r>
          </w:p>
          <w:p w:rsidR="00000000" w:rsidP="009D6BB9">
            <w:pPr>
              <w:pStyle w:val="List2"/>
              <w:rPr>
                <w:lang w:val="en-NZ"/>
              </w:rPr>
            </w:pPr>
            <w:r w:rsidRPr="009D6BB9">
              <w:t>2.2.</w:t>
            </w:r>
            <w:r w:rsidRPr="009D6BB9">
              <w:tab/>
              <w:t>Testing and commissioning requirements of special hazard fire suppression systems are identified in accordance with standards, authorities' requirements and job specifications.</w:t>
            </w:r>
          </w:p>
        </w:tc>
      </w:tr>
      <w:tr w:rsidTr="009161D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D6BB9">
            <w:pPr>
              <w:pStyle w:val="List"/>
              <w:rPr>
                <w:lang w:val="en-NZ"/>
              </w:rPr>
            </w:pPr>
            <w:r w:rsidRPr="009D6BB9">
              <w:t>3.</w:t>
            </w:r>
            <w:r w:rsidRPr="009D6BB9">
              <w:tab/>
              <w:t>Test and commission system.</w:t>
            </w:r>
          </w:p>
        </w:tc>
        <w:tc>
          <w:tcPr>
            <w:tcW w:w="5955" w:type="dxa"/>
            <w:tcBorders>
              <w:top w:val="nil"/>
              <w:left w:val="nil"/>
              <w:bottom w:val="nil"/>
              <w:right w:val="nil"/>
            </w:tcBorders>
            <w:tcMar>
              <w:top w:w="0" w:type="dxa"/>
              <w:left w:w="62" w:type="dxa"/>
              <w:bottom w:w="0" w:type="dxa"/>
              <w:right w:w="62" w:type="dxa"/>
            </w:tcMar>
          </w:tcPr>
          <w:p w:rsidR="00000000" w:rsidRPr="009D6BB9" w:rsidP="009D6BB9">
            <w:pPr>
              <w:pStyle w:val="List2"/>
            </w:pPr>
            <w:r w:rsidRPr="009D6BB9">
              <w:t>3.1.</w:t>
            </w:r>
            <w:r w:rsidRPr="009D6BB9">
              <w:tab/>
            </w:r>
            <w:r w:rsidRPr="009D6BB9">
              <w:t>Special hazard fire suppression systems are checked to ensure type and installation conform to standards, job specifications, manufacturer recommendations and authorities' requirements.</w:t>
            </w:r>
          </w:p>
          <w:p w:rsidR="00000000" w:rsidRPr="009D6BB9" w:rsidP="009D6BB9">
            <w:pPr>
              <w:pStyle w:val="List2"/>
            </w:pPr>
            <w:r w:rsidRPr="009D6BB9">
              <w:t>3.2.</w:t>
            </w:r>
            <w:r w:rsidRPr="009D6BB9">
              <w:tab/>
              <w:t>Operation of system is tested in accordance with job specificatio</w:t>
            </w:r>
            <w:r w:rsidRPr="009D6BB9">
              <w:t>ns, manufacturer recommendations and authorities' requirements, including ODS and SGG legislative requirements, and is adjusted as required.</w:t>
            </w:r>
          </w:p>
          <w:p w:rsidR="00000000" w:rsidP="009D6BB9">
            <w:pPr>
              <w:pStyle w:val="List2"/>
              <w:rPr>
                <w:lang w:val="en-NZ"/>
              </w:rPr>
            </w:pPr>
            <w:r w:rsidRPr="009D6BB9">
              <w:t>3.3.</w:t>
            </w:r>
            <w:r w:rsidRPr="009D6BB9">
              <w:tab/>
              <w:t>System is commissioned to ensure correct operation in accordance with standards, and manufacturer and job spec</w:t>
            </w:r>
            <w:r w:rsidRPr="009D6BB9">
              <w:t>ifications.</w:t>
            </w:r>
          </w:p>
        </w:tc>
      </w:tr>
      <w:tr w:rsidTr="009161D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D6BB9">
            <w:pPr>
              <w:pStyle w:val="List"/>
              <w:rPr>
                <w:lang w:val="en-NZ"/>
              </w:rPr>
            </w:pPr>
            <w:r w:rsidRPr="009D6BB9">
              <w:t>4.</w:t>
            </w:r>
            <w:r w:rsidRPr="009D6BB9">
              <w:tab/>
              <w:t>Maintain system.</w:t>
            </w:r>
          </w:p>
        </w:tc>
        <w:tc>
          <w:tcPr>
            <w:tcW w:w="5955" w:type="dxa"/>
            <w:tcBorders>
              <w:top w:val="nil"/>
              <w:left w:val="nil"/>
              <w:bottom w:val="nil"/>
              <w:right w:val="nil"/>
            </w:tcBorders>
            <w:tcMar>
              <w:top w:w="0" w:type="dxa"/>
              <w:left w:w="62" w:type="dxa"/>
              <w:bottom w:w="0" w:type="dxa"/>
              <w:right w:w="62" w:type="dxa"/>
            </w:tcMar>
          </w:tcPr>
          <w:p w:rsidR="00000000" w:rsidRPr="009D6BB9" w:rsidP="009D6BB9">
            <w:pPr>
              <w:pStyle w:val="List2"/>
            </w:pPr>
            <w:r w:rsidRPr="009D6BB9">
              <w:t>4.1.</w:t>
            </w:r>
            <w:r w:rsidRPr="009D6BB9">
              <w:tab/>
              <w:t>Service and maintenance requirements are identified from manufacturer specifications or authorities' requirements.</w:t>
            </w:r>
          </w:p>
          <w:p w:rsidR="00000000" w:rsidRPr="009D6BB9" w:rsidP="009D6BB9">
            <w:pPr>
              <w:pStyle w:val="List2"/>
            </w:pPr>
            <w:r w:rsidRPr="009D6BB9">
              <w:t>4.2.</w:t>
            </w:r>
            <w:r w:rsidRPr="009D6BB9">
              <w:tab/>
              <w:t>Replacement components are checked and fitted periodically and as required in accordance with spec</w:t>
            </w:r>
            <w:r w:rsidRPr="009D6BB9">
              <w:t>ifications.</w:t>
            </w:r>
          </w:p>
          <w:p w:rsidR="00000000" w:rsidP="009D6BB9">
            <w:pPr>
              <w:pStyle w:val="List2"/>
              <w:rPr>
                <w:lang w:val="en-NZ"/>
              </w:rPr>
            </w:pPr>
            <w:r w:rsidRPr="009D6BB9">
              <w:t>4.3.</w:t>
            </w:r>
            <w:r w:rsidRPr="009D6BB9">
              <w:tab/>
              <w:t>Maintenance and repair of system are conducted observing maintenance schedule described in current Australian standard, and manufacturer and/or authorities' requirements, including ODS and SGG legislative requirements.</w:t>
            </w:r>
          </w:p>
        </w:tc>
      </w:tr>
      <w:tr w:rsidTr="009161D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D6BB9">
            <w:pPr>
              <w:pStyle w:val="List"/>
              <w:rPr>
                <w:lang w:val="en-NZ"/>
              </w:rPr>
            </w:pPr>
            <w:r w:rsidRPr="009D6BB9">
              <w:t>5.</w:t>
            </w:r>
            <w:r w:rsidRPr="009D6BB9">
              <w:tab/>
              <w:t>Clean up work ar</w:t>
            </w:r>
            <w:r w:rsidRPr="009D6BB9">
              <w:t>ea.</w:t>
            </w:r>
          </w:p>
        </w:tc>
        <w:tc>
          <w:tcPr>
            <w:tcW w:w="5955" w:type="dxa"/>
            <w:tcBorders>
              <w:top w:val="nil"/>
              <w:left w:val="nil"/>
              <w:bottom w:val="nil"/>
              <w:right w:val="nil"/>
            </w:tcBorders>
            <w:tcMar>
              <w:top w:w="0" w:type="dxa"/>
              <w:left w:w="62" w:type="dxa"/>
              <w:bottom w:w="0" w:type="dxa"/>
              <w:right w:w="62" w:type="dxa"/>
            </w:tcMar>
          </w:tcPr>
          <w:p w:rsidR="00000000" w:rsidRPr="009D6BB9" w:rsidP="009D6BB9">
            <w:pPr>
              <w:pStyle w:val="List2"/>
            </w:pPr>
            <w:r w:rsidRPr="009D6BB9">
              <w:t>5.1.</w:t>
            </w:r>
            <w:r w:rsidRPr="009D6BB9">
              <w:tab/>
              <w:t xml:space="preserve">Work area is cleared and materials disposed of or recycled in accordance with state or territory </w:t>
            </w:r>
            <w:r w:rsidRPr="009D6BB9">
              <w:rPr>
                <w:rStyle w:val="BoldandItalics"/>
              </w:rPr>
              <w:t>statutory and regulatory authority</w:t>
            </w:r>
            <w:r w:rsidRPr="009D6BB9">
              <w:t xml:space="preserve"> legislation and workplace procedures. </w:t>
            </w:r>
          </w:p>
          <w:p w:rsidR="00000000" w:rsidRPr="009D6BB9" w:rsidP="009D6BB9">
            <w:pPr>
              <w:pStyle w:val="List2"/>
            </w:pPr>
            <w:r w:rsidRPr="009D6BB9">
              <w:t>5.2.</w:t>
            </w:r>
            <w:r w:rsidRPr="009D6BB9">
              <w:tab/>
              <w:t>Tools and equipment are cleaned, checked, maintained and stored in acco</w:t>
            </w:r>
            <w:r w:rsidRPr="009D6BB9">
              <w:t>rdance with manufacturer recommendations and workplace procedures.</w:t>
            </w:r>
          </w:p>
          <w:p w:rsidR="00000000" w:rsidRPr="009D6BB9" w:rsidP="009D6BB9">
            <w:pPr>
              <w:pStyle w:val="List2"/>
            </w:pPr>
            <w:r w:rsidRPr="009D6BB9">
              <w:t>5.3.</w:t>
            </w:r>
            <w:r w:rsidRPr="009D6BB9">
              <w:tab/>
            </w:r>
            <w:r w:rsidRPr="009D6BB9">
              <w:rPr>
                <w:rStyle w:val="BoldandItalics"/>
              </w:rPr>
              <w:t>Information</w:t>
            </w:r>
            <w:r w:rsidRPr="009D6BB9">
              <w:t xml:space="preserve"> is accessed and documentation completed in accordance with workplace requirements. </w:t>
            </w:r>
          </w:p>
        </w:tc>
      </w:tr>
    </w:tbl>
    <w:p w:rsidR="009161DC" w:rsidP="009D6BB9">
      <w:pPr>
        <w:pStyle w:val="BodyText"/>
      </w:pPr>
    </w:p>
    <w:p w:rsidR="009161DC" w:rsidP="009D6BB9">
      <w:pPr>
        <w:pStyle w:val="BodyText"/>
      </w:pPr>
    </w:p>
    <w:p w:rsidR="00000000" w:rsidRPr="009D6BB9" w:rsidP="009D6BB9">
      <w:pPr>
        <w:pStyle w:val="Heading1"/>
      </w:pPr>
      <w:bookmarkStart w:id="9" w:name="O_258510"/>
      <w:bookmarkEnd w:id="9"/>
      <w:r w:rsidRPr="009D6BB9">
        <w:t>Required Skills and Knowledge</w:t>
      </w:r>
    </w:p>
    <w:tbl>
      <w:tblPr>
        <w:tblW w:w="0" w:type="auto"/>
        <w:tblLayout w:type="fixed"/>
        <w:tblCellMar>
          <w:left w:w="62" w:type="dxa"/>
          <w:right w:w="62" w:type="dxa"/>
        </w:tblCellMar>
        <w:tblLook w:val="0000"/>
      </w:tblPr>
      <w:tblGrid>
        <w:gridCol w:w="8522"/>
      </w:tblGrid>
      <w:tr w:rsidTr="009161D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REQUIRED SKILLS AND KNOWLEDGE</w:t>
            </w:r>
          </w:p>
        </w:tc>
      </w:tr>
      <w:tr w:rsidTr="009161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t>This section describes the skills and knowledge required for this unit.</w:t>
            </w:r>
          </w:p>
        </w:tc>
      </w:tr>
      <w:tr w:rsidTr="009161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Required skills</w:t>
            </w:r>
          </w:p>
        </w:tc>
      </w:tr>
      <w:tr w:rsidTr="009161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6BB9" w:rsidP="009D6BB9">
            <w:pPr>
              <w:pStyle w:val="BodyText"/>
            </w:pPr>
            <w:r w:rsidRPr="009D6BB9">
              <w:t>Required skills for this unit are:</w:t>
            </w:r>
          </w:p>
          <w:p w:rsidR="00000000" w:rsidRPr="009D6BB9" w:rsidP="009D6BB9">
            <w:pPr>
              <w:pStyle w:val="ListBullet"/>
            </w:pPr>
            <w:r w:rsidRPr="009D6BB9">
              <w:t>communication skills to:</w:t>
            </w:r>
          </w:p>
          <w:p w:rsidR="00000000" w:rsidRPr="009D6BB9" w:rsidP="009D6BB9">
            <w:pPr>
              <w:pStyle w:val="ListBullet2"/>
            </w:pPr>
            <w:r w:rsidRPr="009D6BB9">
              <w:t>access information</w:t>
            </w:r>
          </w:p>
          <w:p w:rsidR="00000000" w:rsidRPr="009D6BB9" w:rsidP="009D6BB9">
            <w:pPr>
              <w:pStyle w:val="ListBullet2"/>
            </w:pPr>
            <w:r w:rsidRPr="009D6BB9">
              <w:t>complete workplace documentation</w:t>
            </w:r>
          </w:p>
          <w:p w:rsidR="00000000" w:rsidRPr="009D6BB9" w:rsidP="009D6BB9">
            <w:pPr>
              <w:pStyle w:val="ListBullet2"/>
            </w:pPr>
            <w:r w:rsidRPr="009D6BB9">
              <w:t>determine requirements</w:t>
            </w:r>
          </w:p>
          <w:p w:rsidR="00000000" w:rsidRPr="009D6BB9" w:rsidP="009D6BB9">
            <w:pPr>
              <w:pStyle w:val="ListBullet2"/>
            </w:pPr>
            <w:r w:rsidRPr="009D6BB9">
              <w:t>enable clear and direct communication, using questioning to identify and confirm requirements, share information, listen and understand</w:t>
            </w:r>
          </w:p>
          <w:p w:rsidR="00000000" w:rsidRPr="009D6BB9" w:rsidP="009D6BB9">
            <w:pPr>
              <w:pStyle w:val="ListBullet2"/>
            </w:pPr>
            <w:r w:rsidRPr="009D6BB9">
              <w:t>follow and give instructions</w:t>
            </w:r>
          </w:p>
          <w:p w:rsidR="00000000" w:rsidRPr="009D6BB9" w:rsidP="009D6BB9">
            <w:pPr>
              <w:pStyle w:val="ListBullet2"/>
            </w:pPr>
            <w:r w:rsidRPr="009D6BB9">
              <w:t>plan and sequence tasks with others</w:t>
            </w:r>
          </w:p>
          <w:p w:rsidR="00000000" w:rsidRPr="009D6BB9" w:rsidP="009D6BB9">
            <w:pPr>
              <w:pStyle w:val="ListBullet2"/>
            </w:pPr>
            <w:r w:rsidRPr="009D6BB9">
              <w:t>read and interpret:</w:t>
            </w:r>
          </w:p>
          <w:p w:rsidR="00000000" w:rsidRPr="009D6BB9" w:rsidP="009D6BB9">
            <w:pPr>
              <w:pStyle w:val="ListBullet3"/>
            </w:pPr>
            <w:r w:rsidRPr="009D6BB9">
              <w:t>documentation from a variety of sources</w:t>
            </w:r>
          </w:p>
          <w:p w:rsidR="00000000" w:rsidRPr="009D6BB9" w:rsidP="009D6BB9">
            <w:pPr>
              <w:pStyle w:val="ListBullet3"/>
            </w:pPr>
            <w:r w:rsidRPr="009D6BB9">
              <w:t>drawings and specifications</w:t>
            </w:r>
          </w:p>
          <w:p w:rsidR="00000000" w:rsidRPr="009D6BB9" w:rsidP="009D6BB9">
            <w:pPr>
              <w:pStyle w:val="ListBullet2"/>
            </w:pPr>
            <w:r w:rsidRPr="009D6BB9">
              <w:t>use language and concepts appropriate to cultural differences</w:t>
            </w:r>
          </w:p>
          <w:p w:rsidR="00000000" w:rsidRPr="009D6BB9" w:rsidP="009D6BB9">
            <w:pPr>
              <w:pStyle w:val="ListBullet2"/>
            </w:pPr>
            <w:r w:rsidRPr="009D6BB9">
              <w:t>use and interpret non-verbal communication, such as hand signals</w:t>
            </w:r>
          </w:p>
          <w:p w:rsidR="00000000" w:rsidRPr="009D6BB9" w:rsidP="009D6BB9">
            <w:pPr>
              <w:pStyle w:val="ListBullet"/>
            </w:pPr>
            <w:r w:rsidRPr="009D6BB9">
              <w:t>identifying and accurately reporting to appropriate personne</w:t>
            </w:r>
            <w:r w:rsidRPr="009D6BB9">
              <w:t>l any faults in tools, equipment or materials</w:t>
            </w:r>
          </w:p>
          <w:p w:rsidR="00000000" w:rsidRPr="009D6BB9" w:rsidP="009D6BB9">
            <w:pPr>
              <w:pStyle w:val="ListBullet"/>
            </w:pPr>
            <w:r w:rsidRPr="009D6BB9">
              <w:t>numeracy skills to apply measurements and calculations</w:t>
            </w:r>
          </w:p>
          <w:p w:rsidR="00000000" w:rsidRPr="009D6BB9" w:rsidP="009D6BB9">
            <w:pPr>
              <w:pStyle w:val="ListBullet"/>
            </w:pPr>
            <w:r w:rsidRPr="009D6BB9">
              <w:t>organisational skills, including the ability to plan and set out work</w:t>
            </w:r>
          </w:p>
          <w:p w:rsidR="00000000" w:rsidRPr="009D6BB9" w:rsidP="009D6BB9">
            <w:pPr>
              <w:pStyle w:val="ListBullet"/>
            </w:pPr>
            <w:r w:rsidRPr="009D6BB9">
              <w:t>teamwork skills to work with others to action tasks and relate to people from a range</w:t>
            </w:r>
            <w:r w:rsidRPr="009D6BB9">
              <w:t xml:space="preserve"> of cultural and ethnic backgrounds and with varying physical and mental abilities</w:t>
            </w:r>
          </w:p>
          <w:p w:rsidR="00000000" w:rsidRPr="009D6BB9" w:rsidP="009D6BB9">
            <w:pPr>
              <w:pStyle w:val="ListBullet"/>
            </w:pPr>
            <w:r w:rsidRPr="009D6BB9">
              <w:t>technological skills to:</w:t>
            </w:r>
          </w:p>
          <w:p w:rsidR="00000000" w:rsidRPr="009D6BB9" w:rsidP="009D6BB9">
            <w:pPr>
              <w:pStyle w:val="ListBullet2"/>
            </w:pPr>
            <w:r w:rsidRPr="009D6BB9">
              <w:t>access and understand site-specific instructions in a variety of media</w:t>
            </w:r>
          </w:p>
          <w:p w:rsidR="00000000" w:rsidRPr="009D6BB9" w:rsidP="009D6BB9">
            <w:pPr>
              <w:pStyle w:val="ListBullet2"/>
            </w:pPr>
            <w:r w:rsidRPr="009D6BB9">
              <w:t>use mobile communication technology</w:t>
            </w:r>
          </w:p>
          <w:p w:rsidR="00000000" w:rsidP="009D6BB9">
            <w:pPr>
              <w:pStyle w:val="ListBullet"/>
              <w:rPr>
                <w:lang w:val="en-NZ"/>
              </w:rPr>
            </w:pPr>
            <w:r w:rsidRPr="009D6BB9">
              <w:t>testing, commissioning and maintaining a special hazard protection system consisting of an extinguishing agent, piping, actuating devices and sprinkler delivery.</w:t>
            </w:r>
          </w:p>
        </w:tc>
      </w:tr>
      <w:tr w:rsidTr="009161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Required knowledge</w:t>
            </w:r>
          </w:p>
        </w:tc>
      </w:tr>
      <w:tr w:rsidTr="009161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6BB9" w:rsidP="009D6BB9">
            <w:pPr>
              <w:pStyle w:val="BodyText"/>
            </w:pPr>
            <w:r w:rsidRPr="009D6BB9">
              <w:t>Required knowledge for this unit is:</w:t>
            </w:r>
          </w:p>
          <w:p w:rsidR="00000000" w:rsidRPr="009D6BB9" w:rsidP="009D6BB9">
            <w:pPr>
              <w:pStyle w:val="ListBullet"/>
            </w:pPr>
            <w:r w:rsidRPr="009D6BB9">
              <w:t>accessing information and the proces</w:t>
            </w:r>
            <w:r w:rsidRPr="009D6BB9">
              <w:t>ses for calculating material requirements</w:t>
            </w:r>
          </w:p>
          <w:p w:rsidR="00000000" w:rsidRPr="009D6BB9" w:rsidP="009D6BB9">
            <w:pPr>
              <w:pStyle w:val="ListBullet"/>
            </w:pPr>
            <w:r w:rsidRPr="009D6BB9">
              <w:t>Environment Protection Authority (EPA) requirements, particularly in relation to ODS</w:t>
            </w:r>
          </w:p>
          <w:p w:rsidR="00000000" w:rsidRPr="009D6BB9" w:rsidP="009D6BB9">
            <w:pPr>
              <w:pStyle w:val="ListBullet"/>
            </w:pPr>
            <w:r w:rsidRPr="009D6BB9">
              <w:t>function and operation of components and qualities of materials of special hazards systems</w:t>
            </w:r>
          </w:p>
          <w:p w:rsidR="00000000" w:rsidRPr="009D6BB9" w:rsidP="009D6BB9">
            <w:pPr>
              <w:pStyle w:val="ListBullet"/>
            </w:pPr>
            <w:r w:rsidRPr="009D6BB9">
              <w:t>hazard categories, classes of fire haz</w:t>
            </w:r>
            <w:r w:rsidRPr="009D6BB9">
              <w:t>ard, extinguishing agents and application methods</w:t>
            </w:r>
          </w:p>
          <w:p w:rsidR="00000000" w:rsidRPr="009D6BB9" w:rsidP="009D6BB9">
            <w:pPr>
              <w:pStyle w:val="ListBullet"/>
            </w:pPr>
            <w:r w:rsidRPr="009D6BB9">
              <w:t>job safety analysis (JSA) and safe work method statements (SWMS)</w:t>
            </w:r>
          </w:p>
          <w:p w:rsidR="00000000" w:rsidRPr="009D6BB9" w:rsidP="009D6BB9">
            <w:pPr>
              <w:pStyle w:val="ListBullet"/>
            </w:pPr>
            <w:r w:rsidRPr="009D6BB9">
              <w:t>National Fire Protection Association (NFPA) and Factory Mutual Performance based codes of practice</w:t>
            </w:r>
          </w:p>
          <w:p w:rsidR="00000000" w:rsidRPr="009D6BB9" w:rsidP="009D6BB9">
            <w:pPr>
              <w:pStyle w:val="ListBullet"/>
            </w:pPr>
            <w:r w:rsidRPr="009D6BB9">
              <w:t>pressure test systems and procedures</w:t>
            </w:r>
          </w:p>
          <w:p w:rsidR="00000000" w:rsidRPr="009D6BB9" w:rsidP="009D6BB9">
            <w:pPr>
              <w:pStyle w:val="ListBullet"/>
            </w:pPr>
            <w:r w:rsidRPr="009D6BB9">
              <w:t>process of installing, testing and commissioning special hazard systems</w:t>
            </w:r>
          </w:p>
          <w:p w:rsidR="00000000" w:rsidRPr="009D6BB9" w:rsidP="009D6BB9">
            <w:pPr>
              <w:pStyle w:val="ListBullet"/>
            </w:pPr>
            <w:r w:rsidRPr="009D6BB9">
              <w:t>relevant statutory and authority requirements related to commissioning domestic and residential fire suppression sprinkler systems</w:t>
            </w:r>
          </w:p>
          <w:p w:rsidR="00000000" w:rsidRPr="009D6BB9" w:rsidP="009D6BB9">
            <w:pPr>
              <w:pStyle w:val="ListBullet"/>
            </w:pPr>
            <w:r w:rsidRPr="009D6BB9">
              <w:t>SI system of measurements</w:t>
            </w:r>
          </w:p>
          <w:p w:rsidR="00000000" w:rsidRPr="009D6BB9" w:rsidP="009D6BB9">
            <w:pPr>
              <w:pStyle w:val="ListBullet"/>
            </w:pPr>
            <w:r w:rsidRPr="009D6BB9">
              <w:t>standards applicable to the</w:t>
            </w:r>
            <w:r w:rsidRPr="009D6BB9">
              <w:t xml:space="preserve"> service</w:t>
            </w:r>
          </w:p>
          <w:p w:rsidR="00000000" w:rsidRPr="009D6BB9" w:rsidP="009D6BB9">
            <w:pPr>
              <w:pStyle w:val="ListBullet"/>
            </w:pPr>
            <w:r w:rsidRPr="009D6BB9">
              <w:t>workplace and equipment safety requirements.</w:t>
            </w:r>
          </w:p>
        </w:tc>
      </w:tr>
    </w:tbl>
    <w:p w:rsidR="009161DC" w:rsidP="009D6BB9">
      <w:pPr>
        <w:pStyle w:val="BodyText"/>
      </w:pPr>
    </w:p>
    <w:p w:rsidR="009161DC" w:rsidP="009D6BB9">
      <w:pPr>
        <w:pStyle w:val="BodyText"/>
      </w:pPr>
    </w:p>
    <w:p w:rsidR="00000000" w:rsidRPr="009D6BB9" w:rsidP="009D6BB9">
      <w:pPr>
        <w:pStyle w:val="AllowPageBreak"/>
      </w:pPr>
    </w:p>
    <w:p w:rsidR="00000000" w:rsidRPr="009D6BB9" w:rsidP="009D6BB9">
      <w:pPr>
        <w:pStyle w:val="Heading1"/>
      </w:pPr>
      <w:bookmarkStart w:id="10" w:name="O_242544"/>
      <w:bookmarkEnd w:id="10"/>
      <w:r w:rsidRPr="009D6BB9">
        <w:t>Evidence Guide</w:t>
      </w:r>
    </w:p>
    <w:tbl>
      <w:tblPr>
        <w:tblW w:w="0" w:type="auto"/>
        <w:tblLayout w:type="fixed"/>
        <w:tblCellMar>
          <w:left w:w="62" w:type="dxa"/>
          <w:right w:w="62" w:type="dxa"/>
        </w:tblCellMar>
        <w:tblLook w:val="0000"/>
      </w:tblPr>
      <w:tblGrid>
        <w:gridCol w:w="3470"/>
        <w:gridCol w:w="5052"/>
      </w:tblGrid>
      <w:tr w:rsidTr="009161D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D6BB9">
            <w:pPr>
              <w:pStyle w:val="BodyText"/>
              <w:rPr>
                <w:lang w:val="en-NZ"/>
              </w:rPr>
            </w:pPr>
            <w:r w:rsidRPr="009D6BB9">
              <w:rPr>
                <w:rStyle w:val="SpecialBold"/>
              </w:rPr>
              <w:t>EVIDENCE GUIDE</w:t>
            </w:r>
          </w:p>
        </w:tc>
      </w:tr>
      <w:tr w:rsidTr="009161D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D6BB9">
            <w:pPr>
              <w:pStyle w:val="BodyText"/>
              <w:rPr>
                <w:lang w:val="en-NZ"/>
              </w:rPr>
            </w:pPr>
            <w:r w:rsidRPr="009D6BB9">
              <w:t>The evidence guide provides advice on assessment and must be read in conjunction with the performance criteria, required skills and knowledge, range statement and the Assessment Guidelines for the Training Package.</w:t>
            </w:r>
          </w:p>
        </w:tc>
      </w:tr>
      <w:tr w:rsidTr="009161D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t>This unit of competency could be assessed in the workplace or a close simulation of the workplace environment providing that simulated or project-based assessment techniques fully replicate plumbing and services workplace conditions, materials, activities,</w:t>
            </w:r>
            <w:r w:rsidRPr="009D6BB9">
              <w:t xml:space="preserve"> responsibilities and procedures. </w:t>
            </w:r>
          </w:p>
        </w:tc>
      </w:tr>
      <w:tr w:rsidTr="009161D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9D6BB9" w:rsidP="009D6BB9">
            <w:pPr>
              <w:pStyle w:val="BodyText"/>
            </w:pPr>
            <w:r w:rsidRPr="009D6BB9">
              <w:t>A person who demonstrates competency in this unit must be able to provide evidence of:</w:t>
            </w:r>
          </w:p>
          <w:p w:rsidR="00000000" w:rsidRPr="009D6BB9" w:rsidP="009D6BB9">
            <w:pPr>
              <w:pStyle w:val="ListBullet"/>
            </w:pPr>
            <w:r w:rsidRPr="009D6BB9">
              <w:t>locating, interpreting and applying rele</w:t>
            </w:r>
            <w:r w:rsidRPr="009D6BB9">
              <w:t>vant information, standards and specifications to testing and commissioning special hazard fire suppression systems</w:t>
            </w:r>
          </w:p>
          <w:p w:rsidR="00000000" w:rsidRPr="009D6BB9" w:rsidP="009D6BB9">
            <w:pPr>
              <w:pStyle w:val="ListBullet"/>
            </w:pPr>
            <w:r w:rsidRPr="009D6BB9">
              <w:t>applying safety requirements throughout the work sequence, including the use of personal protective clothing and equipment</w:t>
            </w:r>
          </w:p>
          <w:p w:rsidR="00000000" w:rsidRPr="009D6BB9" w:rsidP="009D6BB9">
            <w:pPr>
              <w:pStyle w:val="ListBullet"/>
            </w:pPr>
            <w:r w:rsidRPr="009D6BB9">
              <w:t>as a minimum, the</w:t>
            </w:r>
            <w:r w:rsidRPr="009D6BB9">
              <w:t xml:space="preserve"> ability to test and commission one special hazard fire suppression system (not prescribed ODS or SGG extinguishing agent), being a gaseous, chemical or fluid-based system; and inspect, test and maintain one prescribed ODS or SGG system, ensuring:</w:t>
            </w:r>
          </w:p>
          <w:p w:rsidR="00000000" w:rsidRPr="009D6BB9" w:rsidP="009D6BB9">
            <w:pPr>
              <w:pStyle w:val="ListBullet2"/>
            </w:pPr>
            <w:r w:rsidRPr="009D6BB9">
              <w:t>correct</w:t>
            </w:r>
            <w:r w:rsidRPr="009D6BB9">
              <w:t xml:space="preserve"> identification of location, design specification and details of proposed service</w:t>
            </w:r>
          </w:p>
          <w:p w:rsidR="00000000" w:rsidRPr="009D6BB9" w:rsidP="009D6BB9">
            <w:pPr>
              <w:pStyle w:val="ListBullet2"/>
            </w:pPr>
            <w:r w:rsidRPr="009D6BB9">
              <w:t>correct selection and use of appropriate processes, tools and equipment</w:t>
            </w:r>
          </w:p>
          <w:p w:rsidR="00000000" w:rsidRPr="009D6BB9" w:rsidP="009D6BB9">
            <w:pPr>
              <w:pStyle w:val="ListBullet2"/>
            </w:pPr>
            <w:r w:rsidRPr="009D6BB9">
              <w:t>completion of all work to specification</w:t>
            </w:r>
          </w:p>
          <w:p w:rsidR="00000000" w:rsidRPr="009D6BB9" w:rsidP="009D6BB9">
            <w:pPr>
              <w:pStyle w:val="ListBullet2"/>
            </w:pPr>
            <w:r w:rsidRPr="009D6BB9">
              <w:t>compliance with regulations, standards and organisational quality procedures and processes</w:t>
            </w:r>
          </w:p>
          <w:p w:rsidR="00000000" w:rsidP="009D6BB9">
            <w:pPr>
              <w:pStyle w:val="ListBullet2"/>
              <w:rPr>
                <w:lang w:val="en-NZ"/>
              </w:rPr>
            </w:pPr>
            <w:r w:rsidRPr="009D6BB9">
              <w:t>communicating and working effectively and safely with others.</w:t>
            </w:r>
          </w:p>
        </w:tc>
      </w:tr>
      <w:tr w:rsidTr="009161D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9D6BB9" w:rsidP="009D6BB9">
            <w:pPr>
              <w:pStyle w:val="BodyText"/>
            </w:pPr>
            <w:r w:rsidRPr="009D6BB9">
              <w:t xml:space="preserve">This competency is to be assessed using standard and </w:t>
            </w:r>
            <w:r w:rsidRPr="009D6BB9">
              <w:t>authorised work practices, safety requirements and environmental constraints.</w:t>
            </w:r>
          </w:p>
          <w:p w:rsidR="00000000" w:rsidRPr="009D6BB9" w:rsidP="009D6BB9">
            <w:pPr>
              <w:pStyle w:val="BodyText"/>
            </w:pPr>
            <w:r w:rsidRPr="009D6BB9">
              <w:t>Assessment of essential underpinning knowledge will usually be conducted in an off-site context.</w:t>
            </w:r>
          </w:p>
          <w:p w:rsidR="00000000" w:rsidRPr="009D6BB9" w:rsidP="009D6BB9">
            <w:pPr>
              <w:pStyle w:val="BodyText"/>
            </w:pPr>
            <w:r w:rsidRPr="009D6BB9">
              <w:t>Assessment is to comply with relevant regulatory or Australian standards' require</w:t>
            </w:r>
            <w:r w:rsidRPr="009D6BB9">
              <w:t>ments.</w:t>
            </w:r>
          </w:p>
          <w:p w:rsidR="00000000" w:rsidRPr="009D6BB9" w:rsidP="009D6BB9">
            <w:pPr>
              <w:pStyle w:val="BodyText"/>
            </w:pPr>
            <w:r w:rsidRPr="009D6BB9">
              <w:t>Resource implications for assessment include:</w:t>
            </w:r>
          </w:p>
          <w:p w:rsidR="00000000" w:rsidRPr="009D6BB9" w:rsidP="009D6BB9">
            <w:pPr>
              <w:pStyle w:val="ListBullet"/>
            </w:pPr>
            <w:r w:rsidRPr="009D6BB9">
              <w:t>an induction procedure and requirement</w:t>
            </w:r>
          </w:p>
          <w:p w:rsidR="00000000" w:rsidRPr="009D6BB9" w:rsidP="009D6BB9">
            <w:pPr>
              <w:pStyle w:val="ListBullet"/>
            </w:pPr>
            <w:r w:rsidRPr="009D6BB9">
              <w:t>realistic tasks or simulated tasks covering the minimum task requirements</w:t>
            </w:r>
          </w:p>
          <w:p w:rsidR="00000000" w:rsidRPr="009D6BB9" w:rsidP="009D6BB9">
            <w:pPr>
              <w:pStyle w:val="ListBullet"/>
            </w:pPr>
            <w:r w:rsidRPr="009D6BB9">
              <w:t>relevant specifications and work instructions</w:t>
            </w:r>
          </w:p>
          <w:p w:rsidR="00000000" w:rsidRPr="009D6BB9" w:rsidP="009D6BB9">
            <w:pPr>
              <w:pStyle w:val="ListBullet"/>
            </w:pPr>
            <w:r w:rsidRPr="009D6BB9">
              <w:t>tools and equipment appropriate to applying safe work practices</w:t>
            </w:r>
          </w:p>
          <w:p w:rsidR="00000000" w:rsidRPr="009D6BB9" w:rsidP="009D6BB9">
            <w:pPr>
              <w:pStyle w:val="ListBullet"/>
            </w:pPr>
            <w:r w:rsidRPr="009D6BB9">
              <w:t>support materials appropriate to activity</w:t>
            </w:r>
          </w:p>
          <w:p w:rsidR="00000000" w:rsidRPr="009D6BB9" w:rsidP="009D6BB9">
            <w:pPr>
              <w:pStyle w:val="ListBullet"/>
            </w:pPr>
            <w:r w:rsidRPr="009D6BB9">
              <w:t>workplace instructions relating to safe working practices and addressing hazards and emergencies</w:t>
            </w:r>
          </w:p>
          <w:p w:rsidR="00000000" w:rsidRPr="009D6BB9" w:rsidP="009D6BB9">
            <w:pPr>
              <w:pStyle w:val="ListBullet"/>
            </w:pPr>
            <w:r w:rsidRPr="009D6BB9">
              <w:t>material safety data sheets</w:t>
            </w:r>
          </w:p>
          <w:p w:rsidR="00000000" w:rsidRPr="009D6BB9" w:rsidP="009D6BB9">
            <w:pPr>
              <w:pStyle w:val="ListBullet"/>
            </w:pPr>
            <w:r w:rsidRPr="009D6BB9">
              <w:t>research resources, inclu</w:t>
            </w:r>
            <w:r w:rsidRPr="009D6BB9">
              <w:t>ding industry related systems information.</w:t>
            </w:r>
          </w:p>
          <w:p w:rsidR="00000000" w:rsidP="009D6BB9">
            <w:pPr>
              <w:pStyle w:val="BodyText"/>
              <w:rPr>
                <w:lang w:val="en-NZ"/>
              </w:rPr>
            </w:pPr>
            <w:r w:rsidRPr="009D6BB9">
              <w:t>Reasonable adjustments for people with disabilities must be made to assessment processes where required. This could include access to modified equipment and other physical resources, and the provision of appropria</w:t>
            </w:r>
            <w:r w:rsidRPr="009D6BB9">
              <w:t xml:space="preserve">te assessment support. </w:t>
            </w:r>
          </w:p>
        </w:tc>
      </w:tr>
      <w:tr w:rsidTr="009161D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9D6BB9" w:rsidP="009D6BB9">
            <w:pPr>
              <w:pStyle w:val="BodyText"/>
            </w:pPr>
            <w:r w:rsidRPr="009D6BB9">
              <w:t>Assessment methods must:</w:t>
            </w:r>
          </w:p>
          <w:p w:rsidR="00000000" w:rsidRPr="009D6BB9" w:rsidP="009D6BB9">
            <w:pPr>
              <w:pStyle w:val="ListBullet"/>
            </w:pPr>
            <w:r w:rsidRPr="009D6BB9">
              <w:t>satisfy the endorsed Assessment Guidelines of the Construction, Plumbing and Services Training Package</w:t>
            </w:r>
          </w:p>
          <w:p w:rsidR="00000000" w:rsidRPr="009D6BB9" w:rsidP="009D6BB9">
            <w:pPr>
              <w:pStyle w:val="ListBullet"/>
            </w:pPr>
            <w:r w:rsidRPr="009D6BB9">
              <w:t>include direct observation of tasks in real or simulated work conditions, with que</w:t>
            </w:r>
            <w:r w:rsidRPr="009D6BB9">
              <w:t>stioning to confirm the ability to consistently identify and correctly interpret the essential underpinning knowledge required for practical application</w:t>
            </w:r>
          </w:p>
          <w:p w:rsidR="00000000" w:rsidRPr="009D6BB9" w:rsidP="009D6BB9">
            <w:pPr>
              <w:pStyle w:val="ListBullet"/>
            </w:pPr>
            <w:r w:rsidRPr="009D6BB9">
              <w:t>reinforce the integration of employability skills with workplace tasks and job roles</w:t>
            </w:r>
          </w:p>
          <w:p w:rsidR="00000000" w:rsidRPr="009D6BB9" w:rsidP="009D6BB9">
            <w:pPr>
              <w:pStyle w:val="ListBullet"/>
            </w:pPr>
            <w:r w:rsidRPr="009D6BB9">
              <w:t>confirm that compe</w:t>
            </w:r>
            <w:r w:rsidRPr="009D6BB9">
              <w:t>tency is verified and able to be transferred to other circumstances and environments.</w:t>
            </w:r>
          </w:p>
          <w:p w:rsidR="00000000" w:rsidRPr="009D6BB9" w:rsidP="009D6BB9">
            <w:pPr>
              <w:pStyle w:val="BodyText"/>
            </w:pPr>
            <w:r w:rsidRPr="009D6BB9">
              <w:t>Validity and sufficiency of evidence requires that:</w:t>
            </w:r>
          </w:p>
          <w:p w:rsidR="00000000" w:rsidRPr="009D6BB9" w:rsidP="009D6BB9">
            <w:pPr>
              <w:pStyle w:val="ListBullet"/>
            </w:pPr>
            <w:r w:rsidRPr="009D6BB9">
              <w:t>competency will need to be demonstrated over a period of time reflecting the scope of the role and the practical requi</w:t>
            </w:r>
            <w:r w:rsidRPr="009D6BB9">
              <w:t>rements of the workplace</w:t>
            </w:r>
          </w:p>
          <w:p w:rsidR="00000000" w:rsidRPr="009D6BB9" w:rsidP="009D6BB9">
            <w:pPr>
              <w:pStyle w:val="ListBullet"/>
            </w:pPr>
            <w:r w:rsidRPr="009D6BB9">
              <w:t>where the assessment is part of a structured learning experience the evidence collected must relate to a number of performances assessed at different points in time and separated by further learning and practice, with a decision on</w:t>
            </w:r>
            <w:r w:rsidRPr="009D6BB9">
              <w:t xml:space="preserve"> competency only taken at the point when the assessor has complete confidence in the person's demonstrated ability and applied knowledge</w:t>
            </w:r>
          </w:p>
          <w:p w:rsidR="00000000" w:rsidRPr="009D6BB9" w:rsidP="009D6BB9">
            <w:pPr>
              <w:pStyle w:val="ListBullet"/>
            </w:pPr>
            <w:r w:rsidRPr="009D6BB9">
              <w:t>all assessment that is part of a structured learning experience must include a combination of direct, indirect and supp</w:t>
            </w:r>
            <w:r w:rsidRPr="009D6BB9">
              <w:t>lementary evidence.</w:t>
            </w:r>
          </w:p>
          <w:p w:rsidR="00000000" w:rsidRPr="009D6BB9" w:rsidP="009D6BB9">
            <w:pPr>
              <w:pStyle w:val="BodyText"/>
            </w:pPr>
            <w:r w:rsidRPr="009D6BB9">
              <w:t>Assessment processes and techniques should as far as is practical take into account the language, literacy and numeracy capacity of the candidate in relation to the competency being assessed.</w:t>
            </w:r>
          </w:p>
          <w:p w:rsidR="00000000" w:rsidRPr="009D6BB9" w:rsidP="009D6BB9">
            <w:pPr>
              <w:pStyle w:val="BodyText"/>
            </w:pPr>
            <w:r w:rsidRPr="009D6BB9">
              <w:t xml:space="preserve">Supplementary evidence of competency may be obtained from relevant authenticated documentation from third parties, such as existing supervisors, team leaders or specialist training staff. </w:t>
            </w:r>
          </w:p>
        </w:tc>
      </w:tr>
    </w:tbl>
    <w:p w:rsidR="009161DC" w:rsidP="009D6BB9">
      <w:pPr>
        <w:pStyle w:val="BodyText"/>
      </w:pPr>
    </w:p>
    <w:p w:rsidR="009161DC" w:rsidP="009D6BB9">
      <w:pPr>
        <w:pStyle w:val="BodyText"/>
      </w:pPr>
    </w:p>
    <w:p w:rsidR="00000000" w:rsidRPr="009D6BB9" w:rsidP="009D6BB9">
      <w:pPr>
        <w:pStyle w:val="Heading1"/>
      </w:pPr>
      <w:bookmarkStart w:id="11" w:name="O_250527"/>
      <w:bookmarkEnd w:id="11"/>
      <w:r w:rsidRPr="009D6BB9">
        <w:t>Range Statement</w:t>
      </w:r>
    </w:p>
    <w:tbl>
      <w:tblPr>
        <w:tblW w:w="0" w:type="auto"/>
        <w:tblLayout w:type="fixed"/>
        <w:tblCellMar>
          <w:left w:w="62" w:type="dxa"/>
          <w:right w:w="62" w:type="dxa"/>
        </w:tblCellMar>
        <w:tblLook w:val="0000"/>
      </w:tblPr>
      <w:tblGrid>
        <w:gridCol w:w="3502"/>
        <w:gridCol w:w="5020"/>
      </w:tblGrid>
      <w:tr w:rsidTr="009161D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D6BB9">
            <w:pPr>
              <w:pStyle w:val="BodyText"/>
              <w:rPr>
                <w:lang w:val="en-NZ"/>
              </w:rPr>
            </w:pPr>
            <w:r w:rsidRPr="009D6BB9">
              <w:rPr>
                <w:rStyle w:val="SpecialBold"/>
              </w:rPr>
              <w:t>RANGE STATEMENT</w:t>
            </w:r>
          </w:p>
        </w:tc>
      </w:tr>
      <w:tr w:rsidTr="009161D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D6BB9">
            <w:pPr>
              <w:pStyle w:val="BodyText"/>
              <w:rPr>
                <w:lang w:val="en-NZ"/>
              </w:rPr>
            </w:pPr>
            <w:r w:rsidRPr="009D6BB9">
              <w:t>The range statement relates to the unit of competency as a whole. It allows for different work environments and situations that may affect performance. Bold italicised wording, if used in the performance criteria, is detailed below. Essential operating con</w:t>
            </w:r>
            <w:r w:rsidRPr="009D6BB9">
              <w:t>ditions that may be present with training and assessment (depending on the work situation, needs of the candidate, accessibility of the item, and local industry and regional contexts) may also be included.</w:t>
            </w:r>
          </w:p>
        </w:tc>
      </w:tr>
      <w:tr w:rsidTr="009161DC">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BoldandItalics"/>
              </w:rPr>
              <w:t>Safety</w:t>
            </w:r>
            <w:r w:rsidRPr="009D6BB9">
              <w:t xml:space="preserve"> (</w:t>
            </w:r>
            <w:r w:rsidRPr="009D6BB9">
              <w:rPr>
                <w:rStyle w:val="BoldandItalics"/>
              </w:rPr>
              <w:t>OHS</w:t>
            </w:r>
            <w:r w:rsidRPr="009D6BB9">
              <w:t>) is to be in accordance with commonw</w:t>
            </w:r>
            <w:r w:rsidRPr="009D6BB9">
              <w:t>ealth, state and territory legislation and regulations and may include:</w:t>
            </w:r>
          </w:p>
        </w:tc>
        <w:tc>
          <w:tcPr>
            <w:tcW w:w="5020" w:type="dxa"/>
            <w:tcBorders>
              <w:top w:val="nil"/>
              <w:left w:val="nil"/>
              <w:bottom w:val="nil"/>
              <w:right w:val="nil"/>
            </w:tcBorders>
            <w:tcMar>
              <w:top w:w="0" w:type="dxa"/>
              <w:left w:w="62" w:type="dxa"/>
              <w:bottom w:w="0" w:type="dxa"/>
              <w:right w:w="62" w:type="dxa"/>
            </w:tcMar>
          </w:tcPr>
          <w:p w:rsidR="00000000" w:rsidRPr="009D6BB9" w:rsidP="009D6BB9">
            <w:pPr>
              <w:pStyle w:val="ListBullet"/>
            </w:pPr>
            <w:r w:rsidRPr="009D6BB9">
              <w:t>handling of materials</w:t>
            </w:r>
          </w:p>
          <w:p w:rsidR="00000000" w:rsidRPr="009D6BB9" w:rsidP="009D6BB9">
            <w:pPr>
              <w:pStyle w:val="ListBullet"/>
            </w:pPr>
            <w:r w:rsidRPr="009D6BB9">
              <w:t>hazard control</w:t>
            </w:r>
          </w:p>
          <w:p w:rsidR="00000000" w:rsidRPr="009D6BB9" w:rsidP="009D6BB9">
            <w:pPr>
              <w:pStyle w:val="ListBullet"/>
            </w:pPr>
            <w:r w:rsidRPr="009D6BB9">
              <w:t>personal protective clothing and equipment prescribed under legislation, regulations and workplace policies and practices</w:t>
            </w:r>
          </w:p>
          <w:p w:rsidR="00000000" w:rsidRPr="009D6BB9" w:rsidP="009D6BB9">
            <w:pPr>
              <w:pStyle w:val="ListBullet"/>
            </w:pPr>
            <w:r w:rsidRPr="009D6BB9">
              <w:t>safe operating procedures</w:t>
            </w:r>
            <w:r w:rsidRPr="009D6BB9">
              <w:t>, including recognising and preventing hazards associated with:</w:t>
            </w:r>
          </w:p>
          <w:p w:rsidR="00000000" w:rsidRPr="009D6BB9" w:rsidP="009D6BB9">
            <w:pPr>
              <w:pStyle w:val="ListBullet2"/>
            </w:pPr>
            <w:r w:rsidRPr="009D6BB9">
              <w:t>hazardous materials and substances</w:t>
            </w:r>
          </w:p>
          <w:p w:rsidR="00000000" w:rsidRPr="009D6BB9" w:rsidP="009D6BB9">
            <w:pPr>
              <w:pStyle w:val="ListBullet2"/>
            </w:pPr>
            <w:r w:rsidRPr="009D6BB9">
              <w:t>other machines</w:t>
            </w:r>
          </w:p>
          <w:p w:rsidR="00000000" w:rsidRPr="009D6BB9" w:rsidP="009D6BB9">
            <w:pPr>
              <w:pStyle w:val="ListBullet2"/>
            </w:pPr>
            <w:r w:rsidRPr="009D6BB9">
              <w:t>surrounding structures and facilities</w:t>
            </w:r>
          </w:p>
          <w:p w:rsidR="00000000" w:rsidRPr="009D6BB9" w:rsidP="009D6BB9">
            <w:pPr>
              <w:pStyle w:val="ListBullet2"/>
            </w:pPr>
            <w:r w:rsidRPr="009D6BB9">
              <w:t>trip hazards</w:t>
            </w:r>
          </w:p>
          <w:p w:rsidR="00000000" w:rsidRPr="009D6BB9" w:rsidP="009D6BB9">
            <w:pPr>
              <w:pStyle w:val="ListBullet2"/>
            </w:pPr>
            <w:r w:rsidRPr="009D6BB9">
              <w:t>underground services</w:t>
            </w:r>
          </w:p>
          <w:p w:rsidR="00000000" w:rsidRPr="009D6BB9" w:rsidP="009D6BB9">
            <w:pPr>
              <w:pStyle w:val="ListBullet2"/>
            </w:pPr>
            <w:r w:rsidRPr="009D6BB9">
              <w:t>use of tools and equipment</w:t>
            </w:r>
          </w:p>
          <w:p w:rsidR="00000000" w:rsidRPr="009D6BB9" w:rsidP="009D6BB9">
            <w:pPr>
              <w:pStyle w:val="ListBullet2"/>
            </w:pPr>
            <w:r w:rsidRPr="009D6BB9">
              <w:t>work site visitors and the public</w:t>
            </w:r>
          </w:p>
          <w:p w:rsidR="00000000" w:rsidRPr="009D6BB9" w:rsidP="009D6BB9">
            <w:pPr>
              <w:pStyle w:val="ListBullet2"/>
            </w:pPr>
            <w:r w:rsidRPr="009D6BB9">
              <w:t>working at heights</w:t>
            </w:r>
          </w:p>
          <w:p w:rsidR="00000000" w:rsidRPr="009D6BB9" w:rsidP="009D6BB9">
            <w:pPr>
              <w:pStyle w:val="ListBullet2"/>
            </w:pPr>
            <w:r w:rsidRPr="009D6BB9">
              <w:t>working in confined spaces</w:t>
            </w:r>
          </w:p>
          <w:p w:rsidR="00000000" w:rsidRPr="009D6BB9" w:rsidP="009D6BB9">
            <w:pPr>
              <w:pStyle w:val="ListBullet2"/>
            </w:pPr>
            <w:r w:rsidRPr="009D6BB9">
              <w:t>working in proximity to others</w:t>
            </w:r>
          </w:p>
          <w:p w:rsidR="00000000" w:rsidRPr="009D6BB9" w:rsidP="009D6BB9">
            <w:pPr>
              <w:pStyle w:val="ListBullet"/>
            </w:pPr>
            <w:r w:rsidRPr="009D6BB9">
              <w:t>use of firefighting equipment</w:t>
            </w:r>
          </w:p>
          <w:p w:rsidR="00000000" w:rsidRPr="009D6BB9" w:rsidP="009D6BB9">
            <w:pPr>
              <w:pStyle w:val="ListBullet"/>
            </w:pPr>
            <w:r w:rsidRPr="009D6BB9">
              <w:t>use of first aid equipment</w:t>
            </w:r>
          </w:p>
          <w:p w:rsidR="00000000" w:rsidP="009D6BB9">
            <w:pPr>
              <w:pStyle w:val="ListBullet"/>
              <w:rPr>
                <w:lang w:val="en-NZ"/>
              </w:rPr>
            </w:pPr>
            <w:r w:rsidRPr="009D6BB9">
              <w:t>workplace environment and safety.</w:t>
            </w:r>
          </w:p>
        </w:tc>
      </w:tr>
      <w:tr w:rsidTr="009161DC">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BoldandItalics"/>
              </w:rPr>
              <w:t>Environmental requirements</w:t>
            </w:r>
            <w:r w:rsidRPr="009D6BB9">
              <w:t xml:space="preserve"> cover water quality management and may include:</w:t>
            </w:r>
          </w:p>
        </w:tc>
        <w:tc>
          <w:tcPr>
            <w:tcW w:w="5020" w:type="dxa"/>
            <w:tcBorders>
              <w:top w:val="nil"/>
              <w:left w:val="nil"/>
              <w:bottom w:val="nil"/>
              <w:right w:val="nil"/>
            </w:tcBorders>
            <w:tcMar>
              <w:top w:w="0" w:type="dxa"/>
              <w:left w:w="62" w:type="dxa"/>
              <w:bottom w:w="0" w:type="dxa"/>
              <w:right w:w="62" w:type="dxa"/>
            </w:tcMar>
          </w:tcPr>
          <w:p w:rsidR="00000000" w:rsidRPr="009D6BB9" w:rsidP="009D6BB9">
            <w:pPr>
              <w:pStyle w:val="ListBullet"/>
            </w:pPr>
            <w:r w:rsidRPr="009D6BB9">
              <w:t>clean-up protection</w:t>
            </w:r>
          </w:p>
          <w:p w:rsidR="00000000" w:rsidRPr="009D6BB9" w:rsidP="009D6BB9">
            <w:pPr>
              <w:pStyle w:val="ListBullet"/>
            </w:pPr>
            <w:r w:rsidRPr="009D6BB9">
              <w:t>complying with ODS and SGG legislation, codes and regulations, e.g. Ozone Protection and Synthetic Greenhouse Gas Management Act 1989</w:t>
            </w:r>
          </w:p>
          <w:p w:rsidR="00000000" w:rsidRPr="009D6BB9" w:rsidP="009D6BB9">
            <w:pPr>
              <w:pStyle w:val="ListBullet"/>
            </w:pPr>
            <w:r w:rsidRPr="009D6BB9">
              <w:t>preventing emissions of prescribed ODS and SGG extinguishing agents</w:t>
            </w:r>
          </w:p>
          <w:p w:rsidR="00000000" w:rsidRPr="009D6BB9" w:rsidP="009D6BB9">
            <w:pPr>
              <w:pStyle w:val="ListBullet"/>
            </w:pPr>
            <w:r w:rsidRPr="009D6BB9">
              <w:t>stormwater protection</w:t>
            </w:r>
          </w:p>
          <w:p w:rsidR="00000000" w:rsidP="009D6BB9">
            <w:pPr>
              <w:pStyle w:val="ListBullet"/>
              <w:rPr>
                <w:lang w:val="en-NZ"/>
              </w:rPr>
            </w:pPr>
            <w:r w:rsidRPr="009D6BB9">
              <w:t>waste manage</w:t>
            </w:r>
            <w:r w:rsidRPr="009D6BB9">
              <w:t>ment.</w:t>
            </w:r>
          </w:p>
        </w:tc>
      </w:tr>
      <w:tr w:rsidTr="009161DC">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BoldandItalics"/>
              </w:rPr>
              <w:t>Quality assurance</w:t>
            </w:r>
            <w:r w:rsidRPr="009D6BB9">
              <w:t xml:space="preserve"> requirements may include:</w:t>
            </w:r>
          </w:p>
        </w:tc>
        <w:tc>
          <w:tcPr>
            <w:tcW w:w="5020" w:type="dxa"/>
            <w:tcBorders>
              <w:top w:val="nil"/>
              <w:left w:val="nil"/>
              <w:bottom w:val="nil"/>
              <w:right w:val="nil"/>
            </w:tcBorders>
            <w:tcMar>
              <w:top w:w="0" w:type="dxa"/>
              <w:left w:w="62" w:type="dxa"/>
              <w:bottom w:w="0" w:type="dxa"/>
              <w:right w:w="62" w:type="dxa"/>
            </w:tcMar>
          </w:tcPr>
          <w:p w:rsidR="00000000" w:rsidRPr="009D6BB9" w:rsidP="009D6BB9">
            <w:pPr>
              <w:pStyle w:val="ListBullet"/>
            </w:pPr>
            <w:r w:rsidRPr="009D6BB9">
              <w:t>Australian standards</w:t>
            </w:r>
          </w:p>
          <w:p w:rsidR="00000000" w:rsidRPr="009D6BB9" w:rsidP="009D6BB9">
            <w:pPr>
              <w:pStyle w:val="ListBullet"/>
            </w:pPr>
            <w:r w:rsidRPr="009D6BB9">
              <w:t>Environment Protection Authority (EPA)</w:t>
            </w:r>
          </w:p>
          <w:p w:rsidR="00000000" w:rsidRPr="009D6BB9" w:rsidP="009D6BB9">
            <w:pPr>
              <w:pStyle w:val="ListBullet"/>
            </w:pPr>
            <w:r w:rsidRPr="009D6BB9">
              <w:t>internal company quality assurance policy and risk management strategy</w:t>
            </w:r>
          </w:p>
          <w:p w:rsidR="00000000" w:rsidRPr="009D6BB9" w:rsidP="009D6BB9">
            <w:pPr>
              <w:pStyle w:val="ListBullet"/>
            </w:pPr>
            <w:r w:rsidRPr="009D6BB9">
              <w:t>International Standards Organisation</w:t>
            </w:r>
          </w:p>
          <w:p w:rsidR="00000000" w:rsidRPr="009D6BB9" w:rsidP="009D6BB9">
            <w:pPr>
              <w:pStyle w:val="ListBullet"/>
            </w:pPr>
            <w:r w:rsidRPr="009D6BB9">
              <w:t>site safety plan</w:t>
            </w:r>
          </w:p>
          <w:p w:rsidR="00000000" w:rsidP="009D6BB9">
            <w:pPr>
              <w:pStyle w:val="ListBullet"/>
              <w:rPr>
                <w:lang w:val="en-NZ"/>
              </w:rPr>
            </w:pPr>
            <w:r w:rsidRPr="009D6BB9">
              <w:t>workplace operations</w:t>
            </w:r>
            <w:r w:rsidRPr="009D6BB9">
              <w:t xml:space="preserve"> and procedures.</w:t>
            </w:r>
          </w:p>
        </w:tc>
      </w:tr>
      <w:tr w:rsidTr="009161DC">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BoldandItalics"/>
              </w:rPr>
              <w:t>Tools and equipment</w:t>
            </w:r>
            <w:r w:rsidRPr="009D6BB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9D6BB9" w:rsidP="009D6BB9">
            <w:pPr>
              <w:pStyle w:val="ListBullet"/>
            </w:pPr>
            <w:r w:rsidRPr="009D6BB9">
              <w:t>hand and power tools</w:t>
            </w:r>
          </w:p>
          <w:p w:rsidR="00000000" w:rsidP="009D6BB9">
            <w:pPr>
              <w:pStyle w:val="ListBullet"/>
              <w:rPr>
                <w:lang w:val="en-NZ"/>
              </w:rPr>
            </w:pPr>
            <w:r w:rsidRPr="009D6BB9">
              <w:t>test equipment.</w:t>
            </w:r>
          </w:p>
        </w:tc>
      </w:tr>
      <w:tr w:rsidTr="009161DC">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BoldandItalics"/>
              </w:rPr>
              <w:t>Materials</w:t>
            </w:r>
            <w:r w:rsidRPr="009D6BB9">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9D6BB9" w:rsidP="009D6BB9">
            <w:pPr>
              <w:pStyle w:val="ListBullet"/>
            </w:pPr>
            <w:r w:rsidRPr="009D6BB9">
              <w:t>actuating devices</w:t>
            </w:r>
          </w:p>
          <w:p w:rsidR="00000000" w:rsidRPr="009D6BB9" w:rsidP="009D6BB9">
            <w:pPr>
              <w:pStyle w:val="ListBullet"/>
            </w:pPr>
            <w:r w:rsidRPr="009D6BB9">
              <w:t>alarms</w:t>
            </w:r>
          </w:p>
          <w:p w:rsidR="00000000" w:rsidRPr="009D6BB9" w:rsidP="009D6BB9">
            <w:pPr>
              <w:pStyle w:val="ListBullet"/>
            </w:pPr>
            <w:r w:rsidRPr="009D6BB9">
              <w:t>control valve assemblies</w:t>
            </w:r>
          </w:p>
          <w:p w:rsidR="00000000" w:rsidRPr="009D6BB9" w:rsidP="009D6BB9">
            <w:pPr>
              <w:pStyle w:val="ListBullet"/>
            </w:pPr>
            <w:r w:rsidRPr="009D6BB9">
              <w:t>unplasticised polyvinyl chloride (PVC-U), steel or copper pipes or other approved materials</w:t>
            </w:r>
          </w:p>
          <w:p w:rsidR="00000000" w:rsidRPr="009D6BB9" w:rsidP="009D6BB9">
            <w:pPr>
              <w:pStyle w:val="ListBullet"/>
            </w:pPr>
            <w:r w:rsidRPr="009D6BB9">
              <w:t>special hazard fire suppression agents, including prescribed ODS and SGG materials</w:t>
            </w:r>
          </w:p>
          <w:p w:rsidR="00000000" w:rsidP="009D6BB9">
            <w:pPr>
              <w:pStyle w:val="ListBullet"/>
              <w:rPr>
                <w:lang w:val="en-NZ"/>
              </w:rPr>
            </w:pPr>
            <w:r w:rsidRPr="009D6BB9">
              <w:t>sprinkler heads.</w:t>
            </w:r>
          </w:p>
        </w:tc>
      </w:tr>
      <w:tr w:rsidTr="009161DC">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BoldandItalics"/>
              </w:rPr>
              <w:t>Special hazard fire suppression systems</w:t>
            </w:r>
            <w:r w:rsidRPr="009D6BB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9D6BB9" w:rsidP="009D6BB9">
            <w:pPr>
              <w:pStyle w:val="ListBullet"/>
            </w:pPr>
            <w:r w:rsidRPr="009D6BB9">
              <w:t>carbon dioxide and other gases (such as inergen and argonite)</w:t>
            </w:r>
          </w:p>
          <w:p w:rsidR="00000000" w:rsidRPr="009D6BB9" w:rsidP="009D6BB9">
            <w:pPr>
              <w:pStyle w:val="ListBullet"/>
            </w:pPr>
            <w:r w:rsidRPr="009D6BB9">
              <w:t>chemical reaction and explosion suppress</w:t>
            </w:r>
            <w:r w:rsidRPr="009D6BB9">
              <w:t>ion systems</w:t>
            </w:r>
          </w:p>
          <w:p w:rsidR="00000000" w:rsidRPr="009D6BB9" w:rsidP="009D6BB9">
            <w:pPr>
              <w:pStyle w:val="ListBullet"/>
            </w:pPr>
            <w:r w:rsidRPr="009D6BB9">
              <w:t>dry chemical</w:t>
            </w:r>
          </w:p>
          <w:p w:rsidR="00000000" w:rsidRPr="009D6BB9" w:rsidP="009D6BB9">
            <w:pPr>
              <w:pStyle w:val="ListBullet"/>
            </w:pPr>
            <w:r w:rsidRPr="009D6BB9">
              <w:t>foam</w:t>
            </w:r>
          </w:p>
          <w:p w:rsidR="00000000" w:rsidRPr="009D6BB9" w:rsidP="009D6BB9">
            <w:pPr>
              <w:pStyle w:val="ListBullet"/>
            </w:pPr>
            <w:r w:rsidRPr="009D6BB9">
              <w:t>prescribed ODS and SGG extinguishing agents (such as halon and NAF S-III)</w:t>
            </w:r>
          </w:p>
          <w:p w:rsidR="00000000" w:rsidRPr="009D6BB9" w:rsidP="009D6BB9">
            <w:pPr>
              <w:pStyle w:val="ListBullet"/>
            </w:pPr>
            <w:r w:rsidRPr="009D6BB9">
              <w:t>water</w:t>
            </w:r>
          </w:p>
          <w:p w:rsidR="00000000" w:rsidP="009D6BB9">
            <w:pPr>
              <w:pStyle w:val="ListBullet"/>
              <w:rPr>
                <w:lang w:val="en-NZ"/>
              </w:rPr>
            </w:pPr>
            <w:r w:rsidRPr="009D6BB9">
              <w:t>water mist.</w:t>
            </w:r>
          </w:p>
        </w:tc>
      </w:tr>
      <w:tr w:rsidTr="009161DC">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BoldandItalics"/>
              </w:rPr>
              <w:t>Statutory and regulatory authorities</w:t>
            </w:r>
            <w:r w:rsidRPr="009D6BB9">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9D6BB9" w:rsidP="009D6BB9">
            <w:pPr>
              <w:pStyle w:val="ListBullet"/>
            </w:pPr>
            <w:r w:rsidRPr="009D6BB9">
              <w:t>statutory plumbing authority</w:t>
            </w:r>
          </w:p>
          <w:p w:rsidR="00000000" w:rsidP="009D6BB9">
            <w:pPr>
              <w:pStyle w:val="ListBullet"/>
              <w:rPr>
                <w:lang w:val="en-NZ"/>
              </w:rPr>
            </w:pPr>
            <w:r w:rsidRPr="009D6BB9">
              <w:t>state or territory statutory authority.</w:t>
            </w:r>
          </w:p>
        </w:tc>
      </w:tr>
      <w:tr w:rsidTr="009161DC">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BoldandItalics"/>
              </w:rPr>
              <w:t>Information</w:t>
            </w:r>
            <w:r w:rsidRPr="009D6BB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9D6BB9" w:rsidP="009D6BB9">
            <w:pPr>
              <w:pStyle w:val="ListBullet"/>
            </w:pPr>
            <w:r w:rsidRPr="009D6BB9">
              <w:t>charts and hand drawings</w:t>
            </w:r>
          </w:p>
          <w:p w:rsidR="00000000" w:rsidRPr="009D6BB9" w:rsidP="009D6BB9">
            <w:pPr>
              <w:pStyle w:val="ListBullet"/>
            </w:pPr>
            <w:r w:rsidRPr="009D6BB9">
              <w:t>diagrams or sketches</w:t>
            </w:r>
          </w:p>
          <w:p w:rsidR="00000000" w:rsidRPr="009D6BB9" w:rsidP="009D6BB9">
            <w:pPr>
              <w:pStyle w:val="ListBullet"/>
            </w:pPr>
            <w:r w:rsidRPr="009D6BB9">
              <w:t>instructions issued by authorised organisational or external personnel</w:t>
            </w:r>
          </w:p>
          <w:p w:rsidR="00000000" w:rsidRPr="009D6BB9" w:rsidP="009D6BB9">
            <w:pPr>
              <w:pStyle w:val="ListBullet"/>
            </w:pPr>
            <w:r w:rsidRPr="009D6BB9">
              <w:t>job drawings</w:t>
            </w:r>
          </w:p>
          <w:p w:rsidR="00000000" w:rsidRPr="009D6BB9" w:rsidP="009D6BB9">
            <w:pPr>
              <w:pStyle w:val="ListBullet"/>
            </w:pPr>
            <w:r w:rsidRPr="009D6BB9">
              <w:t>manufacturer specifications and instructions</w:t>
            </w:r>
          </w:p>
          <w:p w:rsidR="00000000" w:rsidRPr="009D6BB9" w:rsidP="009D6BB9">
            <w:pPr>
              <w:pStyle w:val="ListBullet"/>
            </w:pPr>
            <w:r w:rsidRPr="009D6BB9">
              <w:t>material safety data sheets (MSDS)</w:t>
            </w:r>
          </w:p>
          <w:p w:rsidR="00000000" w:rsidRPr="009D6BB9" w:rsidP="009D6BB9">
            <w:pPr>
              <w:pStyle w:val="ListBullet"/>
            </w:pPr>
            <w:r w:rsidRPr="009D6BB9">
              <w:t>memos</w:t>
            </w:r>
          </w:p>
          <w:p w:rsidR="00000000" w:rsidRPr="009D6BB9" w:rsidP="009D6BB9">
            <w:pPr>
              <w:pStyle w:val="ListBullet"/>
            </w:pPr>
            <w:r w:rsidRPr="009D6BB9">
              <w:t>organisation work specific</w:t>
            </w:r>
            <w:r w:rsidRPr="009D6BB9">
              <w:t>ations and requirements</w:t>
            </w:r>
          </w:p>
          <w:p w:rsidR="00000000" w:rsidRPr="009D6BB9" w:rsidP="009D6BB9">
            <w:pPr>
              <w:pStyle w:val="ListBullet"/>
            </w:pPr>
            <w:r w:rsidRPr="009D6BB9">
              <w:t>regulatory and legislative requirements, particularly those pertaining to:</w:t>
            </w:r>
          </w:p>
          <w:p w:rsidR="00000000" w:rsidRPr="009D6BB9" w:rsidP="009D6BB9">
            <w:pPr>
              <w:pStyle w:val="ListBullet2"/>
            </w:pPr>
            <w:r w:rsidRPr="009D6BB9">
              <w:t>building codes</w:t>
            </w:r>
          </w:p>
          <w:p w:rsidR="00000000" w:rsidRPr="009D6BB9" w:rsidP="009D6BB9">
            <w:pPr>
              <w:pStyle w:val="ListBullet2"/>
            </w:pPr>
            <w:r w:rsidRPr="009D6BB9">
              <w:t>OHS and environmental requirements, including ODS and SGG legislation, codes and regulations</w:t>
            </w:r>
          </w:p>
          <w:p w:rsidR="00000000" w:rsidRPr="009D6BB9" w:rsidP="009D6BB9">
            <w:pPr>
              <w:pStyle w:val="ListBullet2"/>
            </w:pPr>
            <w:r w:rsidRPr="009D6BB9">
              <w:t>plumbing regulations</w:t>
            </w:r>
          </w:p>
          <w:p w:rsidR="00000000" w:rsidRPr="009D6BB9" w:rsidP="009D6BB9">
            <w:pPr>
              <w:pStyle w:val="ListBullet"/>
            </w:pPr>
            <w:r w:rsidRPr="009D6BB9">
              <w:t>relevant Australian standards, including AS2118 Automatic fire sprinkler systems and AS1851 Maintenance of fire protection systems and equipment</w:t>
            </w:r>
          </w:p>
          <w:p w:rsidR="00000000" w:rsidRPr="009D6BB9" w:rsidP="009D6BB9">
            <w:pPr>
              <w:pStyle w:val="ListBullet"/>
            </w:pPr>
            <w:r w:rsidRPr="009D6BB9">
              <w:t>safe work procedures relating to testing and commissioning special hazard fire suppression systems</w:t>
            </w:r>
          </w:p>
          <w:p w:rsidR="00000000" w:rsidRPr="009D6BB9" w:rsidP="009D6BB9">
            <w:pPr>
              <w:pStyle w:val="ListBullet"/>
            </w:pPr>
            <w:r w:rsidRPr="009D6BB9">
              <w:t>signage</w:t>
            </w:r>
          </w:p>
          <w:p w:rsidR="00000000" w:rsidRPr="009D6BB9" w:rsidP="009D6BB9">
            <w:pPr>
              <w:pStyle w:val="ListBullet"/>
            </w:pPr>
            <w:r w:rsidRPr="009D6BB9">
              <w:t>verb</w:t>
            </w:r>
            <w:r w:rsidRPr="009D6BB9">
              <w:t>al, written and graphical instructions</w:t>
            </w:r>
          </w:p>
          <w:p w:rsidR="00000000" w:rsidRPr="009D6BB9" w:rsidP="009D6BB9">
            <w:pPr>
              <w:pStyle w:val="ListBullet"/>
            </w:pPr>
            <w:r w:rsidRPr="009D6BB9">
              <w:t>work bulletins</w:t>
            </w:r>
          </w:p>
          <w:p w:rsidR="00000000" w:rsidRPr="009D6BB9" w:rsidP="009D6BB9">
            <w:pPr>
              <w:pStyle w:val="ListBullet"/>
            </w:pPr>
            <w:r w:rsidRPr="009D6BB9">
              <w:t>work schedules, plans and specifications.</w:t>
            </w:r>
          </w:p>
        </w:tc>
      </w:tr>
    </w:tbl>
    <w:p w:rsidR="009161DC" w:rsidP="009D6BB9">
      <w:pPr>
        <w:pStyle w:val="BodyText"/>
      </w:pPr>
    </w:p>
    <w:p w:rsidR="009161DC" w:rsidP="009D6BB9">
      <w:pPr>
        <w:pStyle w:val="BodyText"/>
      </w:pPr>
    </w:p>
    <w:p w:rsidR="00000000" w:rsidRPr="009D6BB9" w:rsidP="009D6BB9">
      <w:pPr>
        <w:pStyle w:val="Heading1"/>
      </w:pPr>
      <w:bookmarkStart w:id="12" w:name="O_199710"/>
      <w:bookmarkEnd w:id="12"/>
      <w:r w:rsidRPr="009D6BB9">
        <w:t>Unit Sector(s)</w:t>
      </w:r>
    </w:p>
    <w:tbl>
      <w:tblPr>
        <w:tblW w:w="0" w:type="auto"/>
        <w:tblLayout w:type="fixed"/>
        <w:tblCellMar>
          <w:left w:w="62" w:type="dxa"/>
          <w:right w:w="62" w:type="dxa"/>
        </w:tblCellMar>
        <w:tblLook w:val="0000"/>
      </w:tblPr>
      <w:tblGrid>
        <w:gridCol w:w="2554"/>
        <w:gridCol w:w="5968"/>
      </w:tblGrid>
      <w:tr w:rsidTr="009161DC">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9D6BB9" w:rsidP="009D6BB9">
            <w:pPr>
              <w:pStyle w:val="BodyText"/>
            </w:pPr>
            <w:r w:rsidRPr="009D6BB9">
              <w:t>Plumbing and services</w:t>
            </w:r>
          </w:p>
        </w:tc>
      </w:tr>
    </w:tbl>
    <w:p w:rsidR="009161DC" w:rsidP="009D6BB9">
      <w:pPr>
        <w:pStyle w:val="BodyText"/>
      </w:pPr>
    </w:p>
    <w:p w:rsidR="009161DC" w:rsidP="009D6BB9">
      <w:pPr>
        <w:pStyle w:val="BodyText"/>
      </w:pPr>
    </w:p>
    <w:p w:rsidR="00000000" w:rsidRPr="009D6BB9" w:rsidP="009D6BB9">
      <w:pPr>
        <w:pStyle w:val="Heading1"/>
      </w:pPr>
      <w:bookmarkStart w:id="13" w:name="O_199707"/>
      <w:bookmarkEnd w:id="13"/>
      <w:r w:rsidRPr="009D6BB9">
        <w:t>Co-requisite units</w:t>
      </w:r>
    </w:p>
    <w:tbl>
      <w:tblPr>
        <w:tblW w:w="0" w:type="auto"/>
        <w:tblLayout w:type="fixed"/>
        <w:tblCellMar>
          <w:left w:w="62" w:type="dxa"/>
          <w:right w:w="62" w:type="dxa"/>
        </w:tblCellMar>
        <w:tblLook w:val="0000"/>
      </w:tblPr>
      <w:tblGrid>
        <w:gridCol w:w="2560"/>
        <w:gridCol w:w="1679"/>
        <w:gridCol w:w="4283"/>
      </w:tblGrid>
      <w:tr w:rsidTr="009161DC">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Co-requisite units</w:t>
            </w:r>
          </w:p>
        </w:tc>
        <w:tc>
          <w:tcPr>
            <w:tcW w:w="5962" w:type="dxa"/>
            <w:gridSpan w:val="2"/>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t>Nil</w:t>
            </w:r>
          </w:p>
        </w:tc>
      </w:tr>
      <w:tr w:rsidTr="009161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3" w:type="dxa"/>
            <w:tcBorders>
              <w:top w:val="nil"/>
              <w:left w:val="nil"/>
              <w:bottom w:val="nil"/>
              <w:right w:val="nil"/>
            </w:tcBorders>
            <w:tcMar>
              <w:top w:w="0" w:type="dxa"/>
              <w:left w:w="62" w:type="dxa"/>
              <w:bottom w:w="0" w:type="dxa"/>
              <w:right w:w="62" w:type="dxa"/>
            </w:tcMar>
          </w:tcPr>
          <w:p w:rsidR="00000000" w:rsidRPr="009D6BB9" w:rsidP="009D6BB9">
            <w:pPr>
              <w:pStyle w:val="BodyText"/>
            </w:pPr>
          </w:p>
        </w:tc>
      </w:tr>
    </w:tbl>
    <w:p w:rsidR="009161DC" w:rsidP="009D6BB9">
      <w:pPr>
        <w:pStyle w:val="BodyText"/>
      </w:pPr>
    </w:p>
    <w:p w:rsidR="009161DC" w:rsidP="009D6BB9">
      <w:pPr>
        <w:pStyle w:val="BodyText"/>
      </w:pPr>
    </w:p>
    <w:p w:rsidR="00000000" w:rsidRPr="009D6BB9" w:rsidP="009D6BB9">
      <w:pPr>
        <w:pStyle w:val="Heading1"/>
      </w:pPr>
      <w:bookmarkStart w:id="14" w:name="O_199709"/>
      <w:bookmarkEnd w:id="14"/>
      <w:r w:rsidRPr="009D6BB9">
        <w:t>Functional area</w:t>
      </w:r>
    </w:p>
    <w:tbl>
      <w:tblPr>
        <w:tblW w:w="0" w:type="auto"/>
        <w:tblLayout w:type="fixed"/>
        <w:tblCellMar>
          <w:left w:w="62" w:type="dxa"/>
          <w:right w:w="62" w:type="dxa"/>
        </w:tblCellMar>
        <w:tblLook w:val="0000"/>
      </w:tblPr>
      <w:tblGrid>
        <w:gridCol w:w="2650"/>
        <w:gridCol w:w="5872"/>
      </w:tblGrid>
      <w:tr w:rsidTr="009161DC">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9D6BB9">
            <w:pPr>
              <w:pStyle w:val="BodyText"/>
              <w:rPr>
                <w:lang w:val="en-NZ"/>
              </w:rPr>
            </w:pPr>
            <w:r w:rsidRPr="009D6BB9">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9D6BB9" w:rsidP="009D6BB9">
            <w:pPr>
              <w:pStyle w:val="BodyText"/>
            </w:pPr>
          </w:p>
        </w:tc>
      </w:tr>
    </w:tbl>
    <w:p w:rsidR="009161DC" w:rsidP="009D6BB9">
      <w:pPr>
        <w:pStyle w:val="BodyText"/>
      </w:pPr>
    </w:p>
    <w:p w:rsidR="009161DC" w:rsidP="009D6BB9">
      <w:pPr>
        <w:pStyle w:val="BodyText"/>
      </w:pPr>
    </w:p>
    <w:p w:rsidR="00000000" w:rsidRPr="009D6BB9" w:rsidP="009D6BB9"/>
    <w:sectPr w:rsidSect="009D6B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61DC" w:rsidP="009161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1DC" w:rsidP="009D6B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161DC" w:rsidP="009D6B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161DC" w:rsidP="009D6B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B9" w:rsidRPr="009161DC" w:rsidP="009161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1DC" w:rsidRPr="002D2AF8" w:rsidP="009D6BB9">
    <w:pPr>
      <w:pStyle w:val="Header"/>
      <w:framePr w:wrap="around"/>
    </w:pPr>
    <w:r>
      <w:fldChar w:fldCharType="begin"/>
    </w:r>
    <w:r>
      <w:instrText xml:space="preserve"> TITLE   \* MERGEFORMAT </w:instrText>
    </w:r>
    <w:r>
      <w:fldChar w:fldCharType="separate"/>
    </w:r>
    <w:r>
      <w:t>CPCPFS4012A Commission and maintain special hazard fire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161DC" w:rsidP="009D6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CF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088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5A0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BB9"/>
    <w:pPr>
      <w:spacing w:before="360" w:after="60"/>
      <w:outlineLvl w:val="0"/>
    </w:pPr>
    <w:rPr>
      <w:sz w:val="32"/>
    </w:rPr>
  </w:style>
  <w:style w:type="paragraph" w:styleId="Heading2">
    <w:name w:val="heading 2"/>
    <w:basedOn w:val="HeadingBase"/>
    <w:next w:val="BodyText"/>
    <w:link w:val="Heading2Char"/>
    <w:qFormat/>
    <w:rsid w:val="009D6BB9"/>
    <w:pPr>
      <w:keepLines/>
      <w:spacing w:before="240" w:after="120"/>
      <w:outlineLvl w:val="1"/>
    </w:pPr>
    <w:rPr>
      <w:sz w:val="28"/>
      <w:szCs w:val="40"/>
    </w:rPr>
  </w:style>
  <w:style w:type="paragraph" w:styleId="Heading3">
    <w:name w:val="heading 3"/>
    <w:basedOn w:val="HeadingBase"/>
    <w:next w:val="BodyText"/>
    <w:link w:val="Heading3Char"/>
    <w:qFormat/>
    <w:rsid w:val="009D6BB9"/>
    <w:pPr>
      <w:spacing w:before="180" w:after="120"/>
      <w:outlineLvl w:val="2"/>
    </w:pPr>
    <w:rPr>
      <w:spacing w:val="-10"/>
      <w:kern w:val="32"/>
    </w:rPr>
  </w:style>
  <w:style w:type="paragraph" w:styleId="Heading4">
    <w:name w:val="heading 4"/>
    <w:basedOn w:val="HeadingBase"/>
    <w:next w:val="BodyText"/>
    <w:link w:val="Heading4Char"/>
    <w:qFormat/>
    <w:rsid w:val="009D6BB9"/>
    <w:pPr>
      <w:spacing w:before="160" w:after="120"/>
      <w:outlineLvl w:val="3"/>
    </w:pPr>
    <w:rPr>
      <w:sz w:val="22"/>
    </w:rPr>
  </w:style>
  <w:style w:type="paragraph" w:styleId="Heading5">
    <w:name w:val="heading 5"/>
    <w:basedOn w:val="HeadingBase"/>
    <w:next w:val="Normal"/>
    <w:link w:val="Heading5Char"/>
    <w:qFormat/>
    <w:rsid w:val="009D6BB9"/>
    <w:pPr>
      <w:spacing w:before="80"/>
      <w:outlineLvl w:val="4"/>
    </w:pPr>
    <w:rPr>
      <w:color w:val="918585"/>
      <w:sz w:val="20"/>
    </w:rPr>
  </w:style>
  <w:style w:type="paragraph" w:styleId="Heading6">
    <w:name w:val="heading 6"/>
    <w:basedOn w:val="HeadingBase"/>
    <w:next w:val="Normal"/>
    <w:link w:val="Heading6Char"/>
    <w:qFormat/>
    <w:rsid w:val="009D6BB9"/>
    <w:pPr>
      <w:spacing w:before="60"/>
      <w:outlineLvl w:val="5"/>
    </w:pPr>
    <w:rPr>
      <w:color w:val="918585"/>
      <w:sz w:val="20"/>
    </w:rPr>
  </w:style>
  <w:style w:type="paragraph" w:styleId="Heading7">
    <w:name w:val="heading 7"/>
    <w:basedOn w:val="Normal"/>
    <w:next w:val="Normal"/>
    <w:link w:val="Heading7Char"/>
    <w:qFormat/>
    <w:rsid w:val="009D6BB9"/>
    <w:pPr>
      <w:ind w:left="720"/>
      <w:outlineLvl w:val="6"/>
    </w:pPr>
    <w:rPr>
      <w:i/>
    </w:rPr>
  </w:style>
  <w:style w:type="paragraph" w:styleId="Heading8">
    <w:name w:val="heading 8"/>
    <w:basedOn w:val="Normal"/>
    <w:next w:val="Normal"/>
    <w:link w:val="Heading8Char"/>
    <w:qFormat/>
    <w:rsid w:val="009D6BB9"/>
    <w:pPr>
      <w:ind w:left="720"/>
      <w:outlineLvl w:val="7"/>
    </w:pPr>
    <w:rPr>
      <w:i/>
    </w:rPr>
  </w:style>
  <w:style w:type="paragraph" w:styleId="Heading9">
    <w:name w:val="heading 9"/>
    <w:basedOn w:val="Normal"/>
    <w:next w:val="Normal"/>
    <w:link w:val="Heading9Char"/>
    <w:qFormat/>
    <w:rsid w:val="009D6BB9"/>
    <w:pPr>
      <w:ind w:left="720"/>
      <w:outlineLvl w:val="8"/>
    </w:pPr>
    <w:rPr>
      <w:i/>
    </w:rPr>
  </w:style>
  <w:style w:type="character" w:default="1" w:styleId="DefaultParagraphFont">
    <w:name w:val="Default Paragraph Font"/>
    <w:uiPriority w:val="1"/>
    <w:unhideWhenUsed/>
    <w:rsid w:val="009D6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BB9"/>
  </w:style>
  <w:style w:type="character" w:customStyle="1" w:styleId="Heading1Char">
    <w:name w:val="Heading 1 Char"/>
    <w:basedOn w:val="DefaultParagraphFont"/>
    <w:link w:val="Heading1"/>
    <w:rsid w:val="009D6BB9"/>
    <w:rPr>
      <w:rFonts w:ascii="Times New Roman" w:eastAsia="Times New Roman" w:hAnsi="Times New Roman" w:cs="Times New Roman"/>
      <w:b/>
      <w:sz w:val="32"/>
      <w:szCs w:val="20"/>
      <w:lang w:eastAsia="en-US"/>
    </w:rPr>
  </w:style>
  <w:style w:type="paragraph" w:styleId="BodyText">
    <w:name w:val="Body Text"/>
    <w:basedOn w:val="Normal"/>
    <w:link w:val="BodyTextChar"/>
    <w:rsid w:val="009D6B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6BB9"/>
    <w:rPr>
      <w:rFonts w:ascii="Times New Roman" w:eastAsia="Times New Roman" w:hAnsi="Times New Roman" w:cs="Times New Roman"/>
      <w:sz w:val="24"/>
      <w:lang w:eastAsia="en-US"/>
    </w:rPr>
  </w:style>
  <w:style w:type="paragraph" w:styleId="Footer">
    <w:name w:val="footer"/>
    <w:basedOn w:val="Normal"/>
    <w:link w:val="FooterChar"/>
    <w:rsid w:val="009D6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BB9"/>
    <w:rPr>
      <w:rFonts w:ascii="Times New Roman" w:eastAsia="Times New Roman" w:hAnsi="Times New Roman" w:cs="Times New Roman"/>
      <w:sz w:val="16"/>
      <w:lang w:eastAsia="en-US"/>
    </w:rPr>
  </w:style>
  <w:style w:type="paragraph" w:styleId="List">
    <w:name w:val="List"/>
    <w:basedOn w:val="BodyText"/>
    <w:next w:val="BodyText"/>
    <w:rsid w:val="009D6BB9"/>
    <w:pPr>
      <w:tabs>
        <w:tab w:val="left" w:pos="340"/>
      </w:tabs>
      <w:spacing w:before="60" w:after="60"/>
      <w:ind w:left="340" w:hanging="340"/>
    </w:pPr>
  </w:style>
  <w:style w:type="paragraph" w:styleId="ListBullet">
    <w:name w:val="List Bullet"/>
    <w:basedOn w:val="List"/>
    <w:rsid w:val="009D6BB9"/>
    <w:pPr>
      <w:numPr>
        <w:numId w:val="14"/>
      </w:numPr>
      <w:tabs>
        <w:tab w:val="clear" w:pos="340"/>
      </w:tabs>
      <w:spacing w:before="40" w:after="40"/>
    </w:pPr>
  </w:style>
  <w:style w:type="character" w:customStyle="1" w:styleId="SpecialBold">
    <w:name w:val="Special Bold"/>
    <w:basedOn w:val="DefaultParagraphFont"/>
    <w:rsid w:val="009D6BB9"/>
    <w:rPr>
      <w:b/>
      <w:spacing w:val="0"/>
    </w:rPr>
  </w:style>
  <w:style w:type="paragraph" w:styleId="ListBullet2">
    <w:name w:val="List Bullet 2"/>
    <w:basedOn w:val="List2"/>
    <w:rsid w:val="009D6BB9"/>
    <w:pPr>
      <w:numPr>
        <w:numId w:val="15"/>
      </w:numPr>
      <w:tabs>
        <w:tab w:val="clear" w:pos="680"/>
      </w:tabs>
    </w:pPr>
  </w:style>
  <w:style w:type="paragraph" w:customStyle="1" w:styleId="SuperHeading">
    <w:name w:val="SuperHeading"/>
    <w:basedOn w:val="Normal"/>
    <w:rsid w:val="009D6BB9"/>
    <w:pPr>
      <w:spacing w:before="240" w:after="120"/>
      <w:outlineLvl w:val="0"/>
    </w:pPr>
    <w:rPr>
      <w:rFonts w:ascii="Times New Roman" w:hAnsi="Times New Roman"/>
      <w:b/>
      <w:sz w:val="28"/>
    </w:rPr>
  </w:style>
  <w:style w:type="paragraph" w:customStyle="1" w:styleId="AllowPageBreak">
    <w:name w:val="AllowPageBreak"/>
    <w:rsid w:val="009D6B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6BB9"/>
    <w:pPr>
      <w:tabs>
        <w:tab w:val="left" w:pos="680"/>
      </w:tabs>
      <w:spacing w:before="60" w:after="60"/>
      <w:ind w:left="680" w:hanging="340"/>
    </w:pPr>
  </w:style>
  <w:style w:type="paragraph" w:styleId="ListBullet3">
    <w:name w:val="List Bullet 3"/>
    <w:basedOn w:val="List3"/>
    <w:rsid w:val="009D6BB9"/>
    <w:pPr>
      <w:numPr>
        <w:numId w:val="3"/>
      </w:numPr>
      <w:tabs>
        <w:tab w:val="clear" w:pos="1021"/>
      </w:tabs>
      <w:ind w:left="1037" w:hanging="357"/>
    </w:pPr>
  </w:style>
  <w:style w:type="character" w:customStyle="1" w:styleId="BoldandItalics">
    <w:name w:val="Bold and Italics"/>
    <w:qFormat/>
    <w:rsid w:val="009D6BB9"/>
    <w:rPr>
      <w:b/>
      <w:i/>
      <w:u w:val="none"/>
    </w:rPr>
  </w:style>
  <w:style w:type="character" w:customStyle="1" w:styleId="Heading2Char">
    <w:name w:val="Heading 2 Char"/>
    <w:basedOn w:val="DefaultParagraphFont"/>
    <w:link w:val="Heading2"/>
    <w:rsid w:val="009D6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BB9"/>
    <w:rPr>
      <w:rFonts w:ascii="Courier New" w:eastAsia="Times New Roman" w:hAnsi="Courier New" w:cs="Times New Roman"/>
      <w:i/>
      <w:szCs w:val="20"/>
      <w:lang w:eastAsia="en-US"/>
    </w:rPr>
  </w:style>
  <w:style w:type="paragraph" w:customStyle="1" w:styleId="HeadingBase">
    <w:name w:val="Heading Base"/>
    <w:rsid w:val="009D6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BB9"/>
    <w:pPr>
      <w:tabs>
        <w:tab w:val="right" w:leader="dot" w:pos="9072"/>
      </w:tabs>
      <w:ind w:left="567"/>
    </w:pPr>
    <w:rPr>
      <w:szCs w:val="22"/>
    </w:rPr>
  </w:style>
  <w:style w:type="paragraph" w:customStyle="1" w:styleId="TOCBase">
    <w:name w:val="TOC Base"/>
    <w:rsid w:val="009D6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BB9"/>
    <w:pPr>
      <w:tabs>
        <w:tab w:val="right" w:leader="dot" w:pos="9072"/>
      </w:tabs>
      <w:spacing w:before="40" w:after="40"/>
      <w:ind w:left="284"/>
    </w:pPr>
    <w:rPr>
      <w:rFonts w:ascii="Times New Roman" w:hAnsi="Times New Roman"/>
    </w:rPr>
  </w:style>
  <w:style w:type="paragraph" w:styleId="TOC1">
    <w:name w:val="toc 1"/>
    <w:basedOn w:val="TOCBase"/>
    <w:next w:val="Normal"/>
    <w:rsid w:val="009D6B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6BB9"/>
    <w:pPr>
      <w:spacing w:before="5040"/>
      <w:jc w:val="center"/>
    </w:pPr>
    <w:rPr>
      <w:sz w:val="48"/>
      <w:szCs w:val="72"/>
      <w:lang w:val="en-US"/>
    </w:rPr>
  </w:style>
  <w:style w:type="character" w:customStyle="1" w:styleId="TitleChar">
    <w:name w:val="Title Char"/>
    <w:basedOn w:val="DefaultParagraphFont"/>
    <w:link w:val="Title"/>
    <w:rsid w:val="009D6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BB9"/>
    <w:pPr>
      <w:tabs>
        <w:tab w:val="left" w:pos="3600"/>
        <w:tab w:val="left" w:pos="3958"/>
      </w:tabs>
    </w:pPr>
  </w:style>
  <w:style w:type="paragraph" w:customStyle="1" w:styleId="Note">
    <w:name w:val="Note"/>
    <w:basedOn w:val="BodyText"/>
    <w:rsid w:val="009D6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BB9"/>
    <w:pPr>
      <w:framePr w:wrap="auto" w:hAnchor="text" w:y="6049"/>
    </w:pPr>
    <w:rPr>
      <w:color w:val="000000"/>
      <w:sz w:val="40"/>
    </w:rPr>
  </w:style>
  <w:style w:type="paragraph" w:customStyle="1" w:styleId="TOCTitle">
    <w:name w:val="TOCTitle"/>
    <w:basedOn w:val="Heading1"/>
    <w:rsid w:val="009D6BB9"/>
    <w:pPr>
      <w:spacing w:after="240"/>
      <w:jc w:val="center"/>
      <w:outlineLvl w:val="9"/>
    </w:pPr>
    <w:rPr>
      <w:caps/>
    </w:rPr>
  </w:style>
  <w:style w:type="paragraph" w:customStyle="1" w:styleId="Version">
    <w:name w:val="Version"/>
    <w:rsid w:val="009D6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BB9"/>
    <w:pPr>
      <w:keepNext w:val="0"/>
      <w:tabs>
        <w:tab w:val="right" w:pos="4176"/>
      </w:tabs>
      <w:ind w:left="198" w:hanging="198"/>
    </w:pPr>
    <w:rPr>
      <w:rFonts w:ascii="Garamond" w:hAnsi="Garamond"/>
    </w:rPr>
  </w:style>
  <w:style w:type="paragraph" w:styleId="IndexHeading">
    <w:name w:val="index heading"/>
    <w:basedOn w:val="Normal"/>
    <w:next w:val="Index1"/>
    <w:semiHidden/>
    <w:rsid w:val="009D6BB9"/>
    <w:pPr>
      <w:spacing w:before="120" w:after="120"/>
    </w:pPr>
    <w:rPr>
      <w:rFonts w:ascii="Arial" w:hAnsi="Arial"/>
      <w:b/>
      <w:color w:val="918585"/>
      <w:sz w:val="24"/>
    </w:rPr>
  </w:style>
  <w:style w:type="paragraph" w:styleId="Header">
    <w:name w:val="header"/>
    <w:basedOn w:val="Normal"/>
    <w:link w:val="HeaderChar"/>
    <w:rsid w:val="009D6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BB9"/>
    <w:rPr>
      <w:rFonts w:ascii="Times New Roman" w:eastAsia="Times New Roman" w:hAnsi="Times New Roman" w:cs="Times New Roman"/>
      <w:sz w:val="16"/>
      <w:szCs w:val="20"/>
      <w:lang w:val="en-GB" w:eastAsia="en-US"/>
    </w:rPr>
  </w:style>
  <w:style w:type="paragraph" w:customStyle="1" w:styleId="Chapter">
    <w:name w:val="Chapter"/>
    <w:basedOn w:val="Normal"/>
    <w:rsid w:val="009D6BB9"/>
    <w:pPr>
      <w:spacing w:before="240"/>
    </w:pPr>
    <w:rPr>
      <w:rFonts w:ascii="Times New Roman" w:hAnsi="Times New Roman"/>
      <w:smallCaps/>
      <w:spacing w:val="80"/>
      <w:sz w:val="28"/>
    </w:rPr>
  </w:style>
  <w:style w:type="paragraph" w:customStyle="1" w:styleId="InChapter">
    <w:name w:val="InChapter"/>
    <w:basedOn w:val="Heading3"/>
    <w:rsid w:val="009D6BB9"/>
    <w:pPr>
      <w:spacing w:after="240"/>
      <w:outlineLvl w:val="9"/>
    </w:pPr>
    <w:rPr>
      <w:noProof/>
    </w:rPr>
  </w:style>
  <w:style w:type="paragraph" w:styleId="Index2">
    <w:name w:val="index 2"/>
    <w:basedOn w:val="Normal"/>
    <w:next w:val="Normal"/>
    <w:semiHidden/>
    <w:rsid w:val="009D6BB9"/>
    <w:pPr>
      <w:tabs>
        <w:tab w:val="right" w:pos="4176"/>
      </w:tabs>
      <w:ind w:left="568" w:hanging="284"/>
    </w:pPr>
    <w:rPr>
      <w:rFonts w:ascii="Garamond" w:hAnsi="Garamond"/>
    </w:rPr>
  </w:style>
  <w:style w:type="paragraph" w:customStyle="1" w:styleId="Byline">
    <w:name w:val="Byline"/>
    <w:rsid w:val="009D6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BB9"/>
    <w:pPr>
      <w:tabs>
        <w:tab w:val="clear" w:pos="3600"/>
        <w:tab w:val="clear" w:pos="3958"/>
      </w:tabs>
      <w:jc w:val="right"/>
    </w:pPr>
  </w:style>
  <w:style w:type="character" w:styleId="Emphasis">
    <w:name w:val="Emphasis"/>
    <w:basedOn w:val="DefaultParagraphFont"/>
    <w:qFormat/>
    <w:rsid w:val="009D6BB9"/>
    <w:rPr>
      <w:i/>
    </w:rPr>
  </w:style>
  <w:style w:type="paragraph" w:styleId="Caption">
    <w:name w:val="caption"/>
    <w:basedOn w:val="BodyText"/>
    <w:next w:val="Normal"/>
    <w:qFormat/>
    <w:rsid w:val="009D6BB9"/>
    <w:pPr>
      <w:framePr w:w="2268" w:hSpace="181" w:vSpace="181" w:wrap="around" w:vAnchor="text" w:hAnchor="page" w:x="1135" w:y="285" w:anchorLock="1"/>
    </w:pPr>
    <w:rPr>
      <w:i/>
    </w:rPr>
  </w:style>
  <w:style w:type="paragraph" w:customStyle="1" w:styleId="MiniTOCTitle">
    <w:name w:val="MiniTOCTitle"/>
    <w:basedOn w:val="Heading4"/>
    <w:rsid w:val="009D6BB9"/>
    <w:pPr>
      <w:spacing w:before="240"/>
      <w:outlineLvl w:val="9"/>
    </w:pPr>
    <w:rPr>
      <w:noProof/>
      <w:sz w:val="24"/>
    </w:rPr>
  </w:style>
  <w:style w:type="paragraph" w:customStyle="1" w:styleId="MiniTOCItem">
    <w:name w:val="MiniTOCItem"/>
    <w:basedOn w:val="ListBullet"/>
    <w:rsid w:val="009D6BB9"/>
    <w:pPr>
      <w:numPr>
        <w:numId w:val="0"/>
      </w:numPr>
      <w:tabs>
        <w:tab w:val="right" w:leader="dot" w:pos="6521"/>
      </w:tabs>
      <w:spacing w:before="0" w:after="0"/>
    </w:pPr>
  </w:style>
  <w:style w:type="paragraph" w:customStyle="1" w:styleId="TOFTitle">
    <w:name w:val="TOFTitle"/>
    <w:basedOn w:val="TOCTitle"/>
    <w:rsid w:val="009D6BB9"/>
  </w:style>
  <w:style w:type="paragraph" w:styleId="TableofFigures">
    <w:name w:val="table of figures"/>
    <w:basedOn w:val="Normal"/>
    <w:next w:val="Normal"/>
    <w:semiHidden/>
    <w:rsid w:val="009D6BB9"/>
    <w:pPr>
      <w:tabs>
        <w:tab w:val="right" w:leader="dot" w:pos="9072"/>
      </w:tabs>
      <w:ind w:left="970" w:hanging="403"/>
    </w:pPr>
    <w:rPr>
      <w:rFonts w:ascii="Times New Roman" w:hAnsi="Times New Roman"/>
      <w:b/>
    </w:rPr>
  </w:style>
  <w:style w:type="paragraph" w:styleId="ListNumber">
    <w:name w:val="List Number"/>
    <w:basedOn w:val="List"/>
    <w:rsid w:val="009D6BB9"/>
    <w:pPr>
      <w:numPr>
        <w:numId w:val="12"/>
      </w:numPr>
    </w:pPr>
  </w:style>
  <w:style w:type="character" w:customStyle="1" w:styleId="WingdingSymbols">
    <w:name w:val="Wingding Symbols"/>
    <w:rsid w:val="009D6BB9"/>
    <w:rPr>
      <w:rFonts w:ascii="Wingdings" w:hAnsi="Wingdings"/>
    </w:rPr>
  </w:style>
  <w:style w:type="paragraph" w:customStyle="1" w:styleId="TableHeading">
    <w:name w:val="Table Heading"/>
    <w:basedOn w:val="HeadingBase"/>
    <w:rsid w:val="009D6BB9"/>
    <w:pPr>
      <w:keepLines/>
      <w:pBdr>
        <w:bottom w:val="single" w:sz="6" w:space="1" w:color="918585"/>
      </w:pBdr>
      <w:spacing w:before="240"/>
    </w:pPr>
  </w:style>
  <w:style w:type="character" w:customStyle="1" w:styleId="HotSpot">
    <w:name w:val="HotSpot"/>
    <w:rsid w:val="009D6BB9"/>
    <w:rPr>
      <w:color w:val="0033CC"/>
      <w:u w:val="none"/>
    </w:rPr>
  </w:style>
  <w:style w:type="paragraph" w:customStyle="1" w:styleId="BodyTextRight">
    <w:name w:val="Body Text Right"/>
    <w:basedOn w:val="BodyText"/>
    <w:rsid w:val="009D6BB9"/>
    <w:pPr>
      <w:spacing w:before="0" w:after="0"/>
      <w:jc w:val="right"/>
    </w:pPr>
  </w:style>
  <w:style w:type="paragraph" w:styleId="Index3">
    <w:name w:val="index 3"/>
    <w:basedOn w:val="ListNumber2"/>
    <w:next w:val="Normal"/>
    <w:semiHidden/>
    <w:rsid w:val="009D6BB9"/>
    <w:pPr>
      <w:numPr>
        <w:numId w:val="0"/>
      </w:numPr>
      <w:tabs>
        <w:tab w:val="right" w:leader="dot" w:pos="4176"/>
      </w:tabs>
    </w:pPr>
  </w:style>
  <w:style w:type="paragraph" w:styleId="ListNumber2">
    <w:name w:val="List Number 2"/>
    <w:basedOn w:val="List2"/>
    <w:rsid w:val="009D6BB9"/>
    <w:pPr>
      <w:numPr>
        <w:numId w:val="11"/>
      </w:numPr>
      <w:tabs>
        <w:tab w:val="clear" w:pos="1060"/>
      </w:tabs>
    </w:pPr>
  </w:style>
  <w:style w:type="paragraph" w:customStyle="1" w:styleId="MarginNote">
    <w:name w:val="Margin Note"/>
    <w:basedOn w:val="BodyText"/>
    <w:rsid w:val="009D6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BB9"/>
    <w:rPr>
      <w:sz w:val="32"/>
    </w:rPr>
  </w:style>
  <w:style w:type="paragraph" w:customStyle="1" w:styleId="HeadingProcedure">
    <w:name w:val="Heading Procedure"/>
    <w:basedOn w:val="HeadingBase"/>
    <w:next w:val="Normal"/>
    <w:rsid w:val="009D6BB9"/>
    <w:pPr>
      <w:tabs>
        <w:tab w:val="left" w:pos="0"/>
      </w:tabs>
      <w:spacing w:before="120" w:after="60"/>
    </w:pPr>
    <w:rPr>
      <w:i/>
      <w:color w:val="918585"/>
      <w:sz w:val="22"/>
    </w:rPr>
  </w:style>
  <w:style w:type="paragraph" w:customStyle="1" w:styleId="TableBodyText">
    <w:name w:val="Table Body Text"/>
    <w:basedOn w:val="BodyText"/>
    <w:rsid w:val="009D6BB9"/>
    <w:pPr>
      <w:spacing w:before="60" w:after="60"/>
    </w:pPr>
  </w:style>
  <w:style w:type="paragraph" w:styleId="ListContinue">
    <w:name w:val="List Continue"/>
    <w:basedOn w:val="List"/>
    <w:rsid w:val="009D6BB9"/>
    <w:pPr>
      <w:ind w:firstLine="0"/>
    </w:pPr>
  </w:style>
  <w:style w:type="paragraph" w:customStyle="1" w:styleId="ListNote">
    <w:name w:val="List Note"/>
    <w:basedOn w:val="List"/>
    <w:rsid w:val="009D6BB9"/>
    <w:pPr>
      <w:pBdr>
        <w:top w:val="single" w:sz="6" w:space="2" w:color="918585"/>
        <w:bottom w:val="single" w:sz="6" w:space="2" w:color="918585"/>
      </w:pBdr>
      <w:tabs>
        <w:tab w:val="left" w:pos="1021"/>
      </w:tabs>
      <w:ind w:firstLine="0"/>
    </w:pPr>
  </w:style>
  <w:style w:type="paragraph" w:customStyle="1" w:styleId="Warning">
    <w:name w:val="Warning"/>
    <w:basedOn w:val="BodyText"/>
    <w:rsid w:val="009D6BB9"/>
    <w:pPr>
      <w:shd w:val="clear" w:color="auto" w:fill="D9D9D9"/>
      <w:tabs>
        <w:tab w:val="left" w:pos="992"/>
      </w:tabs>
      <w:ind w:left="119" w:right="119"/>
    </w:pPr>
    <w:rPr>
      <w:sz w:val="20"/>
    </w:rPr>
  </w:style>
  <w:style w:type="paragraph" w:customStyle="1" w:styleId="MarginIcons">
    <w:name w:val="Margin Icons"/>
    <w:basedOn w:val="BodyText"/>
    <w:rsid w:val="009D6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BB9"/>
    <w:rPr>
      <w:rFonts w:ascii="Courier New" w:hAnsi="Courier New"/>
    </w:rPr>
  </w:style>
  <w:style w:type="paragraph" w:customStyle="1" w:styleId="NoteBullet">
    <w:name w:val="Note Bullet"/>
    <w:basedOn w:val="Note"/>
    <w:rsid w:val="009D6BB9"/>
    <w:pPr>
      <w:tabs>
        <w:tab w:val="clear" w:pos="680"/>
      </w:tabs>
      <w:spacing w:before="60" w:after="60"/>
    </w:pPr>
  </w:style>
  <w:style w:type="paragraph" w:customStyle="1" w:styleId="SubHeading2">
    <w:name w:val="SubHeading2"/>
    <w:basedOn w:val="HeadingBase"/>
    <w:rsid w:val="009D6BB9"/>
    <w:pPr>
      <w:spacing w:before="240" w:after="60"/>
    </w:pPr>
    <w:rPr>
      <w:sz w:val="20"/>
    </w:rPr>
  </w:style>
  <w:style w:type="paragraph" w:customStyle="1" w:styleId="SubHeading1">
    <w:name w:val="SubHeading1"/>
    <w:basedOn w:val="HeadingBase"/>
    <w:rsid w:val="009D6BB9"/>
    <w:pPr>
      <w:spacing w:before="240" w:after="60"/>
    </w:pPr>
    <w:rPr>
      <w:color w:val="918585"/>
      <w:sz w:val="22"/>
    </w:rPr>
  </w:style>
  <w:style w:type="paragraph" w:customStyle="1" w:styleId="SideHeading">
    <w:name w:val="Side Heading"/>
    <w:basedOn w:val="HeadingBase"/>
    <w:rsid w:val="009D6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BB9"/>
    <w:pPr>
      <w:numPr>
        <w:numId w:val="13"/>
      </w:numPr>
    </w:pPr>
  </w:style>
  <w:style w:type="paragraph" w:styleId="PlainText">
    <w:name w:val="Plain Text"/>
    <w:basedOn w:val="Normal"/>
    <w:link w:val="PlainTextChar"/>
    <w:rsid w:val="009D6BB9"/>
    <w:rPr>
      <w:sz w:val="20"/>
    </w:rPr>
  </w:style>
  <w:style w:type="character" w:customStyle="1" w:styleId="PlainTextChar">
    <w:name w:val="Plain Text Char"/>
    <w:basedOn w:val="DefaultParagraphFont"/>
    <w:link w:val="PlainText"/>
    <w:rsid w:val="009D6BB9"/>
    <w:rPr>
      <w:rFonts w:ascii="Courier New" w:eastAsia="Times New Roman" w:hAnsi="Courier New" w:cs="Times New Roman"/>
      <w:sz w:val="20"/>
      <w:szCs w:val="20"/>
      <w:lang w:eastAsia="en-US"/>
    </w:rPr>
  </w:style>
  <w:style w:type="character" w:customStyle="1" w:styleId="MenuOption">
    <w:name w:val="Menu Option"/>
    <w:basedOn w:val="DefaultParagraphFont"/>
    <w:rsid w:val="009D6BB9"/>
    <w:rPr>
      <w:b/>
      <w:smallCaps/>
    </w:rPr>
  </w:style>
  <w:style w:type="paragraph" w:customStyle="1" w:styleId="TableListNumber">
    <w:name w:val="Table List Number"/>
    <w:basedOn w:val="ListNumber"/>
    <w:rsid w:val="009D6BB9"/>
    <w:pPr>
      <w:numPr>
        <w:numId w:val="0"/>
      </w:numPr>
    </w:pPr>
  </w:style>
  <w:style w:type="paragraph" w:styleId="TOC4">
    <w:name w:val="toc 4"/>
    <w:basedOn w:val="TOCBase"/>
    <w:next w:val="Normal"/>
    <w:semiHidden/>
    <w:rsid w:val="009D6BB9"/>
    <w:pPr>
      <w:tabs>
        <w:tab w:val="right" w:leader="dot" w:pos="9071"/>
      </w:tabs>
      <w:ind w:left="1701"/>
    </w:pPr>
  </w:style>
  <w:style w:type="paragraph" w:customStyle="1" w:styleId="ListAlpha">
    <w:name w:val="List Alpha"/>
    <w:basedOn w:val="List"/>
    <w:rsid w:val="009D6BB9"/>
    <w:pPr>
      <w:numPr>
        <w:numId w:val="10"/>
      </w:numPr>
    </w:pPr>
  </w:style>
  <w:style w:type="paragraph" w:customStyle="1" w:styleId="ListAlpha2">
    <w:name w:val="List Alpha 2"/>
    <w:basedOn w:val="List2"/>
    <w:rsid w:val="009D6BB9"/>
    <w:pPr>
      <w:numPr>
        <w:numId w:val="9"/>
      </w:numPr>
    </w:pPr>
  </w:style>
  <w:style w:type="paragraph" w:styleId="List3">
    <w:name w:val="List 3"/>
    <w:basedOn w:val="BodyText"/>
    <w:rsid w:val="009D6BB9"/>
    <w:pPr>
      <w:tabs>
        <w:tab w:val="left" w:pos="1021"/>
      </w:tabs>
      <w:spacing w:before="60" w:after="60"/>
      <w:ind w:left="1020" w:hanging="340"/>
    </w:pPr>
  </w:style>
  <w:style w:type="paragraph" w:styleId="List4">
    <w:name w:val="List 4"/>
    <w:basedOn w:val="BodyText"/>
    <w:rsid w:val="009D6BB9"/>
    <w:pPr>
      <w:tabs>
        <w:tab w:val="left" w:pos="1361"/>
      </w:tabs>
      <w:spacing w:before="60" w:after="60"/>
      <w:ind w:left="1361" w:hanging="340"/>
    </w:pPr>
  </w:style>
  <w:style w:type="paragraph" w:styleId="List5">
    <w:name w:val="List 5"/>
    <w:basedOn w:val="BodyText"/>
    <w:rsid w:val="009D6BB9"/>
    <w:pPr>
      <w:tabs>
        <w:tab w:val="left" w:pos="1701"/>
      </w:tabs>
      <w:spacing w:before="60" w:after="60"/>
      <w:ind w:left="1701" w:hanging="340"/>
    </w:pPr>
  </w:style>
  <w:style w:type="paragraph" w:styleId="ListBullet4">
    <w:name w:val="List Bullet 4"/>
    <w:basedOn w:val="List4"/>
    <w:rsid w:val="009D6BB9"/>
    <w:pPr>
      <w:numPr>
        <w:numId w:val="4"/>
      </w:numPr>
    </w:pPr>
  </w:style>
  <w:style w:type="paragraph" w:styleId="ListBullet5">
    <w:name w:val="List Bullet 5"/>
    <w:basedOn w:val="List5"/>
    <w:rsid w:val="009D6BB9"/>
    <w:pPr>
      <w:numPr>
        <w:numId w:val="5"/>
      </w:numPr>
    </w:pPr>
  </w:style>
  <w:style w:type="paragraph" w:styleId="ListContinue2">
    <w:name w:val="List Continue 2"/>
    <w:basedOn w:val="List2"/>
    <w:rsid w:val="009D6BB9"/>
    <w:pPr>
      <w:ind w:firstLine="0"/>
    </w:pPr>
  </w:style>
  <w:style w:type="paragraph" w:styleId="ListContinue3">
    <w:name w:val="List Continue 3"/>
    <w:basedOn w:val="List3"/>
    <w:rsid w:val="009D6BB9"/>
    <w:pPr>
      <w:ind w:left="1021" w:firstLine="0"/>
    </w:pPr>
  </w:style>
  <w:style w:type="paragraph" w:styleId="ListContinue4">
    <w:name w:val="List Continue 4"/>
    <w:basedOn w:val="List4"/>
    <w:rsid w:val="009D6BB9"/>
    <w:pPr>
      <w:ind w:firstLine="0"/>
    </w:pPr>
  </w:style>
  <w:style w:type="paragraph" w:styleId="ListContinue5">
    <w:name w:val="List Continue 5"/>
    <w:basedOn w:val="List5"/>
    <w:rsid w:val="009D6BB9"/>
    <w:pPr>
      <w:ind w:firstLine="0"/>
    </w:pPr>
  </w:style>
  <w:style w:type="paragraph" w:styleId="ListNumber3">
    <w:name w:val="List Number 3"/>
    <w:basedOn w:val="List3"/>
    <w:rsid w:val="009D6BB9"/>
    <w:pPr>
      <w:numPr>
        <w:numId w:val="6"/>
      </w:numPr>
    </w:pPr>
  </w:style>
  <w:style w:type="paragraph" w:styleId="ListNumber4">
    <w:name w:val="List Number 4"/>
    <w:basedOn w:val="List4"/>
    <w:rsid w:val="009D6BB9"/>
    <w:pPr>
      <w:numPr>
        <w:numId w:val="7"/>
      </w:numPr>
    </w:pPr>
  </w:style>
  <w:style w:type="paragraph" w:styleId="ListNumber5">
    <w:name w:val="List Number 5"/>
    <w:basedOn w:val="List5"/>
    <w:rsid w:val="009D6BB9"/>
    <w:pPr>
      <w:numPr>
        <w:numId w:val="8"/>
      </w:numPr>
    </w:pPr>
  </w:style>
  <w:style w:type="paragraph" w:styleId="BlockText">
    <w:name w:val="Block Text"/>
    <w:basedOn w:val="Normal"/>
    <w:rsid w:val="009D6BB9"/>
    <w:pPr>
      <w:spacing w:after="120"/>
      <w:ind w:left="1440" w:right="1440"/>
    </w:pPr>
  </w:style>
  <w:style w:type="character" w:customStyle="1" w:styleId="Subscript">
    <w:name w:val="Subscript"/>
    <w:basedOn w:val="DefaultParagraphFont"/>
    <w:rsid w:val="009D6BB9"/>
    <w:rPr>
      <w:sz w:val="16"/>
      <w:vertAlign w:val="subscript"/>
    </w:rPr>
  </w:style>
  <w:style w:type="character" w:customStyle="1" w:styleId="Superscript">
    <w:name w:val="Superscript"/>
    <w:basedOn w:val="DefaultParagraphFont"/>
    <w:rsid w:val="009D6BB9"/>
    <w:rPr>
      <w:sz w:val="16"/>
      <w:vertAlign w:val="superscript"/>
    </w:rPr>
  </w:style>
  <w:style w:type="character" w:customStyle="1" w:styleId="Symbols">
    <w:name w:val="Symbols"/>
    <w:basedOn w:val="DefaultParagraphFont"/>
    <w:rsid w:val="009D6BB9"/>
    <w:rPr>
      <w:rFonts w:ascii="Symbol" w:hAnsi="Symbol"/>
    </w:rPr>
  </w:style>
  <w:style w:type="character" w:customStyle="1" w:styleId="MenuOptions">
    <w:name w:val="Menu Options"/>
    <w:basedOn w:val="DefaultParagraphFont"/>
    <w:rsid w:val="009D6BB9"/>
    <w:rPr>
      <w:rFonts w:ascii="Arial Narrow" w:hAnsi="Arial Narrow"/>
      <w:smallCaps/>
    </w:rPr>
  </w:style>
  <w:style w:type="character" w:customStyle="1" w:styleId="Buttons">
    <w:name w:val="Buttons"/>
    <w:basedOn w:val="DefaultParagraphFont"/>
    <w:rsid w:val="009D6BB9"/>
    <w:rPr>
      <w:b/>
    </w:rPr>
  </w:style>
  <w:style w:type="character" w:customStyle="1" w:styleId="Underlined">
    <w:name w:val="Underlined"/>
    <w:basedOn w:val="DefaultParagraphFont"/>
    <w:rsid w:val="009D6BB9"/>
    <w:rPr>
      <w:u w:val="single"/>
    </w:rPr>
  </w:style>
  <w:style w:type="paragraph" w:customStyle="1" w:styleId="TableBodyTextRight">
    <w:name w:val="Table Body Text Right"/>
    <w:basedOn w:val="TableBodyText"/>
    <w:rsid w:val="009D6BB9"/>
    <w:pPr>
      <w:widowControl w:val="0"/>
      <w:autoSpaceDE w:val="0"/>
      <w:autoSpaceDN w:val="0"/>
      <w:adjustRightInd w:val="0"/>
      <w:jc w:val="right"/>
    </w:pPr>
    <w:rPr>
      <w:rFonts w:cs="Arial"/>
      <w:szCs w:val="18"/>
    </w:rPr>
  </w:style>
  <w:style w:type="paragraph" w:customStyle="1" w:styleId="CopyrightText">
    <w:name w:val="Copyright Text"/>
    <w:basedOn w:val="BodyText"/>
    <w:rsid w:val="009D6BB9"/>
    <w:rPr>
      <w:sz w:val="18"/>
    </w:rPr>
  </w:style>
  <w:style w:type="paragraph" w:customStyle="1" w:styleId="BodySmallRight">
    <w:name w:val="Body Small Right"/>
    <w:basedOn w:val="BodyTextRight"/>
    <w:rsid w:val="009D6BB9"/>
    <w:rPr>
      <w:sz w:val="18"/>
      <w:szCs w:val="18"/>
    </w:rPr>
  </w:style>
  <w:style w:type="paragraph" w:customStyle="1" w:styleId="MarginEdition">
    <w:name w:val="Margin Edition"/>
    <w:basedOn w:val="MarginNote"/>
    <w:rsid w:val="009D6BB9"/>
    <w:pPr>
      <w:spacing w:before="0" w:after="0"/>
    </w:pPr>
    <w:rPr>
      <w:rFonts w:ascii="Times New Roman" w:hAnsi="Times New Roman"/>
      <w:color w:val="999999"/>
    </w:rPr>
  </w:style>
  <w:style w:type="paragraph" w:customStyle="1" w:styleId="Spacer">
    <w:name w:val="Spacer"/>
    <w:basedOn w:val="Normal"/>
    <w:rsid w:val="009D6BB9"/>
    <w:rPr>
      <w:sz w:val="2"/>
      <w:szCs w:val="2"/>
    </w:rPr>
  </w:style>
  <w:style w:type="character" w:customStyle="1" w:styleId="Small">
    <w:name w:val="Small"/>
    <w:basedOn w:val="DefaultParagraphFont"/>
    <w:rsid w:val="009D6BB9"/>
    <w:rPr>
      <w:sz w:val="16"/>
    </w:rPr>
  </w:style>
  <w:style w:type="paragraph" w:customStyle="1" w:styleId="WideTable">
    <w:name w:val="Wide Table"/>
    <w:basedOn w:val="Normal"/>
    <w:rsid w:val="009D6BB9"/>
    <w:pPr>
      <w:ind w:left="-1418"/>
    </w:pPr>
    <w:rPr>
      <w:sz w:val="2"/>
      <w:szCs w:val="2"/>
    </w:rPr>
  </w:style>
  <w:style w:type="character" w:styleId="PageNumber">
    <w:name w:val="page number"/>
    <w:basedOn w:val="DefaultParagraphFont"/>
    <w:rsid w:val="009D6BB9"/>
  </w:style>
  <w:style w:type="paragraph" w:styleId="Quote">
    <w:name w:val="Quote"/>
    <w:basedOn w:val="Heading1"/>
    <w:link w:val="QuoteChar"/>
    <w:qFormat/>
    <w:rsid w:val="009D6BB9"/>
    <w:rPr>
      <w:b w:val="0"/>
      <w:sz w:val="72"/>
      <w:szCs w:val="72"/>
      <w:lang w:val="en-NZ"/>
    </w:rPr>
  </w:style>
  <w:style w:type="character" w:customStyle="1" w:styleId="QuoteChar">
    <w:name w:val="Quote Char"/>
    <w:basedOn w:val="DefaultParagraphFont"/>
    <w:link w:val="Quote"/>
    <w:rsid w:val="009D6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BB9"/>
    <w:pPr>
      <w:pageBreakBefore/>
    </w:pPr>
  </w:style>
  <w:style w:type="paragraph" w:customStyle="1" w:styleId="Border">
    <w:name w:val="Border"/>
    <w:basedOn w:val="Normal"/>
    <w:qFormat/>
    <w:rsid w:val="009D6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BB9"/>
    <w:rPr>
      <w:b/>
      <w:bCs/>
      <w:i/>
      <w:iCs/>
      <w:color w:val="auto"/>
    </w:rPr>
  </w:style>
  <w:style w:type="paragraph" w:styleId="IntenseQuote">
    <w:name w:val="Intense Quote"/>
    <w:basedOn w:val="Normal"/>
    <w:next w:val="Normal"/>
    <w:link w:val="IntenseQuoteChar"/>
    <w:uiPriority w:val="30"/>
    <w:qFormat/>
    <w:rsid w:val="009D6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BB9"/>
    <w:rPr>
      <w:smallCaps/>
      <w:color w:val="auto"/>
      <w:u w:val="single"/>
    </w:rPr>
  </w:style>
  <w:style w:type="character" w:styleId="IntenseReference">
    <w:name w:val="Intense Reference"/>
    <w:basedOn w:val="DefaultParagraphFont"/>
    <w:uiPriority w:val="32"/>
    <w:qFormat/>
    <w:rsid w:val="009D6BB9"/>
    <w:rPr>
      <w:b/>
      <w:bCs/>
      <w:smallCaps/>
      <w:color w:val="auto"/>
      <w:spacing w:val="5"/>
      <w:u w:val="single"/>
    </w:rPr>
  </w:style>
  <w:style w:type="paragraph" w:customStyle="1" w:styleId="2ColumnHeading">
    <w:name w:val="2Column Heading"/>
    <w:basedOn w:val="BodyText"/>
    <w:qFormat/>
    <w:rsid w:val="009D6BB9"/>
    <w:pPr>
      <w:spacing w:after="60"/>
      <w:ind w:left="-2268"/>
    </w:pPr>
    <w:rPr>
      <w:b/>
    </w:rPr>
  </w:style>
  <w:style w:type="paragraph" w:customStyle="1" w:styleId="Heading1TOC">
    <w:name w:val="Heading1 TOC"/>
    <w:basedOn w:val="Normal"/>
    <w:qFormat/>
    <w:rsid w:val="009D6BB9"/>
    <w:pPr>
      <w:spacing w:before="240" w:after="120"/>
    </w:pPr>
    <w:rPr>
      <w:rFonts w:ascii="Times New Roman" w:hAnsi="Times New Roman"/>
      <w:b/>
      <w:sz w:val="32"/>
    </w:rPr>
  </w:style>
  <w:style w:type="paragraph" w:customStyle="1" w:styleId="Heading2TOC">
    <w:name w:val="Heading2 TOC"/>
    <w:basedOn w:val="Normal"/>
    <w:qFormat/>
    <w:rsid w:val="009D6BB9"/>
    <w:pPr>
      <w:spacing w:before="240" w:after="60"/>
    </w:pPr>
    <w:rPr>
      <w:rFonts w:ascii="Times New Roman" w:hAnsi="Times New Roman"/>
      <w:b/>
      <w:sz w:val="28"/>
    </w:rPr>
  </w:style>
  <w:style w:type="character" w:customStyle="1" w:styleId="Underline">
    <w:name w:val="Underline"/>
    <w:basedOn w:val="DefaultParagraphFont"/>
    <w:qFormat/>
    <w:rsid w:val="009D6BB9"/>
    <w:rPr>
      <w:u w:val="single"/>
    </w:rPr>
  </w:style>
  <w:style w:type="paragraph" w:styleId="BalloonText">
    <w:name w:val="Balloon Text"/>
    <w:basedOn w:val="Normal"/>
    <w:link w:val="BalloonTextChar"/>
    <w:rsid w:val="009D6BB9"/>
    <w:rPr>
      <w:rFonts w:ascii="Tahoma" w:hAnsi="Tahoma" w:cs="Tahoma"/>
      <w:sz w:val="16"/>
      <w:szCs w:val="16"/>
    </w:rPr>
  </w:style>
  <w:style w:type="character" w:customStyle="1" w:styleId="BalloonTextChar">
    <w:name w:val="Balloon Text Char"/>
    <w:basedOn w:val="DefaultParagraphFont"/>
    <w:link w:val="BalloonText"/>
    <w:rsid w:val="009D6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B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6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BB9"/>
    <w:rPr>
      <w:b/>
      <w:color w:val="660033"/>
      <w:spacing w:val="0"/>
    </w:rPr>
  </w:style>
  <w:style w:type="paragraph" w:customStyle="1" w:styleId="Nameditemlist">
    <w:name w:val="Named item list"/>
    <w:basedOn w:val="BodyText"/>
    <w:qFormat/>
    <w:rsid w:val="009D6B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1963</Words>
  <Characters>12877</Characters>
  <Application>Microsoft Office Word</Application>
  <DocSecurity>0</DocSecurity>
  <Lines>437</Lines>
  <Paragraphs>212</Paragraphs>
  <ScaleCrop>false</ScaleCrop>
  <Company>Author-it Software Corporation Ltd.</Company>
  <LinksUpToDate>false</LinksUpToDate>
  <CharactersWithSpaces>14753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CPCPFS4012A Commission and maintain special hazard fire 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2012-10-05T16:36:00Z</dcterms:created>
  <dcterms:modified xsi:type="dcterms:W3CDTF">2012-10-05T16:36:00Z</dcterms:modified>
</cp:coreProperties>
</file>