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EF2" w:rsidP="009F6EF2">
      <w:pPr>
        <w:pStyle w:val="Title"/>
      </w:pPr>
      <w:r>
        <w:fldChar w:fldCharType="begin"/>
      </w:r>
      <w:r>
        <w:instrText xml:space="preserve"> TITLE   \* MERGEFORMAT </w:instrText>
      </w:r>
      <w:r>
        <w:fldChar w:fldCharType="separate"/>
      </w:r>
      <w:r>
        <w:t>CPCPFS4005A Commission fire alarm and detection systems</w:t>
      </w:r>
      <w:r>
        <w:fldChar w:fldCharType="end"/>
      </w:r>
    </w:p>
    <w:p w:rsidR="009F6EF2" w:rsidP="009F6EF2">
      <w:pPr>
        <w:pStyle w:val="Version"/>
        <w:sectPr w:rsidSect="00132D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2D0E" w:rsidP="00132D0E">
      <w:pPr>
        <w:pStyle w:val="SuperHeading"/>
      </w:pPr>
      <w:r w:rsidRPr="00132D0E">
        <w:t>CPCPFS4005A Commission fire alarm and detection systems</w:t>
      </w:r>
    </w:p>
    <w:p w:rsidR="00000000" w:rsidRPr="00132D0E" w:rsidP="00132D0E">
      <w:pPr>
        <w:pStyle w:val="Heading1"/>
      </w:pPr>
      <w:bookmarkStart w:id="1" w:name="O_269844"/>
      <w:bookmarkEnd w:id="1"/>
      <w:r w:rsidRPr="00132D0E">
        <w:t>Modification History</w:t>
      </w:r>
    </w:p>
    <w:p w:rsidR="00000000" w:rsidRPr="00132D0E" w:rsidP="00132D0E">
      <w:pPr>
        <w:pStyle w:val="BodyText"/>
      </w:pPr>
      <w:r w:rsidRPr="00132D0E">
        <w:t>Not Applicable</w:t>
      </w:r>
    </w:p>
    <w:p w:rsidR="00000000" w:rsidRPr="00132D0E" w:rsidP="00132D0E">
      <w:pPr>
        <w:pStyle w:val="AllowPageBreak"/>
      </w:pPr>
    </w:p>
    <w:p w:rsidR="00000000" w:rsidRPr="00132D0E" w:rsidP="00132D0E">
      <w:pPr>
        <w:pStyle w:val="Heading1"/>
      </w:pPr>
      <w:bookmarkStart w:id="2" w:name="O_199683"/>
      <w:bookmarkEnd w:id="2"/>
      <w:r w:rsidRPr="00132D0E">
        <w:t>Unit Descriptor</w:t>
      </w:r>
    </w:p>
    <w:tbl>
      <w:tblPr>
        <w:tblW w:w="0" w:type="auto"/>
        <w:tblLayout w:type="fixed"/>
        <w:tblCellMar>
          <w:left w:w="62" w:type="dxa"/>
          <w:right w:w="62" w:type="dxa"/>
        </w:tblCellMar>
        <w:tblLook w:val="0000"/>
      </w:tblPr>
      <w:tblGrid>
        <w:gridCol w:w="2638"/>
        <w:gridCol w:w="5884"/>
      </w:tblGrid>
      <w:tr w:rsidTr="009F6EF2">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 xml:space="preserve">This unit of competency specifies the outcomes required to commission fire alarm and detection </w:t>
            </w:r>
            <w:r w:rsidRPr="00132D0E">
              <w:t>systems. It covers preparation for the work, identification and confirmation of system specifications and requirements, physical testing and commissioning of the systems, and work finalisation processes, including records and documentation.</w:t>
            </w:r>
          </w:p>
        </w:tc>
      </w:tr>
    </w:tbl>
    <w:p w:rsidR="009F6EF2" w:rsidP="00132D0E">
      <w:pPr>
        <w:pStyle w:val="BodyText"/>
      </w:pPr>
    </w:p>
    <w:p w:rsidR="009F6EF2" w:rsidP="00132D0E">
      <w:pPr>
        <w:pStyle w:val="BodyText"/>
      </w:pPr>
    </w:p>
    <w:p w:rsidR="00000000" w:rsidRPr="00132D0E" w:rsidP="00132D0E">
      <w:pPr>
        <w:pStyle w:val="Heading1"/>
      </w:pPr>
      <w:bookmarkStart w:id="3" w:name="O_199687"/>
      <w:bookmarkEnd w:id="3"/>
      <w:r w:rsidRPr="00132D0E">
        <w:t>Application of the Unit</w:t>
      </w:r>
    </w:p>
    <w:tbl>
      <w:tblPr>
        <w:tblW w:w="0" w:type="auto"/>
        <w:tblLayout w:type="fixed"/>
        <w:tblCellMar>
          <w:left w:w="62" w:type="dxa"/>
          <w:right w:w="62" w:type="dxa"/>
        </w:tblCellMar>
        <w:tblLook w:val="0000"/>
      </w:tblPr>
      <w:tblGrid>
        <w:gridCol w:w="2707"/>
        <w:gridCol w:w="5815"/>
      </w:tblGrid>
      <w:tr w:rsidTr="009F6EF2">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This unit of competency supports the needs of experienced tradespeople with responsibility for testing and commissioning fire alarm and detection systems.</w:t>
            </w:r>
          </w:p>
          <w:p w:rsidR="00000000" w:rsidRPr="00132D0E" w:rsidP="00132D0E">
            <w:pPr>
              <w:pStyle w:val="BodyText"/>
            </w:pPr>
            <w:r w:rsidRPr="00132D0E">
              <w:t>Site location for work application may be a n</w:t>
            </w:r>
            <w:r w:rsidRPr="00132D0E">
              <w:t xml:space="preserve">ew work site or an existing structure being renovated, extended, restored or maintained. </w:t>
            </w:r>
          </w:p>
        </w:tc>
      </w:tr>
    </w:tbl>
    <w:p w:rsidR="009F6EF2" w:rsidP="00132D0E">
      <w:pPr>
        <w:pStyle w:val="BodyText"/>
      </w:pPr>
    </w:p>
    <w:p w:rsidR="009F6EF2" w:rsidP="00132D0E">
      <w:pPr>
        <w:pStyle w:val="BodyText"/>
      </w:pPr>
    </w:p>
    <w:p w:rsidR="00000000" w:rsidRPr="00132D0E" w:rsidP="00132D0E">
      <w:pPr>
        <w:pStyle w:val="Heading1"/>
      </w:pPr>
      <w:bookmarkStart w:id="4" w:name="O_278104"/>
      <w:bookmarkEnd w:id="4"/>
      <w:r w:rsidRPr="00132D0E">
        <w:t>Licensing/Regulatory Information</w:t>
      </w:r>
    </w:p>
    <w:p w:rsidR="00000000" w:rsidRPr="00132D0E" w:rsidP="00132D0E">
      <w:pPr>
        <w:pStyle w:val="BodyText"/>
      </w:pPr>
      <w:r w:rsidRPr="00132D0E">
        <w:t>Not Applicable</w:t>
      </w:r>
    </w:p>
    <w:p w:rsidR="00000000" w:rsidRPr="00132D0E" w:rsidP="00132D0E">
      <w:pPr>
        <w:pStyle w:val="AllowPageBreak"/>
      </w:pPr>
    </w:p>
    <w:p w:rsidR="00000000" w:rsidRPr="00132D0E" w:rsidP="00132D0E">
      <w:pPr>
        <w:pStyle w:val="Heading1"/>
      </w:pPr>
      <w:bookmarkStart w:id="5" w:name="O_199685"/>
      <w:bookmarkEnd w:id="5"/>
      <w:r w:rsidRPr="00132D0E">
        <w:t>Pre-Requisites</w:t>
      </w:r>
    </w:p>
    <w:tbl>
      <w:tblPr>
        <w:tblW w:w="0" w:type="auto"/>
        <w:tblLayout w:type="fixed"/>
        <w:tblCellMar>
          <w:left w:w="62" w:type="dxa"/>
          <w:right w:w="62" w:type="dxa"/>
        </w:tblCellMar>
        <w:tblLook w:val="0000"/>
      </w:tblPr>
      <w:tblGrid>
        <w:gridCol w:w="2718"/>
        <w:gridCol w:w="1322"/>
        <w:gridCol w:w="4482"/>
      </w:tblGrid>
      <w:tr w:rsidTr="009F6EF2">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t>Nil</w:t>
            </w:r>
          </w:p>
        </w:tc>
      </w:tr>
      <w:tr w:rsidTr="009F6EF2">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p>
        </w:tc>
      </w:tr>
      <w:tr w:rsidTr="009F6EF2">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132D0E" w:rsidP="00132D0E">
            <w:pPr>
              <w:pStyle w:val="BodyText"/>
            </w:pPr>
          </w:p>
        </w:tc>
      </w:tr>
    </w:tbl>
    <w:p w:rsidR="009F6EF2" w:rsidP="00132D0E">
      <w:pPr>
        <w:pStyle w:val="BodyText"/>
      </w:pPr>
    </w:p>
    <w:p w:rsidR="009F6EF2" w:rsidP="00132D0E">
      <w:pPr>
        <w:pStyle w:val="BodyText"/>
      </w:pPr>
    </w:p>
    <w:p w:rsidR="00000000" w:rsidRPr="00132D0E" w:rsidP="00132D0E">
      <w:pPr>
        <w:pStyle w:val="Heading1"/>
      </w:pPr>
      <w:bookmarkStart w:id="6" w:name="O_199684"/>
      <w:bookmarkEnd w:id="6"/>
      <w:r w:rsidRPr="00132D0E">
        <w:t>Employability Skills Information</w:t>
      </w:r>
    </w:p>
    <w:tbl>
      <w:tblPr>
        <w:tblW w:w="0" w:type="auto"/>
        <w:tblLayout w:type="fixed"/>
        <w:tblCellMar>
          <w:left w:w="62" w:type="dxa"/>
          <w:right w:w="62" w:type="dxa"/>
        </w:tblCellMar>
        <w:tblLook w:val="0000"/>
      </w:tblPr>
      <w:tblGrid>
        <w:gridCol w:w="2744"/>
        <w:gridCol w:w="5778"/>
      </w:tblGrid>
      <w:tr w:rsidTr="009F6EF2">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This unit contains employability skills.</w:t>
            </w:r>
          </w:p>
        </w:tc>
      </w:tr>
    </w:tbl>
    <w:p w:rsidR="009F6EF2" w:rsidP="00132D0E">
      <w:pPr>
        <w:pStyle w:val="BodyText"/>
      </w:pPr>
    </w:p>
    <w:p w:rsidR="009F6EF2" w:rsidP="00132D0E">
      <w:pPr>
        <w:pStyle w:val="BodyText"/>
      </w:pPr>
    </w:p>
    <w:p w:rsidR="00000000" w:rsidRPr="00132D0E" w:rsidP="00132D0E">
      <w:pPr>
        <w:pStyle w:val="Heading1"/>
      </w:pPr>
      <w:bookmarkStart w:id="7" w:name="O_287890"/>
      <w:bookmarkEnd w:id="7"/>
      <w:r w:rsidRPr="00132D0E">
        <w:t>Elements and Performance Criteria Pre-Content</w:t>
      </w:r>
    </w:p>
    <w:tbl>
      <w:tblPr>
        <w:tblW w:w="0" w:type="auto"/>
        <w:tblLayout w:type="fixed"/>
        <w:tblCellMar>
          <w:left w:w="62" w:type="dxa"/>
          <w:right w:w="62" w:type="dxa"/>
        </w:tblCellMar>
        <w:tblLook w:val="0000"/>
      </w:tblPr>
      <w:tblGrid>
        <w:gridCol w:w="2567"/>
        <w:gridCol w:w="5955"/>
      </w:tblGrid>
      <w:tr w:rsidTr="009F6EF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132D0E">
            <w:pPr>
              <w:pStyle w:val="BodyText"/>
              <w:rPr>
                <w:lang w:val="en-NZ"/>
              </w:rPr>
            </w:pPr>
            <w:r w:rsidRPr="00132D0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132D0E" w:rsidP="00132D0E">
            <w:pPr>
              <w:pStyle w:val="BodyText"/>
            </w:pPr>
            <w:r w:rsidRPr="00132D0E">
              <w:t>Performance criteria describe</w:t>
            </w:r>
            <w:r w:rsidRPr="00132D0E">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32D0E">
              <w:t>the evidence guide.</w:t>
            </w:r>
          </w:p>
        </w:tc>
      </w:tr>
    </w:tbl>
    <w:p w:rsidR="00000000" w:rsidRPr="00132D0E" w:rsidP="00132D0E">
      <w:pPr>
        <w:pStyle w:val="BodyText"/>
      </w:pPr>
    </w:p>
    <w:p w:rsidR="00000000" w:rsidRPr="00132D0E" w:rsidP="00132D0E">
      <w:pPr>
        <w:pStyle w:val="AllowPageBreak"/>
      </w:pPr>
    </w:p>
    <w:p w:rsidR="00000000" w:rsidRPr="00132D0E" w:rsidP="00132D0E">
      <w:pPr>
        <w:pStyle w:val="Heading1"/>
      </w:pPr>
      <w:bookmarkStart w:id="8" w:name="O_234557"/>
      <w:bookmarkEnd w:id="8"/>
      <w:r w:rsidRPr="00132D0E">
        <w:t>Elements and Performance Criteria</w:t>
      </w:r>
    </w:p>
    <w:tbl>
      <w:tblPr>
        <w:tblW w:w="0" w:type="auto"/>
        <w:tblLayout w:type="fixed"/>
        <w:tblCellMar>
          <w:left w:w="62" w:type="dxa"/>
          <w:right w:w="62" w:type="dxa"/>
        </w:tblCellMar>
        <w:tblLook w:val="0000"/>
      </w:tblPr>
      <w:tblGrid>
        <w:gridCol w:w="2567"/>
        <w:gridCol w:w="5955"/>
      </w:tblGrid>
      <w:tr w:rsidTr="009F6EF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132D0E" w:rsidP="00132D0E">
            <w:pPr>
              <w:pStyle w:val="BodyText"/>
            </w:pPr>
            <w:r w:rsidRPr="00132D0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132D0E">
            <w:pPr>
              <w:pStyle w:val="BodyText"/>
              <w:rPr>
                <w:lang w:val="en-NZ"/>
              </w:rPr>
            </w:pPr>
            <w:r w:rsidRPr="00132D0E">
              <w:rPr>
                <w:rStyle w:val="SpecialBold"/>
              </w:rPr>
              <w:t>PERFORMANCE CRITERIA</w:t>
            </w:r>
          </w:p>
        </w:tc>
      </w:tr>
      <w:tr w:rsidTr="009F6EF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32D0E">
            <w:pPr>
              <w:pStyle w:val="List"/>
              <w:rPr>
                <w:lang w:val="en-NZ"/>
              </w:rPr>
            </w:pPr>
            <w:r w:rsidRPr="00132D0E">
              <w:t>1.</w:t>
            </w:r>
            <w:r w:rsidRPr="00132D0E">
              <w:tab/>
              <w:t>Prepare for work.</w:t>
            </w:r>
          </w:p>
        </w:tc>
        <w:tc>
          <w:tcPr>
            <w:tcW w:w="5955" w:type="dxa"/>
            <w:tcBorders>
              <w:top w:val="nil"/>
              <w:left w:val="nil"/>
              <w:bottom w:val="nil"/>
              <w:right w:val="nil"/>
            </w:tcBorders>
            <w:tcMar>
              <w:top w:w="0" w:type="dxa"/>
              <w:left w:w="62" w:type="dxa"/>
              <w:bottom w:w="0" w:type="dxa"/>
              <w:right w:w="62" w:type="dxa"/>
            </w:tcMar>
          </w:tcPr>
          <w:p w:rsidR="00000000" w:rsidRPr="00132D0E" w:rsidP="00132D0E">
            <w:pPr>
              <w:pStyle w:val="List2"/>
            </w:pPr>
            <w:r w:rsidRPr="00132D0E">
              <w:t>1.1.</w:t>
            </w:r>
            <w:r w:rsidRPr="00132D0E">
              <w:tab/>
              <w:t>Drawings and specifications are obtained.</w:t>
            </w:r>
          </w:p>
          <w:p w:rsidR="00000000" w:rsidRPr="00132D0E" w:rsidP="00132D0E">
            <w:pPr>
              <w:pStyle w:val="List2"/>
            </w:pPr>
            <w:r w:rsidRPr="00132D0E">
              <w:t>1.2.</w:t>
            </w:r>
            <w:r w:rsidRPr="00132D0E">
              <w:tab/>
            </w:r>
            <w:r w:rsidRPr="00132D0E">
              <w:rPr>
                <w:rStyle w:val="BoldandItalics"/>
              </w:rPr>
              <w:t>Safety</w:t>
            </w:r>
            <w:r w:rsidRPr="00132D0E">
              <w:t xml:space="preserve"> (</w:t>
            </w:r>
            <w:r w:rsidRPr="00132D0E">
              <w:rPr>
                <w:rStyle w:val="BoldandItalics"/>
              </w:rPr>
              <w:t>OHS</w:t>
            </w:r>
            <w:r w:rsidRPr="00132D0E">
              <w:t>) requirements associated with the workplace environment and commis</w:t>
            </w:r>
            <w:r w:rsidRPr="00132D0E">
              <w:t xml:space="preserve">sioning fire alarm and detection systems are adhered to throughout the work. </w:t>
            </w:r>
          </w:p>
          <w:p w:rsidR="00000000" w:rsidRPr="00132D0E" w:rsidP="00132D0E">
            <w:pPr>
              <w:pStyle w:val="List2"/>
            </w:pPr>
            <w:r w:rsidRPr="00132D0E">
              <w:t>1.3.</w:t>
            </w:r>
            <w:r w:rsidRPr="00132D0E">
              <w:tab/>
            </w:r>
            <w:r w:rsidRPr="00132D0E">
              <w:rPr>
                <w:rStyle w:val="BoldandItalics"/>
              </w:rPr>
              <w:t>Quality assurance</w:t>
            </w:r>
            <w:r w:rsidRPr="00132D0E">
              <w:t xml:space="preserve"> requirements are identified and adhered to in accordance with workplace requirements. </w:t>
            </w:r>
          </w:p>
          <w:p w:rsidR="00000000" w:rsidRPr="00132D0E" w:rsidP="00132D0E">
            <w:pPr>
              <w:pStyle w:val="List2"/>
            </w:pPr>
            <w:r w:rsidRPr="00132D0E">
              <w:t>1.4.</w:t>
            </w:r>
            <w:r w:rsidRPr="00132D0E">
              <w:tab/>
              <w:t>Tasks are planned and sequenced in conjunction with others invo</w:t>
            </w:r>
            <w:r w:rsidRPr="00132D0E">
              <w:t>lved in or affected by the work.</w:t>
            </w:r>
          </w:p>
          <w:p w:rsidR="00000000" w:rsidRPr="00132D0E" w:rsidP="00132D0E">
            <w:pPr>
              <w:pStyle w:val="List2"/>
            </w:pPr>
            <w:r w:rsidRPr="00132D0E">
              <w:t>1.5.</w:t>
            </w:r>
            <w:r w:rsidRPr="00132D0E">
              <w:tab/>
            </w:r>
            <w:r w:rsidRPr="00132D0E">
              <w:rPr>
                <w:rStyle w:val="BoldandItalics"/>
              </w:rPr>
              <w:t>Tools and equipment</w:t>
            </w:r>
            <w:r w:rsidRPr="00132D0E">
              <w:t xml:space="preserve"> for </w:t>
            </w:r>
            <w:r w:rsidRPr="00132D0E">
              <w:rPr>
                <w:rStyle w:val="BoldandItalics"/>
              </w:rPr>
              <w:t>commissioning fire alarm and detection systems</w:t>
            </w:r>
            <w:r w:rsidRPr="00132D0E">
              <w:t xml:space="preserve">, including personal protective equipment, are selected and checked for serviceability. </w:t>
            </w:r>
          </w:p>
          <w:p w:rsidR="00000000" w:rsidP="00132D0E">
            <w:pPr>
              <w:pStyle w:val="List2"/>
              <w:rPr>
                <w:lang w:val="en-NZ"/>
              </w:rPr>
            </w:pPr>
            <w:r w:rsidRPr="00132D0E">
              <w:t>1.6.</w:t>
            </w:r>
            <w:r w:rsidRPr="00132D0E">
              <w:tab/>
              <w:t>Work area is prepared to support efficient commissioni</w:t>
            </w:r>
            <w:r w:rsidRPr="00132D0E">
              <w:t>ng process.</w:t>
            </w:r>
          </w:p>
        </w:tc>
      </w:tr>
      <w:tr w:rsidTr="009F6EF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32D0E">
            <w:pPr>
              <w:pStyle w:val="List"/>
              <w:rPr>
                <w:lang w:val="en-NZ"/>
              </w:rPr>
            </w:pPr>
            <w:r w:rsidRPr="00132D0E">
              <w:t>2.</w:t>
            </w:r>
            <w:r w:rsidRPr="00132D0E">
              <w:tab/>
              <w:t>Identify system requirements.</w:t>
            </w:r>
          </w:p>
        </w:tc>
        <w:tc>
          <w:tcPr>
            <w:tcW w:w="5955" w:type="dxa"/>
            <w:tcBorders>
              <w:top w:val="nil"/>
              <w:left w:val="nil"/>
              <w:bottom w:val="nil"/>
              <w:right w:val="nil"/>
            </w:tcBorders>
            <w:tcMar>
              <w:top w:w="0" w:type="dxa"/>
              <w:left w:w="62" w:type="dxa"/>
              <w:bottom w:w="0" w:type="dxa"/>
              <w:right w:w="62" w:type="dxa"/>
            </w:tcMar>
          </w:tcPr>
          <w:p w:rsidR="00000000" w:rsidRPr="00132D0E" w:rsidP="00132D0E">
            <w:pPr>
              <w:pStyle w:val="List2"/>
            </w:pPr>
            <w:r w:rsidRPr="00132D0E">
              <w:t>2.1.</w:t>
            </w:r>
            <w:r w:rsidRPr="00132D0E">
              <w:tab/>
              <w:t xml:space="preserve">System design requirements are identified and confirmed from job specifications and in accordance with </w:t>
            </w:r>
            <w:r w:rsidRPr="00132D0E">
              <w:rPr>
                <w:rStyle w:val="BoldandItalics"/>
              </w:rPr>
              <w:t>relevant standards</w:t>
            </w:r>
            <w:r w:rsidRPr="00132D0E">
              <w:t xml:space="preserve">. </w:t>
            </w:r>
          </w:p>
          <w:p w:rsidR="00000000" w:rsidP="00132D0E">
            <w:pPr>
              <w:pStyle w:val="List2"/>
              <w:rPr>
                <w:lang w:val="en-NZ"/>
              </w:rPr>
            </w:pPr>
            <w:r w:rsidRPr="00132D0E">
              <w:t>2.2.</w:t>
            </w:r>
            <w:r w:rsidRPr="00132D0E">
              <w:tab/>
            </w:r>
            <w:r w:rsidRPr="00132D0E">
              <w:t xml:space="preserve">Requirements of fire alarm and detection system commissioning are identified in accordance with relevant Australian standards, </w:t>
            </w:r>
            <w:r w:rsidRPr="00132D0E">
              <w:rPr>
                <w:rStyle w:val="BoldandItalics"/>
              </w:rPr>
              <w:t>statutory and regulatory authority</w:t>
            </w:r>
            <w:r w:rsidRPr="00132D0E">
              <w:t xml:space="preserve"> requirements and job specifications. </w:t>
            </w:r>
          </w:p>
        </w:tc>
      </w:tr>
      <w:tr w:rsidTr="009F6EF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32D0E">
            <w:pPr>
              <w:pStyle w:val="List"/>
              <w:rPr>
                <w:lang w:val="en-NZ"/>
              </w:rPr>
            </w:pPr>
            <w:r w:rsidRPr="00132D0E">
              <w:t>3.</w:t>
            </w:r>
            <w:r w:rsidRPr="00132D0E">
              <w:tab/>
              <w:t>Test and commission system.</w:t>
            </w:r>
          </w:p>
        </w:tc>
        <w:tc>
          <w:tcPr>
            <w:tcW w:w="5955" w:type="dxa"/>
            <w:tcBorders>
              <w:top w:val="nil"/>
              <w:left w:val="nil"/>
              <w:bottom w:val="nil"/>
              <w:right w:val="nil"/>
            </w:tcBorders>
            <w:tcMar>
              <w:top w:w="0" w:type="dxa"/>
              <w:left w:w="62" w:type="dxa"/>
              <w:bottom w:w="0" w:type="dxa"/>
              <w:right w:w="62" w:type="dxa"/>
            </w:tcMar>
          </w:tcPr>
          <w:p w:rsidR="00000000" w:rsidRPr="00132D0E" w:rsidP="00132D0E">
            <w:pPr>
              <w:pStyle w:val="List2"/>
            </w:pPr>
            <w:r w:rsidRPr="00132D0E">
              <w:t>3.1.</w:t>
            </w:r>
            <w:r w:rsidRPr="00132D0E">
              <w:tab/>
              <w:t>Fire alarm and dete</w:t>
            </w:r>
            <w:r w:rsidRPr="00132D0E">
              <w:t>ction systems are checked to ensure type and installation conform to relevant Australian standard, job specifications, manufacturer recommendations and authorities' requirements.</w:t>
            </w:r>
          </w:p>
          <w:p w:rsidR="00000000" w:rsidRPr="00132D0E" w:rsidP="00132D0E">
            <w:pPr>
              <w:pStyle w:val="List2"/>
            </w:pPr>
            <w:r w:rsidRPr="00132D0E">
              <w:t>3.2.</w:t>
            </w:r>
            <w:r w:rsidRPr="00132D0E">
              <w:tab/>
              <w:t>Operation of system is tested in accordance with job specifications, man</w:t>
            </w:r>
            <w:r w:rsidRPr="00132D0E">
              <w:t>ufacturer recommendations and authorities' requirements and adjusted as required.</w:t>
            </w:r>
          </w:p>
          <w:p w:rsidR="00000000" w:rsidP="00132D0E">
            <w:pPr>
              <w:pStyle w:val="List2"/>
              <w:rPr>
                <w:lang w:val="en-NZ"/>
              </w:rPr>
            </w:pPr>
            <w:r w:rsidRPr="00132D0E">
              <w:t>3.3.</w:t>
            </w:r>
            <w:r w:rsidRPr="00132D0E">
              <w:tab/>
              <w:t>System is commissioned and maintained to ensure correct operation in accordance with relevant standards, and manufacturer and job specifications.</w:t>
            </w:r>
          </w:p>
        </w:tc>
      </w:tr>
      <w:tr w:rsidTr="009F6EF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132D0E">
            <w:pPr>
              <w:pStyle w:val="List"/>
              <w:rPr>
                <w:lang w:val="en-NZ"/>
              </w:rPr>
            </w:pPr>
            <w:r w:rsidRPr="00132D0E">
              <w:t>4.</w:t>
            </w:r>
            <w:r w:rsidRPr="00132D0E">
              <w:tab/>
              <w:t>Clean up work area.</w:t>
            </w:r>
          </w:p>
        </w:tc>
        <w:tc>
          <w:tcPr>
            <w:tcW w:w="5955" w:type="dxa"/>
            <w:tcBorders>
              <w:top w:val="nil"/>
              <w:left w:val="nil"/>
              <w:bottom w:val="nil"/>
              <w:right w:val="nil"/>
            </w:tcBorders>
            <w:tcMar>
              <w:top w:w="0" w:type="dxa"/>
              <w:left w:w="62" w:type="dxa"/>
              <w:bottom w:w="0" w:type="dxa"/>
              <w:right w:w="62" w:type="dxa"/>
            </w:tcMar>
          </w:tcPr>
          <w:p w:rsidR="00000000" w:rsidRPr="00132D0E" w:rsidP="00132D0E">
            <w:pPr>
              <w:pStyle w:val="List2"/>
            </w:pPr>
            <w:r w:rsidRPr="00132D0E">
              <w:t>4.1.</w:t>
            </w:r>
            <w:r w:rsidRPr="00132D0E">
              <w:tab/>
              <w:t>Work area is cleared and materials disposed of or recycled in accordance with federal, state and territory legislation and workplace procedures.</w:t>
            </w:r>
          </w:p>
          <w:p w:rsidR="00000000" w:rsidRPr="00132D0E" w:rsidP="00132D0E">
            <w:pPr>
              <w:pStyle w:val="List2"/>
            </w:pPr>
            <w:r w:rsidRPr="00132D0E">
              <w:t>4.2.</w:t>
            </w:r>
            <w:r w:rsidRPr="00132D0E">
              <w:tab/>
              <w:t>Tools and equipment are cleaned, checked, maintained and stored in accordance with manufacturer reco</w:t>
            </w:r>
            <w:r w:rsidRPr="00132D0E">
              <w:t>mmendations and workplace procedures.</w:t>
            </w:r>
          </w:p>
          <w:p w:rsidR="00000000" w:rsidRPr="00132D0E" w:rsidP="00132D0E">
            <w:pPr>
              <w:pStyle w:val="List2"/>
            </w:pPr>
            <w:r w:rsidRPr="00132D0E">
              <w:t>4.3.</w:t>
            </w:r>
            <w:r w:rsidRPr="00132D0E">
              <w:tab/>
              <w:t>Information is accessed and documentation completed in accordance with workplace requirements.</w:t>
            </w:r>
          </w:p>
        </w:tc>
      </w:tr>
    </w:tbl>
    <w:p w:rsidR="009F6EF2" w:rsidP="00132D0E">
      <w:pPr>
        <w:pStyle w:val="BodyText"/>
      </w:pPr>
    </w:p>
    <w:p w:rsidR="009F6EF2" w:rsidP="00132D0E">
      <w:pPr>
        <w:pStyle w:val="BodyText"/>
      </w:pPr>
    </w:p>
    <w:p w:rsidR="00000000" w:rsidRPr="00132D0E" w:rsidP="00132D0E">
      <w:pPr>
        <w:pStyle w:val="Heading1"/>
      </w:pPr>
      <w:bookmarkStart w:id="9" w:name="O_258507"/>
      <w:bookmarkEnd w:id="9"/>
      <w:r w:rsidRPr="00132D0E">
        <w:t>Required Skills and Knowledge</w:t>
      </w:r>
    </w:p>
    <w:tbl>
      <w:tblPr>
        <w:tblW w:w="0" w:type="auto"/>
        <w:tblLayout w:type="fixed"/>
        <w:tblCellMar>
          <w:left w:w="62" w:type="dxa"/>
          <w:right w:w="62" w:type="dxa"/>
        </w:tblCellMar>
        <w:tblLook w:val="0000"/>
      </w:tblPr>
      <w:tblGrid>
        <w:gridCol w:w="8522"/>
      </w:tblGrid>
      <w:tr w:rsidTr="009F6EF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REQUIRED SKILLS AND KNOWLEDGE</w:t>
            </w:r>
          </w:p>
        </w:tc>
      </w:tr>
      <w:tr w:rsidTr="009F6E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t>This section describes the skills and knowledge required for this unit.</w:t>
            </w:r>
          </w:p>
        </w:tc>
      </w:tr>
      <w:tr w:rsidTr="009F6E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Required skills</w:t>
            </w:r>
          </w:p>
        </w:tc>
      </w:tr>
      <w:tr w:rsidTr="009F6E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Required skills for this unit are:</w:t>
            </w:r>
          </w:p>
          <w:p w:rsidR="00000000" w:rsidRPr="00132D0E" w:rsidP="00132D0E">
            <w:pPr>
              <w:pStyle w:val="ListBullet"/>
            </w:pPr>
            <w:r w:rsidRPr="00132D0E">
              <w:t>communication skills to:</w:t>
            </w:r>
          </w:p>
          <w:p w:rsidR="00000000" w:rsidRPr="00132D0E" w:rsidP="00132D0E">
            <w:pPr>
              <w:pStyle w:val="ListBullet2"/>
            </w:pPr>
            <w:r w:rsidRPr="00132D0E">
              <w:t>access information</w:t>
            </w:r>
          </w:p>
          <w:p w:rsidR="00000000" w:rsidRPr="00132D0E" w:rsidP="00132D0E">
            <w:pPr>
              <w:pStyle w:val="ListBullet2"/>
            </w:pPr>
            <w:r w:rsidRPr="00132D0E">
              <w:t>complete workplace documentation</w:t>
            </w:r>
          </w:p>
          <w:p w:rsidR="00000000" w:rsidRPr="00132D0E" w:rsidP="00132D0E">
            <w:pPr>
              <w:pStyle w:val="ListBullet2"/>
            </w:pPr>
            <w:r w:rsidRPr="00132D0E">
              <w:t>determine requirements</w:t>
            </w:r>
          </w:p>
          <w:p w:rsidR="00000000" w:rsidRPr="00132D0E" w:rsidP="00132D0E">
            <w:pPr>
              <w:pStyle w:val="ListBullet2"/>
            </w:pPr>
            <w:r w:rsidRPr="00132D0E">
              <w:t>enable clear and direct communication, using questioning to identify and confirm requirements, share information, listen and understand</w:t>
            </w:r>
          </w:p>
          <w:p w:rsidR="00000000" w:rsidRPr="00132D0E" w:rsidP="00132D0E">
            <w:pPr>
              <w:pStyle w:val="ListBullet2"/>
            </w:pPr>
            <w:r w:rsidRPr="00132D0E">
              <w:t>follow and give instructions</w:t>
            </w:r>
          </w:p>
          <w:p w:rsidR="00000000" w:rsidRPr="00132D0E" w:rsidP="00132D0E">
            <w:pPr>
              <w:pStyle w:val="ListBullet2"/>
            </w:pPr>
            <w:r w:rsidRPr="00132D0E">
              <w:t>plan and sequence tasks with others</w:t>
            </w:r>
          </w:p>
          <w:p w:rsidR="00000000" w:rsidRPr="00132D0E" w:rsidP="00132D0E">
            <w:pPr>
              <w:pStyle w:val="ListBullet2"/>
            </w:pPr>
            <w:r w:rsidRPr="00132D0E">
              <w:t>read and interpret:</w:t>
            </w:r>
          </w:p>
          <w:p w:rsidR="00000000" w:rsidRPr="00132D0E" w:rsidP="00132D0E">
            <w:pPr>
              <w:pStyle w:val="ListBullet3"/>
            </w:pPr>
            <w:r w:rsidRPr="00132D0E">
              <w:t>documentation from a variety of so</w:t>
            </w:r>
            <w:r w:rsidRPr="00132D0E">
              <w:t>urces</w:t>
            </w:r>
          </w:p>
          <w:p w:rsidR="00000000" w:rsidRPr="00132D0E" w:rsidP="00132D0E">
            <w:pPr>
              <w:pStyle w:val="ListBullet3"/>
            </w:pPr>
            <w:r w:rsidRPr="00132D0E">
              <w:t>drawings and specifications</w:t>
            </w:r>
          </w:p>
          <w:p w:rsidR="00000000" w:rsidRPr="00132D0E" w:rsidP="00132D0E">
            <w:pPr>
              <w:pStyle w:val="ListBullet2"/>
            </w:pPr>
            <w:r w:rsidRPr="00132D0E">
              <w:t>use language and concepts appropriate to cultural differences</w:t>
            </w:r>
          </w:p>
          <w:p w:rsidR="00000000" w:rsidRPr="00132D0E" w:rsidP="00132D0E">
            <w:pPr>
              <w:pStyle w:val="ListBullet2"/>
            </w:pPr>
            <w:r w:rsidRPr="00132D0E">
              <w:t>use and interpret non-verbal communication, such as hand signals</w:t>
            </w:r>
          </w:p>
          <w:p w:rsidR="00000000" w:rsidRPr="00132D0E" w:rsidP="00132D0E">
            <w:pPr>
              <w:pStyle w:val="ListBullet"/>
            </w:pPr>
            <w:r w:rsidRPr="00132D0E">
              <w:t xml:space="preserve">identifying and accurately reporting to appropriate personnel any faults in tools, equipment </w:t>
            </w:r>
            <w:r w:rsidRPr="00132D0E">
              <w:t>or materials</w:t>
            </w:r>
          </w:p>
          <w:p w:rsidR="00000000" w:rsidRPr="00132D0E" w:rsidP="00132D0E">
            <w:pPr>
              <w:pStyle w:val="ListBullet"/>
            </w:pPr>
            <w:r w:rsidRPr="00132D0E">
              <w:t>numeracy skills to apply measurements and calculations</w:t>
            </w:r>
          </w:p>
          <w:p w:rsidR="00000000" w:rsidRPr="00132D0E" w:rsidP="00132D0E">
            <w:pPr>
              <w:pStyle w:val="ListBullet"/>
            </w:pPr>
            <w:r w:rsidRPr="00132D0E">
              <w:t>organisational skills, including the ability to plan and set out work</w:t>
            </w:r>
          </w:p>
          <w:p w:rsidR="00000000" w:rsidRPr="00132D0E" w:rsidP="00132D0E">
            <w:pPr>
              <w:pStyle w:val="ListBullet"/>
            </w:pPr>
            <w:r w:rsidRPr="00132D0E">
              <w:t xml:space="preserve">teamwork skills to able to coordinate and action tasks, work with others and relate to people from </w:t>
            </w:r>
            <w:r w:rsidRPr="00132D0E">
              <w:t>a range of cultural and ethnic backgrounds and with varying physical and mental abilities</w:t>
            </w:r>
          </w:p>
          <w:p w:rsidR="00000000" w:rsidRPr="00132D0E" w:rsidP="00132D0E">
            <w:pPr>
              <w:pStyle w:val="ListBullet"/>
            </w:pPr>
            <w:r w:rsidRPr="00132D0E">
              <w:t>technological skills to:</w:t>
            </w:r>
          </w:p>
          <w:p w:rsidR="00000000" w:rsidRPr="00132D0E" w:rsidP="00132D0E">
            <w:pPr>
              <w:pStyle w:val="ListBullet2"/>
            </w:pPr>
            <w:r w:rsidRPr="00132D0E">
              <w:t>access and understand site-specific instructions in a variety of media</w:t>
            </w:r>
          </w:p>
          <w:p w:rsidR="00000000" w:rsidP="00132D0E">
            <w:pPr>
              <w:pStyle w:val="ListBullet2"/>
              <w:rPr>
                <w:lang w:val="en-NZ"/>
              </w:rPr>
            </w:pPr>
            <w:r w:rsidRPr="00132D0E">
              <w:t>use mobile communication technology.</w:t>
            </w:r>
          </w:p>
        </w:tc>
      </w:tr>
      <w:tr w:rsidTr="009F6E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Required knowledge</w:t>
            </w:r>
          </w:p>
        </w:tc>
      </w:tr>
      <w:tr w:rsidTr="009F6E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Required knowledge for this unit is:</w:t>
            </w:r>
          </w:p>
          <w:p w:rsidR="00000000" w:rsidRPr="00132D0E" w:rsidP="00132D0E">
            <w:pPr>
              <w:pStyle w:val="ListBullet"/>
            </w:pPr>
            <w:r w:rsidRPr="00132D0E">
              <w:t>components and materials of fire alarm and detection systems</w:t>
            </w:r>
          </w:p>
          <w:p w:rsidR="00000000" w:rsidRPr="00132D0E" w:rsidP="00132D0E">
            <w:pPr>
              <w:pStyle w:val="ListBullet"/>
            </w:pPr>
            <w:r w:rsidRPr="00132D0E">
              <w:t>job safety analysis (JSA) and safe work method statements (SWMS)</w:t>
            </w:r>
          </w:p>
          <w:p w:rsidR="00000000" w:rsidRPr="00132D0E" w:rsidP="00132D0E">
            <w:pPr>
              <w:pStyle w:val="ListBullet"/>
            </w:pPr>
            <w:r w:rsidRPr="00132D0E">
              <w:t>process of installing, testing and commissioning fire alarm and detection systems</w:t>
            </w:r>
          </w:p>
          <w:p w:rsidR="00000000" w:rsidRPr="00132D0E" w:rsidP="00132D0E">
            <w:pPr>
              <w:pStyle w:val="ListBullet"/>
            </w:pPr>
            <w:r w:rsidRPr="00132D0E">
              <w:t>properties</w:t>
            </w:r>
            <w:r w:rsidRPr="00132D0E">
              <w:t xml:space="preserve"> of water, including pressure and flow rates</w:t>
            </w:r>
          </w:p>
          <w:p w:rsidR="00000000" w:rsidRPr="00132D0E" w:rsidP="00132D0E">
            <w:pPr>
              <w:pStyle w:val="ListBullet"/>
            </w:pPr>
            <w:r w:rsidRPr="00132D0E">
              <w:t>relevant statutory and authority requirements related to commissioning fire alarm and detection systems, including automatic smoke and heat venting systems, air handling systems, and emergency warning and interc</w:t>
            </w:r>
            <w:r w:rsidRPr="00132D0E">
              <w:t>ommunication systems</w:t>
            </w:r>
          </w:p>
          <w:p w:rsidR="00000000" w:rsidRPr="00132D0E" w:rsidP="00132D0E">
            <w:pPr>
              <w:pStyle w:val="ListBullet"/>
            </w:pPr>
            <w:r w:rsidRPr="00132D0E">
              <w:t>SI system of units</w:t>
            </w:r>
          </w:p>
          <w:p w:rsidR="00000000" w:rsidRPr="00132D0E" w:rsidP="00132D0E">
            <w:pPr>
              <w:pStyle w:val="ListBullet"/>
            </w:pPr>
            <w:r w:rsidRPr="00132D0E">
              <w:t>sources of information and processes for calculating material requirements</w:t>
            </w:r>
          </w:p>
          <w:p w:rsidR="00000000" w:rsidRPr="00132D0E" w:rsidP="00132D0E">
            <w:pPr>
              <w:pStyle w:val="ListBullet"/>
            </w:pPr>
            <w:r w:rsidRPr="00132D0E">
              <w:t>standards applicable to the service</w:t>
            </w:r>
          </w:p>
          <w:p w:rsidR="00000000" w:rsidRPr="00132D0E" w:rsidP="00132D0E">
            <w:pPr>
              <w:pStyle w:val="ListBullet"/>
            </w:pPr>
            <w:r w:rsidRPr="00132D0E">
              <w:t>systems operations and procedures</w:t>
            </w:r>
          </w:p>
          <w:p w:rsidR="00000000" w:rsidRPr="00132D0E" w:rsidP="00132D0E">
            <w:pPr>
              <w:pStyle w:val="ListBullet"/>
            </w:pPr>
            <w:r w:rsidRPr="00132D0E">
              <w:t>workplace and equipment safety requirements.</w:t>
            </w:r>
          </w:p>
        </w:tc>
      </w:tr>
    </w:tbl>
    <w:p w:rsidR="009F6EF2" w:rsidP="00132D0E">
      <w:pPr>
        <w:pStyle w:val="BodyText"/>
      </w:pPr>
    </w:p>
    <w:p w:rsidR="009F6EF2" w:rsidP="00132D0E">
      <w:pPr>
        <w:pStyle w:val="BodyText"/>
      </w:pPr>
    </w:p>
    <w:p w:rsidR="00000000" w:rsidRPr="00132D0E" w:rsidP="00132D0E">
      <w:pPr>
        <w:pStyle w:val="AllowPageBreak"/>
      </w:pPr>
    </w:p>
    <w:p w:rsidR="00000000" w:rsidRPr="00132D0E" w:rsidP="00132D0E">
      <w:pPr>
        <w:pStyle w:val="Heading1"/>
      </w:pPr>
      <w:bookmarkStart w:id="10" w:name="O_242541"/>
      <w:bookmarkEnd w:id="10"/>
      <w:r w:rsidRPr="00132D0E">
        <w:t>Evidence Guide</w:t>
      </w:r>
    </w:p>
    <w:tbl>
      <w:tblPr>
        <w:tblW w:w="0" w:type="auto"/>
        <w:tblLayout w:type="fixed"/>
        <w:tblCellMar>
          <w:left w:w="62" w:type="dxa"/>
          <w:right w:w="62" w:type="dxa"/>
        </w:tblCellMar>
        <w:tblLook w:val="0000"/>
      </w:tblPr>
      <w:tblGrid>
        <w:gridCol w:w="3497"/>
        <w:gridCol w:w="5025"/>
      </w:tblGrid>
      <w:tr w:rsidTr="009F6EF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32D0E">
            <w:pPr>
              <w:pStyle w:val="BodyText"/>
              <w:rPr>
                <w:lang w:val="en-NZ"/>
              </w:rPr>
            </w:pPr>
            <w:r w:rsidRPr="00132D0E">
              <w:rPr>
                <w:rStyle w:val="SpecialBold"/>
              </w:rPr>
              <w:t>EVIDENCE GUIDE</w:t>
            </w:r>
          </w:p>
        </w:tc>
      </w:tr>
      <w:tr w:rsidTr="009F6EF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32D0E">
            <w:pPr>
              <w:pStyle w:val="BodyText"/>
              <w:rPr>
                <w:lang w:val="en-NZ"/>
              </w:rPr>
            </w:pPr>
            <w:r w:rsidRPr="00132D0E">
              <w:t xml:space="preserve">The evidence guide provides advice on assessment and must be read in conjunction with the performance criteria, required skills and knowledge, </w:t>
            </w:r>
            <w:r w:rsidRPr="00132D0E">
              <w:t>range statement and the Assessment Guidelines for the Training Package.</w:t>
            </w:r>
          </w:p>
        </w:tc>
      </w:tr>
      <w:tr w:rsidTr="009F6EF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Overview of assessment</w:t>
            </w:r>
          </w:p>
        </w:tc>
        <w:tc>
          <w:tcPr>
            <w:tcW w:w="5025"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This unit of competency could be assessed in the workplace or a close simulation of the workplace environment providing that simulated or project-based assessm</w:t>
            </w:r>
            <w:r w:rsidRPr="00132D0E">
              <w:t>ent techniques fully replicate plumbing and services workplace conditions, materials, activities, responsibilities and procedures.</w:t>
            </w:r>
          </w:p>
          <w:p w:rsidR="00000000" w:rsidP="00132D0E">
            <w:pPr>
              <w:pStyle w:val="BodyText"/>
              <w:rPr>
                <w:lang w:val="en-NZ"/>
              </w:rPr>
            </w:pPr>
            <w:r w:rsidRPr="00132D0E">
              <w:t>It may be assessed on its own or as part of an integrated assessment activity involving preparing, planning and conducting sy</w:t>
            </w:r>
            <w:r w:rsidRPr="00132D0E">
              <w:t xml:space="preserve">stem commissioning procedures for one fire alarm and detection system and completing all associated documentation. </w:t>
            </w:r>
          </w:p>
        </w:tc>
      </w:tr>
      <w:tr w:rsidTr="009F6EF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Critical aspects for assessment and evidence required to demonstrate competency in this unit</w:t>
            </w:r>
          </w:p>
        </w:tc>
        <w:tc>
          <w:tcPr>
            <w:tcW w:w="5025"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A person who demonstrates competency in this u</w:t>
            </w:r>
            <w:r w:rsidRPr="00132D0E">
              <w:t>nit must be able to provide evidence of:</w:t>
            </w:r>
          </w:p>
          <w:p w:rsidR="00000000" w:rsidRPr="00132D0E" w:rsidP="00132D0E">
            <w:pPr>
              <w:pStyle w:val="ListBullet"/>
            </w:pPr>
            <w:r w:rsidRPr="00132D0E">
              <w:t>locating, interpreting and applying relevant information, standards and specifications to commissioning fire alarm and detection systems</w:t>
            </w:r>
          </w:p>
          <w:p w:rsidR="00000000" w:rsidRPr="00132D0E" w:rsidP="00132D0E">
            <w:pPr>
              <w:pStyle w:val="ListBullet"/>
            </w:pPr>
            <w:r w:rsidRPr="00132D0E">
              <w:t>applying safety requirements throughout the work sequence, including the use of personal protective clothing and equipment</w:t>
            </w:r>
          </w:p>
          <w:p w:rsidR="00000000" w:rsidRPr="00132D0E" w:rsidP="00132D0E">
            <w:pPr>
              <w:pStyle w:val="ListBullet"/>
            </w:pPr>
            <w:r w:rsidRPr="00132D0E">
              <w:t>commissioning one fire alarm and detection system, including one smoke and one heat detector, plus an actuator and control and indica</w:t>
            </w:r>
            <w:r w:rsidRPr="00132D0E">
              <w:t>ting panel, ensuring:</w:t>
            </w:r>
          </w:p>
          <w:p w:rsidR="00000000" w:rsidRPr="00132D0E" w:rsidP="00132D0E">
            <w:pPr>
              <w:pStyle w:val="ListBullet2"/>
            </w:pPr>
            <w:r w:rsidRPr="00132D0E">
              <w:t>correctly identifying location, design specification and details of the system</w:t>
            </w:r>
          </w:p>
          <w:p w:rsidR="00000000" w:rsidRPr="00132D0E" w:rsidP="00132D0E">
            <w:pPr>
              <w:pStyle w:val="ListBullet2"/>
            </w:pPr>
            <w:r w:rsidRPr="00132D0E">
              <w:t>correctly selecting and using appropriate processes, tools and equipment</w:t>
            </w:r>
          </w:p>
          <w:p w:rsidR="00000000" w:rsidRPr="00132D0E" w:rsidP="00132D0E">
            <w:pPr>
              <w:pStyle w:val="ListBullet2"/>
            </w:pPr>
            <w:r w:rsidRPr="00132D0E">
              <w:t>completing all work to specification</w:t>
            </w:r>
          </w:p>
          <w:p w:rsidR="00000000" w:rsidP="00132D0E">
            <w:pPr>
              <w:pStyle w:val="ListBullet2"/>
              <w:rPr>
                <w:lang w:val="en-NZ"/>
              </w:rPr>
            </w:pPr>
            <w:r w:rsidRPr="00132D0E">
              <w:t>complying with regulations, standards and or</w:t>
            </w:r>
            <w:r w:rsidRPr="00132D0E">
              <w:t>ganisational quality procedures and processes.</w:t>
            </w:r>
          </w:p>
        </w:tc>
      </w:tr>
      <w:tr w:rsidTr="009F6EF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Context of and specific resources for assessment</w:t>
            </w:r>
          </w:p>
        </w:tc>
        <w:tc>
          <w:tcPr>
            <w:tcW w:w="5025"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This competency is to be assessed using standard and authorised work practices, safety requirements and environmental constraints.</w:t>
            </w:r>
          </w:p>
          <w:p w:rsidR="00000000" w:rsidRPr="00132D0E" w:rsidP="00132D0E">
            <w:pPr>
              <w:pStyle w:val="BodyText"/>
            </w:pPr>
            <w:r w:rsidRPr="00132D0E">
              <w:t>Assessment of essential underpinning knowledge will usually be conducted in an off-site context.</w:t>
            </w:r>
          </w:p>
          <w:p w:rsidR="00000000" w:rsidRPr="00132D0E" w:rsidP="00132D0E">
            <w:pPr>
              <w:pStyle w:val="BodyText"/>
            </w:pPr>
            <w:r w:rsidRPr="00132D0E">
              <w:t>Assessment is to comply with relevant regulatory or Australian standards' requirements.</w:t>
            </w:r>
          </w:p>
          <w:p w:rsidR="00000000" w:rsidRPr="00132D0E" w:rsidP="00132D0E">
            <w:pPr>
              <w:pStyle w:val="BodyText"/>
            </w:pPr>
            <w:r w:rsidRPr="00132D0E">
              <w:t>Resource implications for assessment include:</w:t>
            </w:r>
          </w:p>
          <w:p w:rsidR="00000000" w:rsidRPr="00132D0E" w:rsidP="00132D0E">
            <w:pPr>
              <w:pStyle w:val="ListBullet"/>
            </w:pPr>
            <w:r w:rsidRPr="00132D0E">
              <w:t>an induction procedure a</w:t>
            </w:r>
            <w:r w:rsidRPr="00132D0E">
              <w:t>nd requirement</w:t>
            </w:r>
          </w:p>
          <w:p w:rsidR="00000000" w:rsidRPr="00132D0E" w:rsidP="00132D0E">
            <w:pPr>
              <w:pStyle w:val="ListBullet"/>
            </w:pPr>
            <w:r w:rsidRPr="00132D0E">
              <w:t>realistic tasks or simulated tasks covering the minimum task requirements</w:t>
            </w:r>
          </w:p>
          <w:p w:rsidR="00000000" w:rsidRPr="00132D0E" w:rsidP="00132D0E">
            <w:pPr>
              <w:pStyle w:val="ListBullet"/>
            </w:pPr>
            <w:r w:rsidRPr="00132D0E">
              <w:t>relevant specifications and work instructions</w:t>
            </w:r>
          </w:p>
          <w:p w:rsidR="00000000" w:rsidRPr="00132D0E" w:rsidP="00132D0E">
            <w:pPr>
              <w:pStyle w:val="ListBullet"/>
            </w:pPr>
            <w:r w:rsidRPr="00132D0E">
              <w:t>tools and equipment appropriate to applying safe work practices</w:t>
            </w:r>
          </w:p>
          <w:p w:rsidR="00000000" w:rsidRPr="00132D0E" w:rsidP="00132D0E">
            <w:pPr>
              <w:pStyle w:val="ListBullet"/>
            </w:pPr>
            <w:r w:rsidRPr="00132D0E">
              <w:t>support materials appropriate to activity</w:t>
            </w:r>
          </w:p>
          <w:p w:rsidR="00000000" w:rsidRPr="00132D0E" w:rsidP="00132D0E">
            <w:pPr>
              <w:pStyle w:val="ListBullet"/>
            </w:pPr>
            <w:r w:rsidRPr="00132D0E">
              <w:t>workplace instr</w:t>
            </w:r>
            <w:r w:rsidRPr="00132D0E">
              <w:t>uctions relating to safe working practices and addressing hazards and emergencies</w:t>
            </w:r>
          </w:p>
          <w:p w:rsidR="00000000" w:rsidRPr="00132D0E" w:rsidP="00132D0E">
            <w:pPr>
              <w:pStyle w:val="ListBullet"/>
            </w:pPr>
            <w:r w:rsidRPr="00132D0E">
              <w:t>material safety data sheets</w:t>
            </w:r>
          </w:p>
          <w:p w:rsidR="00000000" w:rsidRPr="00132D0E" w:rsidP="00132D0E">
            <w:pPr>
              <w:pStyle w:val="ListBullet"/>
            </w:pPr>
            <w:r w:rsidRPr="00132D0E">
              <w:t>research resources, including industry related systems information.</w:t>
            </w:r>
          </w:p>
          <w:p w:rsidR="00000000" w:rsidP="00132D0E">
            <w:pPr>
              <w:pStyle w:val="BodyText"/>
              <w:rPr>
                <w:lang w:val="en-NZ"/>
              </w:rPr>
            </w:pPr>
            <w:r w:rsidRPr="00132D0E">
              <w:t>Reasonable adjustments for people with disabilities must be made to assessment</w:t>
            </w:r>
            <w:r w:rsidRPr="00132D0E">
              <w:t xml:space="preserve"> processes where required. This could include access to modified equipment and other physical resources, and the provision of appropriate assessment support. </w:t>
            </w:r>
          </w:p>
        </w:tc>
      </w:tr>
      <w:tr w:rsidTr="009F6EF2">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Method of assessment</w:t>
            </w:r>
          </w:p>
        </w:tc>
        <w:tc>
          <w:tcPr>
            <w:tcW w:w="5025"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Assessment methods must:</w:t>
            </w:r>
          </w:p>
          <w:p w:rsidR="00000000" w:rsidRPr="00132D0E" w:rsidP="00132D0E">
            <w:pPr>
              <w:pStyle w:val="ListBullet"/>
            </w:pPr>
            <w:r w:rsidRPr="00132D0E">
              <w:t>satisfy the endorsed Assessment Guidelines of the Construction, Plumbing and Services Training Package</w:t>
            </w:r>
          </w:p>
          <w:p w:rsidR="00000000" w:rsidRPr="00132D0E" w:rsidP="00132D0E">
            <w:pPr>
              <w:pStyle w:val="ListBullet"/>
            </w:pPr>
            <w:r w:rsidRPr="00132D0E">
              <w:t xml:space="preserve">include direct observation of tasks in real or simulated work conditions, with questioning to confirm the ability to consistently identify and correctly </w:t>
            </w:r>
            <w:r w:rsidRPr="00132D0E">
              <w:t>interpret the essential underpinning knowledge required for practical application</w:t>
            </w:r>
          </w:p>
          <w:p w:rsidR="00000000" w:rsidRPr="00132D0E" w:rsidP="00132D0E">
            <w:pPr>
              <w:pStyle w:val="ListBullet"/>
            </w:pPr>
            <w:r w:rsidRPr="00132D0E">
              <w:t>reinforce the integration of employability skills with workplace tasks and job roles</w:t>
            </w:r>
          </w:p>
          <w:p w:rsidR="00000000" w:rsidRPr="00132D0E" w:rsidP="00132D0E">
            <w:pPr>
              <w:pStyle w:val="ListBullet"/>
            </w:pPr>
            <w:r w:rsidRPr="00132D0E">
              <w:t>confirm that competency is verified and able to be transferred to other circumstances and</w:t>
            </w:r>
            <w:r w:rsidRPr="00132D0E">
              <w:t xml:space="preserve"> environments.</w:t>
            </w:r>
          </w:p>
          <w:p w:rsidR="00000000" w:rsidRPr="00132D0E" w:rsidP="00132D0E">
            <w:pPr>
              <w:pStyle w:val="BodyText"/>
            </w:pPr>
            <w:r w:rsidRPr="00132D0E">
              <w:t>Validity and sufficiency of evidence requires that:</w:t>
            </w:r>
          </w:p>
          <w:p w:rsidR="00000000" w:rsidRPr="00132D0E" w:rsidP="00132D0E">
            <w:pPr>
              <w:pStyle w:val="ListBullet"/>
            </w:pPr>
            <w:r w:rsidRPr="00132D0E">
              <w:t>competency will need to be demonstrated over a period of time reflecting the scope of the role and the practical requirements of the workplace</w:t>
            </w:r>
          </w:p>
          <w:p w:rsidR="00000000" w:rsidRPr="00132D0E" w:rsidP="00132D0E">
            <w:pPr>
              <w:pStyle w:val="ListBullet"/>
            </w:pPr>
            <w:r w:rsidRPr="00132D0E">
              <w:t xml:space="preserve">where the assessment is part of a structured </w:t>
            </w:r>
            <w:r w:rsidRPr="00132D0E">
              <w:t>learning experience the evidence collected must relate to a number of performances assessed at different points in time and separated by further learning and practice, with a decision on competency only taken at the point when the assessor has complete con</w:t>
            </w:r>
            <w:r w:rsidRPr="00132D0E">
              <w:t>fidence in the person's demonstrated ability and applied knowledge</w:t>
            </w:r>
          </w:p>
          <w:p w:rsidR="00000000" w:rsidRPr="00132D0E" w:rsidP="00132D0E">
            <w:pPr>
              <w:pStyle w:val="ListBullet"/>
            </w:pPr>
            <w:r w:rsidRPr="00132D0E">
              <w:t>all assessment that is part of a structured learning experience must include a combination of direct, indirect and supplementary evidence.</w:t>
            </w:r>
          </w:p>
          <w:p w:rsidR="00000000" w:rsidRPr="00132D0E" w:rsidP="00132D0E">
            <w:pPr>
              <w:pStyle w:val="BodyText"/>
            </w:pPr>
            <w:r w:rsidRPr="00132D0E">
              <w:t xml:space="preserve">Assessment processes and techniques should as far </w:t>
            </w:r>
            <w:r w:rsidRPr="00132D0E">
              <w:t>as is practical take into account the language, literacy and numeracy capacity of the candidate in relation to the competency being assessed.</w:t>
            </w:r>
          </w:p>
          <w:p w:rsidR="00000000" w:rsidRPr="00132D0E" w:rsidP="00132D0E">
            <w:pPr>
              <w:pStyle w:val="BodyText"/>
            </w:pPr>
            <w:r w:rsidRPr="00132D0E">
              <w:t>Supplementary evidence of competency may be obtained from relevant authenticated documentation from third parties,</w:t>
            </w:r>
            <w:r w:rsidRPr="00132D0E">
              <w:t xml:space="preserve"> such as existing supervisors, team leaders or specialist training staff. </w:t>
            </w:r>
          </w:p>
        </w:tc>
      </w:tr>
    </w:tbl>
    <w:p w:rsidR="009F6EF2" w:rsidP="00132D0E">
      <w:pPr>
        <w:pStyle w:val="BodyText"/>
      </w:pPr>
    </w:p>
    <w:p w:rsidR="009F6EF2" w:rsidP="00132D0E">
      <w:pPr>
        <w:pStyle w:val="BodyText"/>
      </w:pPr>
    </w:p>
    <w:p w:rsidR="00000000" w:rsidRPr="00132D0E" w:rsidP="00132D0E">
      <w:pPr>
        <w:pStyle w:val="Heading1"/>
      </w:pPr>
      <w:bookmarkStart w:id="11" w:name="O_250524"/>
      <w:bookmarkEnd w:id="11"/>
      <w:r w:rsidRPr="00132D0E">
        <w:t>Range Statement</w:t>
      </w:r>
    </w:p>
    <w:tbl>
      <w:tblPr>
        <w:tblW w:w="0" w:type="auto"/>
        <w:tblLayout w:type="fixed"/>
        <w:tblCellMar>
          <w:left w:w="62" w:type="dxa"/>
          <w:right w:w="62" w:type="dxa"/>
        </w:tblCellMar>
        <w:tblLook w:val="0000"/>
      </w:tblPr>
      <w:tblGrid>
        <w:gridCol w:w="3517"/>
        <w:gridCol w:w="5005"/>
      </w:tblGrid>
      <w:tr w:rsidTr="009F6EF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32D0E">
            <w:pPr>
              <w:pStyle w:val="BodyText"/>
              <w:rPr>
                <w:lang w:val="en-NZ"/>
              </w:rPr>
            </w:pPr>
            <w:r w:rsidRPr="00132D0E">
              <w:rPr>
                <w:rStyle w:val="SpecialBold"/>
              </w:rPr>
              <w:t>RANGE STATEMENT</w:t>
            </w:r>
          </w:p>
        </w:tc>
      </w:tr>
      <w:tr w:rsidTr="009F6EF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32D0E">
            <w:pPr>
              <w:pStyle w:val="BodyText"/>
              <w:rPr>
                <w:lang w:val="en-NZ"/>
              </w:rPr>
            </w:pPr>
            <w:r w:rsidRPr="00132D0E">
              <w:t xml:space="preserve">The range statement relates to the unit of competency as a whole. It </w:t>
            </w:r>
            <w:r w:rsidRPr="00132D0E">
              <w:t>allows for different work environments and situations that may affect performance. Bold italicised wording, if used in the performance criteria, is detailed below. Essential operating conditions that may be present with training and assessment (depending o</w:t>
            </w:r>
            <w:r w:rsidRPr="00132D0E">
              <w:t>n the work situation, needs of the candidate, accessibility of the item, and local industry and regional contexts) may also be included.</w:t>
            </w:r>
          </w:p>
        </w:tc>
      </w:tr>
      <w:tr w:rsidTr="009F6EF2">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BoldandItalics"/>
              </w:rPr>
              <w:t>Safety</w:t>
            </w:r>
            <w:r w:rsidRPr="00132D0E">
              <w:t xml:space="preserve"> (</w:t>
            </w:r>
            <w:r w:rsidRPr="00132D0E">
              <w:rPr>
                <w:rStyle w:val="BoldandItalics"/>
              </w:rPr>
              <w:t>OHS</w:t>
            </w:r>
            <w:r w:rsidRPr="00132D0E">
              <w:t>) is to be in accordance with commonwealth, state and territory legislation and regulations and may includ</w:t>
            </w:r>
            <w:r w:rsidRPr="00132D0E">
              <w:t>e:</w:t>
            </w:r>
          </w:p>
        </w:tc>
        <w:tc>
          <w:tcPr>
            <w:tcW w:w="5005" w:type="dxa"/>
            <w:tcBorders>
              <w:top w:val="nil"/>
              <w:left w:val="nil"/>
              <w:bottom w:val="nil"/>
              <w:right w:val="nil"/>
            </w:tcBorders>
            <w:tcMar>
              <w:top w:w="0" w:type="dxa"/>
              <w:left w:w="62" w:type="dxa"/>
              <w:bottom w:w="0" w:type="dxa"/>
              <w:right w:w="62" w:type="dxa"/>
            </w:tcMar>
          </w:tcPr>
          <w:p w:rsidR="00000000" w:rsidRPr="00132D0E" w:rsidP="00132D0E">
            <w:pPr>
              <w:pStyle w:val="ListBullet"/>
            </w:pPr>
            <w:r w:rsidRPr="00132D0E">
              <w:t>handling of materials, including hazardous materials and substances</w:t>
            </w:r>
          </w:p>
          <w:p w:rsidR="00000000" w:rsidRPr="00132D0E" w:rsidP="00132D0E">
            <w:pPr>
              <w:pStyle w:val="ListBullet"/>
            </w:pPr>
            <w:r w:rsidRPr="00132D0E">
              <w:t>hazard control</w:t>
            </w:r>
          </w:p>
          <w:p w:rsidR="00000000" w:rsidRPr="00132D0E" w:rsidP="00132D0E">
            <w:pPr>
              <w:pStyle w:val="ListBullet"/>
            </w:pPr>
            <w:r w:rsidRPr="00132D0E">
              <w:t>personal protective equipment, including that prescribed under legislation, regulations and workplace policies and practices</w:t>
            </w:r>
          </w:p>
          <w:p w:rsidR="00000000" w:rsidRPr="00132D0E" w:rsidP="00132D0E">
            <w:pPr>
              <w:pStyle w:val="ListBullet"/>
            </w:pPr>
            <w:r w:rsidRPr="00132D0E">
              <w:t>safe operating procedures, including recognising and preventing hazards associated with:</w:t>
            </w:r>
          </w:p>
          <w:p w:rsidR="00000000" w:rsidRPr="00132D0E" w:rsidP="00132D0E">
            <w:pPr>
              <w:pStyle w:val="ListBullet2"/>
            </w:pPr>
            <w:r w:rsidRPr="00132D0E">
              <w:t>other machines</w:t>
            </w:r>
          </w:p>
          <w:p w:rsidR="00000000" w:rsidRPr="00132D0E" w:rsidP="00132D0E">
            <w:pPr>
              <w:pStyle w:val="ListBullet2"/>
            </w:pPr>
            <w:r w:rsidRPr="00132D0E">
              <w:t>surrounding structure and facilities</w:t>
            </w:r>
          </w:p>
          <w:p w:rsidR="00000000" w:rsidRPr="00132D0E" w:rsidP="00132D0E">
            <w:pPr>
              <w:pStyle w:val="ListBullet2"/>
            </w:pPr>
            <w:r w:rsidRPr="00132D0E">
              <w:t>trip hazards</w:t>
            </w:r>
          </w:p>
          <w:p w:rsidR="00000000" w:rsidRPr="00132D0E" w:rsidP="00132D0E">
            <w:pPr>
              <w:pStyle w:val="ListBullet2"/>
            </w:pPr>
            <w:r w:rsidRPr="00132D0E">
              <w:t>underground services</w:t>
            </w:r>
          </w:p>
          <w:p w:rsidR="00000000" w:rsidRPr="00132D0E" w:rsidP="00132D0E">
            <w:pPr>
              <w:pStyle w:val="ListBullet2"/>
            </w:pPr>
            <w:r w:rsidRPr="00132D0E">
              <w:t>use of tools and equipment</w:t>
            </w:r>
          </w:p>
          <w:p w:rsidR="00000000" w:rsidRPr="00132D0E" w:rsidP="00132D0E">
            <w:pPr>
              <w:pStyle w:val="ListBullet2"/>
            </w:pPr>
            <w:r w:rsidRPr="00132D0E">
              <w:t>work site visitors and the public</w:t>
            </w:r>
          </w:p>
          <w:p w:rsidR="00000000" w:rsidRPr="00132D0E" w:rsidP="00132D0E">
            <w:pPr>
              <w:pStyle w:val="ListBullet2"/>
            </w:pPr>
            <w:r w:rsidRPr="00132D0E">
              <w:t>working at heights</w:t>
            </w:r>
          </w:p>
          <w:p w:rsidR="00000000" w:rsidRPr="00132D0E" w:rsidP="00132D0E">
            <w:pPr>
              <w:pStyle w:val="ListBullet2"/>
            </w:pPr>
            <w:r w:rsidRPr="00132D0E">
              <w:t>working in confined spaces</w:t>
            </w:r>
          </w:p>
          <w:p w:rsidR="00000000" w:rsidRPr="00132D0E" w:rsidP="00132D0E">
            <w:pPr>
              <w:pStyle w:val="ListBullet2"/>
            </w:pPr>
            <w:r w:rsidRPr="00132D0E">
              <w:t>working in proximity to others</w:t>
            </w:r>
          </w:p>
          <w:p w:rsidR="00000000" w:rsidRPr="00132D0E" w:rsidP="00132D0E">
            <w:pPr>
              <w:pStyle w:val="ListBullet"/>
            </w:pPr>
            <w:r w:rsidRPr="00132D0E">
              <w:t>use of firefighting equipment</w:t>
            </w:r>
          </w:p>
          <w:p w:rsidR="00000000" w:rsidRPr="00132D0E" w:rsidP="00132D0E">
            <w:pPr>
              <w:pStyle w:val="ListBullet"/>
            </w:pPr>
            <w:r w:rsidRPr="00132D0E">
              <w:t>use of first aid equipment</w:t>
            </w:r>
          </w:p>
          <w:p w:rsidR="00000000" w:rsidP="00132D0E">
            <w:pPr>
              <w:pStyle w:val="ListBullet"/>
              <w:rPr>
                <w:lang w:val="en-NZ"/>
              </w:rPr>
            </w:pPr>
            <w:r w:rsidRPr="00132D0E">
              <w:t>workplace environment and safety.</w:t>
            </w:r>
          </w:p>
        </w:tc>
      </w:tr>
      <w:tr w:rsidTr="009F6EF2">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BoldandItalics"/>
              </w:rPr>
              <w:t>Quality assurance</w:t>
            </w:r>
            <w:r w:rsidRPr="00132D0E">
              <w:t xml:space="preserve"> requirements may include:</w:t>
            </w:r>
          </w:p>
        </w:tc>
        <w:tc>
          <w:tcPr>
            <w:tcW w:w="5005" w:type="dxa"/>
            <w:tcBorders>
              <w:top w:val="nil"/>
              <w:left w:val="nil"/>
              <w:bottom w:val="nil"/>
              <w:right w:val="nil"/>
            </w:tcBorders>
            <w:tcMar>
              <w:top w:w="0" w:type="dxa"/>
              <w:left w:w="62" w:type="dxa"/>
              <w:bottom w:w="0" w:type="dxa"/>
              <w:right w:w="62" w:type="dxa"/>
            </w:tcMar>
          </w:tcPr>
          <w:p w:rsidR="00000000" w:rsidRPr="00132D0E" w:rsidP="00132D0E">
            <w:pPr>
              <w:pStyle w:val="ListBullet"/>
            </w:pPr>
            <w:r w:rsidRPr="00132D0E">
              <w:t>Environment Protection Authority</w:t>
            </w:r>
          </w:p>
          <w:p w:rsidR="00000000" w:rsidRPr="00132D0E" w:rsidP="00132D0E">
            <w:pPr>
              <w:pStyle w:val="ListBullet"/>
            </w:pPr>
            <w:r w:rsidRPr="00132D0E">
              <w:t>internal company quality assurance policy and risk management strategy</w:t>
            </w:r>
          </w:p>
          <w:p w:rsidR="00000000" w:rsidRPr="00132D0E" w:rsidP="00132D0E">
            <w:pPr>
              <w:pStyle w:val="ListBullet"/>
            </w:pPr>
            <w:r w:rsidRPr="00132D0E">
              <w:t>International Standards Organisation</w:t>
            </w:r>
          </w:p>
          <w:p w:rsidR="00000000" w:rsidRPr="00132D0E" w:rsidP="00132D0E">
            <w:pPr>
              <w:pStyle w:val="ListBullet"/>
            </w:pPr>
            <w:r w:rsidRPr="00132D0E">
              <w:t>site safety plan</w:t>
            </w:r>
          </w:p>
          <w:p w:rsidR="00000000" w:rsidP="00132D0E">
            <w:pPr>
              <w:pStyle w:val="ListBullet"/>
              <w:rPr>
                <w:lang w:val="en-NZ"/>
              </w:rPr>
            </w:pPr>
            <w:r w:rsidRPr="00132D0E">
              <w:t>workplace operations and procedures.</w:t>
            </w:r>
          </w:p>
        </w:tc>
      </w:tr>
      <w:tr w:rsidTr="009F6EF2">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BoldandItalics"/>
              </w:rPr>
              <w:t>Tools and equipment</w:t>
            </w:r>
            <w:r w:rsidRPr="00132D0E">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132D0E" w:rsidP="00132D0E">
            <w:pPr>
              <w:pStyle w:val="ListBullet"/>
            </w:pPr>
            <w:r w:rsidRPr="00132D0E">
              <w:t>hand and power tools</w:t>
            </w:r>
          </w:p>
          <w:p w:rsidR="00000000" w:rsidP="00132D0E">
            <w:pPr>
              <w:pStyle w:val="ListBullet"/>
              <w:rPr>
                <w:lang w:val="en-NZ"/>
              </w:rPr>
            </w:pPr>
            <w:r w:rsidRPr="00132D0E">
              <w:t>test equipment.</w:t>
            </w:r>
          </w:p>
        </w:tc>
      </w:tr>
      <w:tr w:rsidTr="009F6EF2">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BoldandItalics"/>
              </w:rPr>
              <w:t>Commissioning fire al</w:t>
            </w:r>
            <w:r w:rsidRPr="00132D0E">
              <w:rPr>
                <w:rStyle w:val="BoldandItalics"/>
              </w:rPr>
              <w:t>arm and detection systems</w:t>
            </w:r>
            <w:r w:rsidRPr="00132D0E">
              <w:t xml:space="preserve"> covers: </w:t>
            </w:r>
          </w:p>
        </w:tc>
        <w:tc>
          <w:tcPr>
            <w:tcW w:w="5005" w:type="dxa"/>
            <w:tcBorders>
              <w:top w:val="nil"/>
              <w:left w:val="nil"/>
              <w:bottom w:val="nil"/>
              <w:right w:val="nil"/>
            </w:tcBorders>
            <w:tcMar>
              <w:top w:w="0" w:type="dxa"/>
              <w:left w:w="62" w:type="dxa"/>
              <w:bottom w:w="0" w:type="dxa"/>
              <w:right w:w="62" w:type="dxa"/>
            </w:tcMar>
          </w:tcPr>
          <w:p w:rsidR="00000000" w:rsidRPr="00132D0E" w:rsidP="00132D0E">
            <w:pPr>
              <w:pStyle w:val="ListBullet"/>
            </w:pPr>
            <w:r w:rsidRPr="00132D0E">
              <w:t>testing and commissioning fire alarm and detection systems, including:</w:t>
            </w:r>
          </w:p>
          <w:p w:rsidR="00000000" w:rsidRPr="00132D0E" w:rsidP="00132D0E">
            <w:pPr>
              <w:pStyle w:val="ListBullet2"/>
            </w:pPr>
            <w:r w:rsidRPr="00132D0E">
              <w:t>alarm volume</w:t>
            </w:r>
          </w:p>
          <w:p w:rsidR="00000000" w:rsidRPr="00132D0E" w:rsidP="00132D0E">
            <w:pPr>
              <w:pStyle w:val="ListBullet2"/>
            </w:pPr>
            <w:r w:rsidRPr="00132D0E">
              <w:t>annunciators</w:t>
            </w:r>
          </w:p>
          <w:p w:rsidR="00000000" w:rsidRPr="00132D0E" w:rsidP="00132D0E">
            <w:pPr>
              <w:pStyle w:val="ListBullet2"/>
            </w:pPr>
            <w:r w:rsidRPr="00132D0E">
              <w:t>audible, visible and combination alarms</w:t>
            </w:r>
          </w:p>
          <w:p w:rsidR="00000000" w:rsidRPr="00132D0E" w:rsidP="00132D0E">
            <w:pPr>
              <w:pStyle w:val="ListBullet2"/>
            </w:pPr>
            <w:r w:rsidRPr="00132D0E">
              <w:t>controls</w:t>
            </w:r>
          </w:p>
          <w:p w:rsidR="00000000" w:rsidRPr="00132D0E" w:rsidP="00132D0E">
            <w:pPr>
              <w:pStyle w:val="ListBullet2"/>
            </w:pPr>
            <w:r w:rsidRPr="00132D0E">
              <w:t>coordination of alarm signals with other services</w:t>
            </w:r>
          </w:p>
          <w:p w:rsidR="00000000" w:rsidRPr="00132D0E" w:rsidP="00132D0E">
            <w:pPr>
              <w:pStyle w:val="ListBullet2"/>
            </w:pPr>
            <w:r w:rsidRPr="00132D0E">
              <w:t>dispatching systems</w:t>
            </w:r>
          </w:p>
          <w:p w:rsidR="00000000" w:rsidRPr="00132D0E" w:rsidP="00132D0E">
            <w:pPr>
              <w:pStyle w:val="ListBullet2"/>
            </w:pPr>
            <w:r w:rsidRPr="00132D0E">
              <w:t>heat and smoke detectors</w:t>
            </w:r>
          </w:p>
          <w:p w:rsidR="00000000" w:rsidRPr="00132D0E" w:rsidP="00132D0E">
            <w:pPr>
              <w:pStyle w:val="ListBullet2"/>
            </w:pPr>
            <w:r w:rsidRPr="00132D0E">
              <w:t>public reporting systems</w:t>
            </w:r>
          </w:p>
          <w:p w:rsidR="00000000" w:rsidRPr="00132D0E" w:rsidP="00132D0E">
            <w:pPr>
              <w:pStyle w:val="ListBullet2"/>
            </w:pPr>
            <w:r w:rsidRPr="00132D0E">
              <w:t>signal transmission</w:t>
            </w:r>
          </w:p>
          <w:p w:rsidR="00000000" w:rsidRPr="00132D0E" w:rsidP="00132D0E">
            <w:pPr>
              <w:pStyle w:val="ListBullet2"/>
            </w:pPr>
            <w:r w:rsidRPr="00132D0E">
              <w:t>tactile alarm appliances for people with disabilities</w:t>
            </w:r>
          </w:p>
          <w:p w:rsidR="00000000" w:rsidP="00132D0E">
            <w:pPr>
              <w:pStyle w:val="ListBullet2"/>
              <w:rPr>
                <w:lang w:val="en-NZ"/>
              </w:rPr>
            </w:pPr>
            <w:r w:rsidRPr="00132D0E">
              <w:t>zone alarms.</w:t>
            </w:r>
          </w:p>
        </w:tc>
      </w:tr>
      <w:tr w:rsidTr="009F6EF2">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BoldandItalics"/>
              </w:rPr>
              <w:t>Relevant standards</w:t>
            </w:r>
            <w:r w:rsidRPr="00132D0E">
              <w:t xml:space="preserve"> include:</w:t>
            </w:r>
          </w:p>
        </w:tc>
        <w:tc>
          <w:tcPr>
            <w:tcW w:w="5005" w:type="dxa"/>
            <w:tcBorders>
              <w:top w:val="nil"/>
              <w:left w:val="nil"/>
              <w:bottom w:val="nil"/>
              <w:right w:val="nil"/>
            </w:tcBorders>
            <w:tcMar>
              <w:top w:w="0" w:type="dxa"/>
              <w:left w:w="62" w:type="dxa"/>
              <w:bottom w:w="0" w:type="dxa"/>
              <w:right w:w="62" w:type="dxa"/>
            </w:tcMar>
          </w:tcPr>
          <w:p w:rsidR="00000000" w:rsidRPr="00132D0E" w:rsidP="00132D0E">
            <w:pPr>
              <w:pStyle w:val="ListBullet"/>
            </w:pPr>
            <w:r w:rsidRPr="00132D0E">
              <w:t>AS1670 Fire detection, warning, control and intercom systems - system design, installation and commissioning</w:t>
            </w:r>
          </w:p>
          <w:p w:rsidR="00000000" w:rsidRPr="00132D0E" w:rsidP="00132D0E">
            <w:pPr>
              <w:pStyle w:val="ListBullet"/>
            </w:pPr>
            <w:r w:rsidRPr="00132D0E">
              <w:t>AS2220 Emergency warning and intercommunication systems in buildings</w:t>
            </w:r>
          </w:p>
          <w:p w:rsidR="00000000" w:rsidP="00132D0E">
            <w:pPr>
              <w:pStyle w:val="ListBullet"/>
              <w:rPr>
                <w:lang w:val="en-NZ"/>
              </w:rPr>
            </w:pPr>
            <w:r w:rsidRPr="00132D0E">
              <w:t>AS4428 Fire detection, warning, control and intercom systems - control and ind</w:t>
            </w:r>
            <w:r w:rsidRPr="00132D0E">
              <w:t>icating equipment.</w:t>
            </w:r>
          </w:p>
        </w:tc>
      </w:tr>
      <w:tr w:rsidTr="009F6EF2">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BoldandItalics"/>
              </w:rPr>
              <w:t>Statutory and regulatory authority</w:t>
            </w:r>
            <w:r w:rsidRPr="00132D0E">
              <w:t xml:space="preserve"> includes:</w:t>
            </w:r>
          </w:p>
        </w:tc>
        <w:tc>
          <w:tcPr>
            <w:tcW w:w="5005" w:type="dxa"/>
            <w:tcBorders>
              <w:top w:val="nil"/>
              <w:left w:val="nil"/>
              <w:bottom w:val="nil"/>
              <w:right w:val="nil"/>
            </w:tcBorders>
            <w:tcMar>
              <w:top w:w="0" w:type="dxa"/>
              <w:left w:w="62" w:type="dxa"/>
              <w:bottom w:w="0" w:type="dxa"/>
              <w:right w:w="62" w:type="dxa"/>
            </w:tcMar>
          </w:tcPr>
          <w:p w:rsidR="00000000" w:rsidRPr="00132D0E" w:rsidP="00132D0E">
            <w:pPr>
              <w:pStyle w:val="ListBullet"/>
            </w:pPr>
            <w:r w:rsidRPr="00132D0E">
              <w:t>Building Code of Australia</w:t>
            </w:r>
          </w:p>
          <w:p w:rsidR="00000000" w:rsidRPr="00132D0E" w:rsidP="00132D0E">
            <w:pPr>
              <w:pStyle w:val="ListBullet"/>
            </w:pPr>
            <w:r w:rsidRPr="00132D0E">
              <w:t>state or territory regulations.</w:t>
            </w:r>
          </w:p>
        </w:tc>
      </w:tr>
    </w:tbl>
    <w:p w:rsidR="009F6EF2" w:rsidP="00132D0E">
      <w:pPr>
        <w:pStyle w:val="BodyText"/>
      </w:pPr>
    </w:p>
    <w:p w:rsidR="009F6EF2" w:rsidP="00132D0E">
      <w:pPr>
        <w:pStyle w:val="BodyText"/>
      </w:pPr>
    </w:p>
    <w:p w:rsidR="00000000" w:rsidRPr="00132D0E" w:rsidP="00132D0E">
      <w:pPr>
        <w:pStyle w:val="Heading1"/>
      </w:pPr>
      <w:bookmarkStart w:id="12" w:name="O_199689"/>
      <w:bookmarkEnd w:id="12"/>
      <w:r w:rsidRPr="00132D0E">
        <w:t>Unit Sector(s)</w:t>
      </w:r>
    </w:p>
    <w:tbl>
      <w:tblPr>
        <w:tblW w:w="0" w:type="auto"/>
        <w:tblLayout w:type="fixed"/>
        <w:tblCellMar>
          <w:left w:w="62" w:type="dxa"/>
          <w:right w:w="62" w:type="dxa"/>
        </w:tblCellMar>
        <w:tblLook w:val="0000"/>
      </w:tblPr>
      <w:tblGrid>
        <w:gridCol w:w="2613"/>
        <w:gridCol w:w="5909"/>
      </w:tblGrid>
      <w:tr w:rsidTr="009F6EF2">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132D0E" w:rsidP="00132D0E">
            <w:pPr>
              <w:pStyle w:val="BodyText"/>
            </w:pPr>
            <w:r w:rsidRPr="00132D0E">
              <w:t>Plumbing and services</w:t>
            </w:r>
          </w:p>
        </w:tc>
      </w:tr>
    </w:tbl>
    <w:p w:rsidR="009F6EF2" w:rsidP="00132D0E">
      <w:pPr>
        <w:pStyle w:val="BodyText"/>
      </w:pPr>
    </w:p>
    <w:p w:rsidR="009F6EF2" w:rsidP="00132D0E">
      <w:pPr>
        <w:pStyle w:val="BodyText"/>
      </w:pPr>
    </w:p>
    <w:p w:rsidR="00000000" w:rsidRPr="00132D0E" w:rsidP="00132D0E">
      <w:pPr>
        <w:pStyle w:val="Heading1"/>
      </w:pPr>
      <w:bookmarkStart w:id="13" w:name="O_199686"/>
      <w:bookmarkEnd w:id="13"/>
      <w:r w:rsidRPr="00132D0E">
        <w:t>Co-requisite units</w:t>
      </w:r>
    </w:p>
    <w:tbl>
      <w:tblPr>
        <w:tblW w:w="0" w:type="auto"/>
        <w:tblLayout w:type="fixed"/>
        <w:tblCellMar>
          <w:left w:w="62" w:type="dxa"/>
          <w:right w:w="62" w:type="dxa"/>
        </w:tblCellMar>
        <w:tblLook w:val="0000"/>
      </w:tblPr>
      <w:tblGrid>
        <w:gridCol w:w="2620"/>
        <w:gridCol w:w="1340"/>
        <w:gridCol w:w="4562"/>
      </w:tblGrid>
      <w:tr w:rsidTr="009F6EF2">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t>Nil</w:t>
            </w:r>
          </w:p>
        </w:tc>
      </w:tr>
      <w:tr w:rsidTr="009F6EF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p>
        </w:tc>
      </w:tr>
      <w:tr w:rsidTr="009F6EF2">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132D0E" w:rsidP="00132D0E">
            <w:pPr>
              <w:pStyle w:val="BodyText"/>
            </w:pPr>
          </w:p>
        </w:tc>
      </w:tr>
    </w:tbl>
    <w:p w:rsidR="009F6EF2" w:rsidP="00132D0E">
      <w:pPr>
        <w:pStyle w:val="BodyText"/>
      </w:pPr>
    </w:p>
    <w:p w:rsidR="009F6EF2" w:rsidP="00132D0E">
      <w:pPr>
        <w:pStyle w:val="BodyText"/>
      </w:pPr>
    </w:p>
    <w:p w:rsidR="00000000" w:rsidRPr="00132D0E" w:rsidP="00132D0E">
      <w:pPr>
        <w:pStyle w:val="Heading1"/>
      </w:pPr>
      <w:bookmarkStart w:id="14" w:name="O_199688"/>
      <w:bookmarkEnd w:id="14"/>
      <w:r w:rsidRPr="00132D0E">
        <w:t>Functional area</w:t>
      </w:r>
    </w:p>
    <w:tbl>
      <w:tblPr>
        <w:tblW w:w="0" w:type="auto"/>
        <w:tblLayout w:type="fixed"/>
        <w:tblCellMar>
          <w:left w:w="62" w:type="dxa"/>
          <w:right w:w="62" w:type="dxa"/>
        </w:tblCellMar>
        <w:tblLook w:val="0000"/>
      </w:tblPr>
      <w:tblGrid>
        <w:gridCol w:w="2710"/>
        <w:gridCol w:w="5812"/>
      </w:tblGrid>
      <w:tr w:rsidTr="009F6EF2">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132D0E">
            <w:pPr>
              <w:pStyle w:val="BodyText"/>
              <w:rPr>
                <w:lang w:val="en-NZ"/>
              </w:rPr>
            </w:pPr>
            <w:r w:rsidRPr="00132D0E">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132D0E" w:rsidP="00132D0E">
            <w:pPr>
              <w:pStyle w:val="BodyText"/>
            </w:pPr>
          </w:p>
        </w:tc>
      </w:tr>
    </w:tbl>
    <w:p w:rsidR="009F6EF2" w:rsidP="00132D0E">
      <w:pPr>
        <w:pStyle w:val="BodyText"/>
      </w:pPr>
    </w:p>
    <w:p w:rsidR="009F6EF2" w:rsidP="00132D0E">
      <w:pPr>
        <w:pStyle w:val="BodyText"/>
      </w:pPr>
    </w:p>
    <w:p w:rsidR="00000000" w:rsidRPr="00132D0E" w:rsidP="00132D0E"/>
    <w:sectPr w:rsidSect="00132D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EF2" w:rsidP="009F6E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F2" w:rsidP="00132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F6EF2" w:rsidP="00132D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F6EF2" w:rsidP="00132D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EF2" w:rsidP="009F6E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EF2" w:rsidP="00132D0E">
    <w:pPr>
      <w:pStyle w:val="Header"/>
      <w:framePr w:wrap="around"/>
    </w:pPr>
    <w:r>
      <w:fldChar w:fldCharType="begin"/>
    </w:r>
    <w:r>
      <w:instrText xml:space="preserve"> TITLE   \* MERGEFORMAT </w:instrText>
    </w:r>
    <w:r>
      <w:fldChar w:fldCharType="separate"/>
    </w:r>
    <w:r>
      <w:t>CPCPFS4005A Commission fire alarm and detection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6EF2" w:rsidP="00132D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2AA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466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B62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D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2D0E"/>
    <w:pPr>
      <w:spacing w:before="360" w:after="60"/>
      <w:outlineLvl w:val="0"/>
    </w:pPr>
    <w:rPr>
      <w:sz w:val="32"/>
    </w:rPr>
  </w:style>
  <w:style w:type="paragraph" w:styleId="Heading2">
    <w:name w:val="heading 2"/>
    <w:basedOn w:val="HeadingBase"/>
    <w:next w:val="BodyText"/>
    <w:link w:val="Heading2Char"/>
    <w:qFormat/>
    <w:rsid w:val="00132D0E"/>
    <w:pPr>
      <w:keepLines/>
      <w:spacing w:before="240" w:after="120"/>
      <w:outlineLvl w:val="1"/>
    </w:pPr>
    <w:rPr>
      <w:sz w:val="28"/>
      <w:szCs w:val="40"/>
    </w:rPr>
  </w:style>
  <w:style w:type="paragraph" w:styleId="Heading3">
    <w:name w:val="heading 3"/>
    <w:basedOn w:val="HeadingBase"/>
    <w:next w:val="BodyText"/>
    <w:link w:val="Heading3Char"/>
    <w:qFormat/>
    <w:rsid w:val="00132D0E"/>
    <w:pPr>
      <w:spacing w:before="180" w:after="120"/>
      <w:outlineLvl w:val="2"/>
    </w:pPr>
    <w:rPr>
      <w:spacing w:val="-10"/>
      <w:kern w:val="32"/>
    </w:rPr>
  </w:style>
  <w:style w:type="paragraph" w:styleId="Heading4">
    <w:name w:val="heading 4"/>
    <w:basedOn w:val="HeadingBase"/>
    <w:next w:val="BodyText"/>
    <w:link w:val="Heading4Char"/>
    <w:qFormat/>
    <w:rsid w:val="00132D0E"/>
    <w:pPr>
      <w:spacing w:before="160" w:after="120"/>
      <w:outlineLvl w:val="3"/>
    </w:pPr>
    <w:rPr>
      <w:sz w:val="22"/>
    </w:rPr>
  </w:style>
  <w:style w:type="paragraph" w:styleId="Heading5">
    <w:name w:val="heading 5"/>
    <w:basedOn w:val="HeadingBase"/>
    <w:next w:val="Normal"/>
    <w:link w:val="Heading5Char"/>
    <w:qFormat/>
    <w:rsid w:val="00132D0E"/>
    <w:pPr>
      <w:spacing w:before="80"/>
      <w:outlineLvl w:val="4"/>
    </w:pPr>
    <w:rPr>
      <w:color w:val="918585"/>
      <w:sz w:val="20"/>
    </w:rPr>
  </w:style>
  <w:style w:type="paragraph" w:styleId="Heading6">
    <w:name w:val="heading 6"/>
    <w:basedOn w:val="HeadingBase"/>
    <w:next w:val="Normal"/>
    <w:link w:val="Heading6Char"/>
    <w:qFormat/>
    <w:rsid w:val="00132D0E"/>
    <w:pPr>
      <w:spacing w:before="60"/>
      <w:outlineLvl w:val="5"/>
    </w:pPr>
    <w:rPr>
      <w:color w:val="918585"/>
      <w:sz w:val="20"/>
    </w:rPr>
  </w:style>
  <w:style w:type="paragraph" w:styleId="Heading7">
    <w:name w:val="heading 7"/>
    <w:basedOn w:val="Normal"/>
    <w:next w:val="Normal"/>
    <w:link w:val="Heading7Char"/>
    <w:qFormat/>
    <w:rsid w:val="00132D0E"/>
    <w:pPr>
      <w:ind w:left="720"/>
      <w:outlineLvl w:val="6"/>
    </w:pPr>
    <w:rPr>
      <w:i/>
    </w:rPr>
  </w:style>
  <w:style w:type="paragraph" w:styleId="Heading8">
    <w:name w:val="heading 8"/>
    <w:basedOn w:val="Normal"/>
    <w:next w:val="Normal"/>
    <w:link w:val="Heading8Char"/>
    <w:qFormat/>
    <w:rsid w:val="00132D0E"/>
    <w:pPr>
      <w:ind w:left="720"/>
      <w:outlineLvl w:val="7"/>
    </w:pPr>
    <w:rPr>
      <w:i/>
    </w:rPr>
  </w:style>
  <w:style w:type="paragraph" w:styleId="Heading9">
    <w:name w:val="heading 9"/>
    <w:basedOn w:val="Normal"/>
    <w:next w:val="Normal"/>
    <w:link w:val="Heading9Char"/>
    <w:qFormat/>
    <w:rsid w:val="00132D0E"/>
    <w:pPr>
      <w:ind w:left="720"/>
      <w:outlineLvl w:val="8"/>
    </w:pPr>
    <w:rPr>
      <w:i/>
    </w:rPr>
  </w:style>
  <w:style w:type="character" w:default="1" w:styleId="DefaultParagraphFont">
    <w:name w:val="Default Paragraph Font"/>
    <w:uiPriority w:val="1"/>
    <w:unhideWhenUsed/>
    <w:rsid w:val="00132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2D0E"/>
  </w:style>
  <w:style w:type="character" w:customStyle="1" w:styleId="Heading1Char">
    <w:name w:val="Heading 1 Char"/>
    <w:basedOn w:val="DefaultParagraphFont"/>
    <w:link w:val="Heading1"/>
    <w:rsid w:val="00132D0E"/>
    <w:rPr>
      <w:rFonts w:ascii="Times New Roman" w:eastAsia="Times New Roman" w:hAnsi="Times New Roman" w:cs="Times New Roman"/>
      <w:b/>
      <w:sz w:val="32"/>
      <w:szCs w:val="20"/>
      <w:lang w:eastAsia="en-US"/>
    </w:rPr>
  </w:style>
  <w:style w:type="paragraph" w:styleId="BodyText">
    <w:name w:val="Body Text"/>
    <w:basedOn w:val="Normal"/>
    <w:link w:val="BodyTextChar"/>
    <w:rsid w:val="00132D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2D0E"/>
    <w:rPr>
      <w:rFonts w:ascii="Times New Roman" w:eastAsia="Times New Roman" w:hAnsi="Times New Roman" w:cs="Times New Roman"/>
      <w:sz w:val="24"/>
      <w:lang w:val="en-US" w:eastAsia="en-US"/>
    </w:rPr>
  </w:style>
  <w:style w:type="paragraph" w:styleId="Footer">
    <w:name w:val="footer"/>
    <w:basedOn w:val="Normal"/>
    <w:link w:val="FooterChar"/>
    <w:rsid w:val="00132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2D0E"/>
    <w:rPr>
      <w:rFonts w:ascii="Times New Roman" w:eastAsia="Times New Roman" w:hAnsi="Times New Roman" w:cs="Times New Roman"/>
      <w:sz w:val="16"/>
      <w:lang w:val="en-US" w:eastAsia="en-US"/>
    </w:rPr>
  </w:style>
  <w:style w:type="paragraph" w:styleId="List">
    <w:name w:val="List"/>
    <w:basedOn w:val="BodyText"/>
    <w:next w:val="BodyText"/>
    <w:rsid w:val="00132D0E"/>
    <w:pPr>
      <w:tabs>
        <w:tab w:val="left" w:pos="340"/>
      </w:tabs>
      <w:spacing w:before="60" w:after="60"/>
      <w:ind w:left="340" w:hanging="340"/>
    </w:pPr>
  </w:style>
  <w:style w:type="paragraph" w:styleId="ListBullet">
    <w:name w:val="List Bullet"/>
    <w:basedOn w:val="List"/>
    <w:rsid w:val="00132D0E"/>
    <w:pPr>
      <w:numPr>
        <w:numId w:val="14"/>
      </w:numPr>
      <w:tabs>
        <w:tab w:val="clear" w:pos="340"/>
      </w:tabs>
      <w:spacing w:before="40" w:after="40"/>
    </w:pPr>
  </w:style>
  <w:style w:type="character" w:customStyle="1" w:styleId="SpecialBold">
    <w:name w:val="Special Bold"/>
    <w:basedOn w:val="DefaultParagraphFont"/>
    <w:rsid w:val="00132D0E"/>
    <w:rPr>
      <w:b/>
      <w:spacing w:val="0"/>
    </w:rPr>
  </w:style>
  <w:style w:type="paragraph" w:styleId="ListBullet2">
    <w:name w:val="List Bullet 2"/>
    <w:basedOn w:val="List2"/>
    <w:rsid w:val="00132D0E"/>
    <w:pPr>
      <w:numPr>
        <w:numId w:val="15"/>
      </w:numPr>
      <w:tabs>
        <w:tab w:val="clear" w:pos="680"/>
      </w:tabs>
    </w:pPr>
  </w:style>
  <w:style w:type="paragraph" w:styleId="Header">
    <w:name w:val="header"/>
    <w:basedOn w:val="Normal"/>
    <w:link w:val="HeaderChar"/>
    <w:rsid w:val="00132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2D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2D0E"/>
    <w:pPr>
      <w:spacing w:before="240" w:after="120"/>
      <w:outlineLvl w:val="0"/>
    </w:pPr>
    <w:rPr>
      <w:rFonts w:ascii="Times New Roman" w:hAnsi="Times New Roman"/>
      <w:b/>
      <w:sz w:val="28"/>
    </w:rPr>
  </w:style>
  <w:style w:type="paragraph" w:customStyle="1" w:styleId="AllowPageBreak">
    <w:name w:val="AllowPageBreak"/>
    <w:rsid w:val="00132D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2D0E"/>
    <w:pPr>
      <w:tabs>
        <w:tab w:val="left" w:pos="680"/>
      </w:tabs>
      <w:spacing w:before="60" w:after="60"/>
      <w:ind w:left="680" w:hanging="340"/>
    </w:pPr>
  </w:style>
  <w:style w:type="paragraph" w:styleId="ListBullet3">
    <w:name w:val="List Bullet 3"/>
    <w:basedOn w:val="List3"/>
    <w:rsid w:val="00132D0E"/>
    <w:pPr>
      <w:numPr>
        <w:numId w:val="3"/>
      </w:numPr>
      <w:tabs>
        <w:tab w:val="clear" w:pos="1021"/>
      </w:tabs>
      <w:ind w:left="1037" w:hanging="357"/>
    </w:pPr>
  </w:style>
  <w:style w:type="character" w:customStyle="1" w:styleId="BoldandItalics">
    <w:name w:val="Bold and Italics"/>
    <w:qFormat/>
    <w:rsid w:val="00132D0E"/>
    <w:rPr>
      <w:b/>
      <w:i/>
      <w:u w:val="none"/>
    </w:rPr>
  </w:style>
  <w:style w:type="character" w:customStyle="1" w:styleId="Heading2Char">
    <w:name w:val="Heading 2 Char"/>
    <w:basedOn w:val="DefaultParagraphFont"/>
    <w:link w:val="Heading2"/>
    <w:rsid w:val="00132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2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2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2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2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2D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2D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2D0E"/>
    <w:rPr>
      <w:rFonts w:ascii="Courier New" w:eastAsia="Times New Roman" w:hAnsi="Courier New" w:cs="Times New Roman"/>
      <w:i/>
      <w:szCs w:val="20"/>
      <w:lang w:val="en-US" w:eastAsia="en-US"/>
    </w:rPr>
  </w:style>
  <w:style w:type="paragraph" w:customStyle="1" w:styleId="HeadingBase">
    <w:name w:val="Heading Base"/>
    <w:rsid w:val="00132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2D0E"/>
    <w:pPr>
      <w:tabs>
        <w:tab w:val="right" w:leader="dot" w:pos="9072"/>
      </w:tabs>
      <w:ind w:left="567"/>
    </w:pPr>
    <w:rPr>
      <w:szCs w:val="22"/>
    </w:rPr>
  </w:style>
  <w:style w:type="paragraph" w:customStyle="1" w:styleId="TOCBase">
    <w:name w:val="TOC Base"/>
    <w:rsid w:val="00132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2D0E"/>
    <w:pPr>
      <w:tabs>
        <w:tab w:val="right" w:leader="dot" w:pos="9072"/>
      </w:tabs>
      <w:spacing w:before="40" w:after="40"/>
      <w:ind w:left="284"/>
    </w:pPr>
    <w:rPr>
      <w:rFonts w:ascii="Times New Roman" w:hAnsi="Times New Roman"/>
    </w:rPr>
  </w:style>
  <w:style w:type="paragraph" w:styleId="TOC1">
    <w:name w:val="toc 1"/>
    <w:basedOn w:val="TOCBase"/>
    <w:next w:val="Normal"/>
    <w:rsid w:val="00132D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2D0E"/>
    <w:pPr>
      <w:spacing w:before="5040"/>
      <w:jc w:val="center"/>
    </w:pPr>
    <w:rPr>
      <w:sz w:val="48"/>
      <w:szCs w:val="72"/>
      <w:lang w:val="en-US"/>
    </w:rPr>
  </w:style>
  <w:style w:type="character" w:customStyle="1" w:styleId="TitleChar">
    <w:name w:val="Title Char"/>
    <w:basedOn w:val="DefaultParagraphFont"/>
    <w:link w:val="Title"/>
    <w:rsid w:val="00132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2D0E"/>
    <w:pPr>
      <w:tabs>
        <w:tab w:val="left" w:pos="3600"/>
        <w:tab w:val="left" w:pos="3958"/>
      </w:tabs>
    </w:pPr>
  </w:style>
  <w:style w:type="paragraph" w:customStyle="1" w:styleId="Note">
    <w:name w:val="Note"/>
    <w:basedOn w:val="BodyText"/>
    <w:rsid w:val="00132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2D0E"/>
    <w:pPr>
      <w:framePr w:wrap="auto" w:hAnchor="text" w:y="6049"/>
    </w:pPr>
    <w:rPr>
      <w:color w:val="000000"/>
      <w:sz w:val="40"/>
    </w:rPr>
  </w:style>
  <w:style w:type="paragraph" w:customStyle="1" w:styleId="TOCTitle">
    <w:name w:val="TOCTitle"/>
    <w:basedOn w:val="Heading1"/>
    <w:rsid w:val="00132D0E"/>
    <w:pPr>
      <w:spacing w:after="240"/>
      <w:jc w:val="center"/>
      <w:outlineLvl w:val="9"/>
    </w:pPr>
    <w:rPr>
      <w:caps/>
    </w:rPr>
  </w:style>
  <w:style w:type="paragraph" w:customStyle="1" w:styleId="Version">
    <w:name w:val="Version"/>
    <w:rsid w:val="00132D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2D0E"/>
    <w:pPr>
      <w:keepNext w:val="0"/>
      <w:tabs>
        <w:tab w:val="right" w:pos="4176"/>
      </w:tabs>
      <w:ind w:left="198" w:hanging="198"/>
    </w:pPr>
    <w:rPr>
      <w:rFonts w:ascii="Garamond" w:hAnsi="Garamond"/>
    </w:rPr>
  </w:style>
  <w:style w:type="paragraph" w:styleId="IndexHeading">
    <w:name w:val="index heading"/>
    <w:basedOn w:val="Normal"/>
    <w:next w:val="Index1"/>
    <w:semiHidden/>
    <w:rsid w:val="00132D0E"/>
    <w:pPr>
      <w:spacing w:before="120" w:after="120"/>
    </w:pPr>
    <w:rPr>
      <w:rFonts w:ascii="Arial" w:hAnsi="Arial"/>
      <w:b/>
      <w:color w:val="918585"/>
      <w:sz w:val="24"/>
    </w:rPr>
  </w:style>
  <w:style w:type="paragraph" w:customStyle="1" w:styleId="Chapter">
    <w:name w:val="Chapter"/>
    <w:basedOn w:val="Normal"/>
    <w:rsid w:val="00132D0E"/>
    <w:pPr>
      <w:spacing w:before="240"/>
    </w:pPr>
    <w:rPr>
      <w:rFonts w:ascii="Times New Roman" w:hAnsi="Times New Roman"/>
      <w:smallCaps/>
      <w:spacing w:val="80"/>
      <w:sz w:val="28"/>
    </w:rPr>
  </w:style>
  <w:style w:type="paragraph" w:customStyle="1" w:styleId="InChapter">
    <w:name w:val="InChapter"/>
    <w:basedOn w:val="Heading3"/>
    <w:rsid w:val="00132D0E"/>
    <w:pPr>
      <w:spacing w:after="240"/>
      <w:outlineLvl w:val="9"/>
    </w:pPr>
    <w:rPr>
      <w:noProof/>
    </w:rPr>
  </w:style>
  <w:style w:type="paragraph" w:styleId="Index2">
    <w:name w:val="index 2"/>
    <w:basedOn w:val="Normal"/>
    <w:next w:val="Normal"/>
    <w:semiHidden/>
    <w:rsid w:val="00132D0E"/>
    <w:pPr>
      <w:tabs>
        <w:tab w:val="right" w:pos="4176"/>
      </w:tabs>
      <w:ind w:left="568" w:hanging="284"/>
    </w:pPr>
    <w:rPr>
      <w:rFonts w:ascii="Garamond" w:hAnsi="Garamond"/>
    </w:rPr>
  </w:style>
  <w:style w:type="paragraph" w:customStyle="1" w:styleId="Byline">
    <w:name w:val="Byline"/>
    <w:rsid w:val="00132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2D0E"/>
    <w:pPr>
      <w:tabs>
        <w:tab w:val="clear" w:pos="3600"/>
        <w:tab w:val="clear" w:pos="3958"/>
      </w:tabs>
      <w:jc w:val="right"/>
    </w:pPr>
  </w:style>
  <w:style w:type="character" w:styleId="Emphasis">
    <w:name w:val="Emphasis"/>
    <w:basedOn w:val="DefaultParagraphFont"/>
    <w:qFormat/>
    <w:rsid w:val="00132D0E"/>
    <w:rPr>
      <w:i/>
    </w:rPr>
  </w:style>
  <w:style w:type="paragraph" w:styleId="Caption">
    <w:name w:val="caption"/>
    <w:basedOn w:val="BodyText"/>
    <w:next w:val="Normal"/>
    <w:qFormat/>
    <w:rsid w:val="00132D0E"/>
    <w:pPr>
      <w:framePr w:w="2268" w:hSpace="181" w:vSpace="181" w:wrap="around" w:vAnchor="text" w:hAnchor="page" w:x="1135" w:y="285" w:anchorLock="1"/>
    </w:pPr>
    <w:rPr>
      <w:i/>
    </w:rPr>
  </w:style>
  <w:style w:type="paragraph" w:customStyle="1" w:styleId="MiniTOCTitle">
    <w:name w:val="MiniTOCTitle"/>
    <w:basedOn w:val="Heading4"/>
    <w:rsid w:val="00132D0E"/>
    <w:pPr>
      <w:spacing w:before="240"/>
      <w:outlineLvl w:val="9"/>
    </w:pPr>
    <w:rPr>
      <w:noProof/>
      <w:sz w:val="24"/>
    </w:rPr>
  </w:style>
  <w:style w:type="paragraph" w:customStyle="1" w:styleId="MiniTOCItem">
    <w:name w:val="MiniTOCItem"/>
    <w:basedOn w:val="ListBullet"/>
    <w:rsid w:val="00132D0E"/>
    <w:pPr>
      <w:numPr>
        <w:numId w:val="0"/>
      </w:numPr>
      <w:tabs>
        <w:tab w:val="right" w:leader="dot" w:pos="6521"/>
      </w:tabs>
      <w:spacing w:before="0" w:after="0"/>
    </w:pPr>
  </w:style>
  <w:style w:type="paragraph" w:customStyle="1" w:styleId="TOFTitle">
    <w:name w:val="TOFTitle"/>
    <w:basedOn w:val="TOCTitle"/>
    <w:rsid w:val="00132D0E"/>
  </w:style>
  <w:style w:type="paragraph" w:styleId="TableofFigures">
    <w:name w:val="table of figures"/>
    <w:basedOn w:val="Normal"/>
    <w:next w:val="Normal"/>
    <w:semiHidden/>
    <w:rsid w:val="00132D0E"/>
    <w:pPr>
      <w:tabs>
        <w:tab w:val="right" w:leader="dot" w:pos="9072"/>
      </w:tabs>
      <w:ind w:left="970" w:hanging="403"/>
    </w:pPr>
    <w:rPr>
      <w:rFonts w:ascii="Times New Roman" w:hAnsi="Times New Roman"/>
      <w:b/>
    </w:rPr>
  </w:style>
  <w:style w:type="paragraph" w:styleId="ListNumber">
    <w:name w:val="List Number"/>
    <w:basedOn w:val="List"/>
    <w:rsid w:val="00132D0E"/>
    <w:pPr>
      <w:numPr>
        <w:numId w:val="12"/>
      </w:numPr>
    </w:pPr>
  </w:style>
  <w:style w:type="character" w:customStyle="1" w:styleId="WingdingSymbols">
    <w:name w:val="Wingding Symbols"/>
    <w:rsid w:val="00132D0E"/>
    <w:rPr>
      <w:rFonts w:ascii="Wingdings" w:hAnsi="Wingdings"/>
    </w:rPr>
  </w:style>
  <w:style w:type="paragraph" w:customStyle="1" w:styleId="TableHeading">
    <w:name w:val="Table Heading"/>
    <w:basedOn w:val="HeadingBase"/>
    <w:rsid w:val="00132D0E"/>
    <w:pPr>
      <w:keepLines/>
      <w:pBdr>
        <w:bottom w:val="single" w:sz="6" w:space="1" w:color="918585"/>
      </w:pBdr>
      <w:spacing w:before="240"/>
    </w:pPr>
  </w:style>
  <w:style w:type="character" w:customStyle="1" w:styleId="HotSpot">
    <w:name w:val="HotSpot"/>
    <w:rsid w:val="00132D0E"/>
    <w:rPr>
      <w:color w:val="0033CC"/>
      <w:u w:val="none"/>
    </w:rPr>
  </w:style>
  <w:style w:type="paragraph" w:customStyle="1" w:styleId="BodyTextRight">
    <w:name w:val="Body Text Right"/>
    <w:basedOn w:val="BodyText"/>
    <w:rsid w:val="00132D0E"/>
    <w:pPr>
      <w:spacing w:before="0" w:after="0"/>
      <w:jc w:val="right"/>
    </w:pPr>
  </w:style>
  <w:style w:type="paragraph" w:styleId="Index3">
    <w:name w:val="index 3"/>
    <w:basedOn w:val="ListNumber2"/>
    <w:next w:val="Normal"/>
    <w:semiHidden/>
    <w:rsid w:val="00132D0E"/>
    <w:pPr>
      <w:numPr>
        <w:numId w:val="0"/>
      </w:numPr>
      <w:tabs>
        <w:tab w:val="right" w:leader="dot" w:pos="4176"/>
      </w:tabs>
    </w:pPr>
  </w:style>
  <w:style w:type="paragraph" w:styleId="ListNumber2">
    <w:name w:val="List Number 2"/>
    <w:basedOn w:val="List2"/>
    <w:rsid w:val="00132D0E"/>
    <w:pPr>
      <w:numPr>
        <w:numId w:val="11"/>
      </w:numPr>
      <w:tabs>
        <w:tab w:val="clear" w:pos="1060"/>
      </w:tabs>
    </w:pPr>
  </w:style>
  <w:style w:type="paragraph" w:customStyle="1" w:styleId="MarginNote">
    <w:name w:val="Margin Note"/>
    <w:basedOn w:val="BodyText"/>
    <w:rsid w:val="00132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2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2D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2D0E"/>
    <w:rPr>
      <w:sz w:val="32"/>
    </w:rPr>
  </w:style>
  <w:style w:type="paragraph" w:customStyle="1" w:styleId="HeadingProcedure">
    <w:name w:val="Heading Procedure"/>
    <w:basedOn w:val="HeadingBase"/>
    <w:next w:val="Normal"/>
    <w:rsid w:val="00132D0E"/>
    <w:pPr>
      <w:tabs>
        <w:tab w:val="left" w:pos="0"/>
      </w:tabs>
      <w:spacing w:before="120" w:after="60"/>
    </w:pPr>
    <w:rPr>
      <w:i/>
      <w:color w:val="918585"/>
      <w:sz w:val="22"/>
    </w:rPr>
  </w:style>
  <w:style w:type="paragraph" w:customStyle="1" w:styleId="TableBodyText">
    <w:name w:val="Table Body Text"/>
    <w:basedOn w:val="BodyText"/>
    <w:rsid w:val="00132D0E"/>
    <w:pPr>
      <w:spacing w:before="60" w:after="60"/>
    </w:pPr>
  </w:style>
  <w:style w:type="paragraph" w:styleId="ListContinue">
    <w:name w:val="List Continue"/>
    <w:basedOn w:val="List"/>
    <w:rsid w:val="00132D0E"/>
    <w:pPr>
      <w:ind w:firstLine="0"/>
    </w:pPr>
  </w:style>
  <w:style w:type="paragraph" w:customStyle="1" w:styleId="ListNote">
    <w:name w:val="List Note"/>
    <w:basedOn w:val="List"/>
    <w:rsid w:val="00132D0E"/>
    <w:pPr>
      <w:pBdr>
        <w:top w:val="single" w:sz="6" w:space="2" w:color="918585"/>
        <w:bottom w:val="single" w:sz="6" w:space="2" w:color="918585"/>
      </w:pBdr>
      <w:tabs>
        <w:tab w:val="left" w:pos="1021"/>
      </w:tabs>
      <w:ind w:firstLine="0"/>
    </w:pPr>
  </w:style>
  <w:style w:type="paragraph" w:customStyle="1" w:styleId="Warning">
    <w:name w:val="Warning"/>
    <w:basedOn w:val="BodyText"/>
    <w:rsid w:val="00132D0E"/>
    <w:pPr>
      <w:shd w:val="clear" w:color="auto" w:fill="D9D9D9"/>
      <w:tabs>
        <w:tab w:val="left" w:pos="992"/>
      </w:tabs>
      <w:ind w:left="119" w:right="119"/>
    </w:pPr>
    <w:rPr>
      <w:sz w:val="20"/>
    </w:rPr>
  </w:style>
  <w:style w:type="paragraph" w:customStyle="1" w:styleId="MarginIcons">
    <w:name w:val="Margin Icons"/>
    <w:basedOn w:val="BodyText"/>
    <w:rsid w:val="00132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2D0E"/>
    <w:rPr>
      <w:rFonts w:ascii="Courier New" w:hAnsi="Courier New"/>
    </w:rPr>
  </w:style>
  <w:style w:type="paragraph" w:customStyle="1" w:styleId="NoteBullet">
    <w:name w:val="Note Bullet"/>
    <w:basedOn w:val="Note"/>
    <w:rsid w:val="00132D0E"/>
    <w:pPr>
      <w:tabs>
        <w:tab w:val="clear" w:pos="680"/>
      </w:tabs>
      <w:spacing w:before="60" w:after="60"/>
    </w:pPr>
  </w:style>
  <w:style w:type="paragraph" w:customStyle="1" w:styleId="SubHeading2">
    <w:name w:val="SubHeading2"/>
    <w:basedOn w:val="HeadingBase"/>
    <w:rsid w:val="00132D0E"/>
    <w:pPr>
      <w:spacing w:before="240" w:after="60"/>
    </w:pPr>
    <w:rPr>
      <w:sz w:val="20"/>
    </w:rPr>
  </w:style>
  <w:style w:type="paragraph" w:customStyle="1" w:styleId="SubHeading1">
    <w:name w:val="SubHeading1"/>
    <w:basedOn w:val="HeadingBase"/>
    <w:rsid w:val="00132D0E"/>
    <w:pPr>
      <w:spacing w:before="240" w:after="60"/>
    </w:pPr>
    <w:rPr>
      <w:color w:val="918585"/>
      <w:sz w:val="22"/>
    </w:rPr>
  </w:style>
  <w:style w:type="paragraph" w:customStyle="1" w:styleId="SideHeading">
    <w:name w:val="Side Heading"/>
    <w:basedOn w:val="HeadingBase"/>
    <w:rsid w:val="00132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2D0E"/>
    <w:pPr>
      <w:numPr>
        <w:numId w:val="13"/>
      </w:numPr>
    </w:pPr>
  </w:style>
  <w:style w:type="paragraph" w:styleId="PlainText">
    <w:name w:val="Plain Text"/>
    <w:basedOn w:val="Normal"/>
    <w:link w:val="PlainTextChar"/>
    <w:rsid w:val="00132D0E"/>
    <w:rPr>
      <w:sz w:val="20"/>
    </w:rPr>
  </w:style>
  <w:style w:type="character" w:customStyle="1" w:styleId="PlainTextChar">
    <w:name w:val="Plain Text Char"/>
    <w:basedOn w:val="DefaultParagraphFont"/>
    <w:link w:val="PlainText"/>
    <w:rsid w:val="00132D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2D0E"/>
    <w:rPr>
      <w:b/>
      <w:smallCaps/>
    </w:rPr>
  </w:style>
  <w:style w:type="paragraph" w:customStyle="1" w:styleId="TableListNumber">
    <w:name w:val="Table List Number"/>
    <w:basedOn w:val="ListNumber"/>
    <w:rsid w:val="00132D0E"/>
    <w:pPr>
      <w:numPr>
        <w:numId w:val="0"/>
      </w:numPr>
    </w:pPr>
  </w:style>
  <w:style w:type="paragraph" w:styleId="TOC4">
    <w:name w:val="toc 4"/>
    <w:basedOn w:val="TOCBase"/>
    <w:next w:val="Normal"/>
    <w:semiHidden/>
    <w:rsid w:val="00132D0E"/>
    <w:pPr>
      <w:tabs>
        <w:tab w:val="right" w:leader="dot" w:pos="9071"/>
      </w:tabs>
      <w:ind w:left="1701"/>
    </w:pPr>
  </w:style>
  <w:style w:type="paragraph" w:customStyle="1" w:styleId="ListAlpha">
    <w:name w:val="List Alpha"/>
    <w:basedOn w:val="List"/>
    <w:rsid w:val="00132D0E"/>
    <w:pPr>
      <w:numPr>
        <w:numId w:val="10"/>
      </w:numPr>
    </w:pPr>
  </w:style>
  <w:style w:type="paragraph" w:customStyle="1" w:styleId="ListAlpha2">
    <w:name w:val="List Alpha 2"/>
    <w:basedOn w:val="List2"/>
    <w:rsid w:val="00132D0E"/>
    <w:pPr>
      <w:numPr>
        <w:numId w:val="9"/>
      </w:numPr>
    </w:pPr>
  </w:style>
  <w:style w:type="paragraph" w:styleId="List3">
    <w:name w:val="List 3"/>
    <w:basedOn w:val="BodyText"/>
    <w:rsid w:val="00132D0E"/>
    <w:pPr>
      <w:tabs>
        <w:tab w:val="left" w:pos="1021"/>
      </w:tabs>
      <w:spacing w:before="60" w:after="60"/>
      <w:ind w:left="1020" w:hanging="340"/>
    </w:pPr>
  </w:style>
  <w:style w:type="paragraph" w:styleId="List4">
    <w:name w:val="List 4"/>
    <w:basedOn w:val="BodyText"/>
    <w:rsid w:val="00132D0E"/>
    <w:pPr>
      <w:tabs>
        <w:tab w:val="left" w:pos="1361"/>
      </w:tabs>
      <w:spacing w:before="60" w:after="60"/>
      <w:ind w:left="1361" w:hanging="340"/>
    </w:pPr>
  </w:style>
  <w:style w:type="paragraph" w:styleId="List5">
    <w:name w:val="List 5"/>
    <w:basedOn w:val="BodyText"/>
    <w:rsid w:val="00132D0E"/>
    <w:pPr>
      <w:tabs>
        <w:tab w:val="left" w:pos="1701"/>
      </w:tabs>
      <w:spacing w:before="60" w:after="60"/>
      <w:ind w:left="1701" w:hanging="340"/>
    </w:pPr>
  </w:style>
  <w:style w:type="paragraph" w:styleId="ListBullet4">
    <w:name w:val="List Bullet 4"/>
    <w:basedOn w:val="List4"/>
    <w:rsid w:val="00132D0E"/>
    <w:pPr>
      <w:numPr>
        <w:numId w:val="4"/>
      </w:numPr>
    </w:pPr>
  </w:style>
  <w:style w:type="paragraph" w:styleId="ListBullet5">
    <w:name w:val="List Bullet 5"/>
    <w:basedOn w:val="List5"/>
    <w:rsid w:val="00132D0E"/>
    <w:pPr>
      <w:numPr>
        <w:numId w:val="5"/>
      </w:numPr>
    </w:pPr>
  </w:style>
  <w:style w:type="paragraph" w:styleId="ListContinue2">
    <w:name w:val="List Continue 2"/>
    <w:basedOn w:val="List2"/>
    <w:rsid w:val="00132D0E"/>
    <w:pPr>
      <w:ind w:firstLine="0"/>
    </w:pPr>
  </w:style>
  <w:style w:type="paragraph" w:styleId="ListContinue3">
    <w:name w:val="List Continue 3"/>
    <w:basedOn w:val="List3"/>
    <w:rsid w:val="00132D0E"/>
    <w:pPr>
      <w:ind w:left="1021" w:firstLine="0"/>
    </w:pPr>
  </w:style>
  <w:style w:type="paragraph" w:styleId="ListContinue4">
    <w:name w:val="List Continue 4"/>
    <w:basedOn w:val="List4"/>
    <w:rsid w:val="00132D0E"/>
    <w:pPr>
      <w:ind w:firstLine="0"/>
    </w:pPr>
  </w:style>
  <w:style w:type="paragraph" w:styleId="ListContinue5">
    <w:name w:val="List Continue 5"/>
    <w:basedOn w:val="List5"/>
    <w:rsid w:val="00132D0E"/>
    <w:pPr>
      <w:ind w:firstLine="0"/>
    </w:pPr>
  </w:style>
  <w:style w:type="paragraph" w:styleId="ListNumber3">
    <w:name w:val="List Number 3"/>
    <w:basedOn w:val="List3"/>
    <w:rsid w:val="00132D0E"/>
    <w:pPr>
      <w:numPr>
        <w:numId w:val="6"/>
      </w:numPr>
    </w:pPr>
  </w:style>
  <w:style w:type="paragraph" w:styleId="ListNumber4">
    <w:name w:val="List Number 4"/>
    <w:basedOn w:val="List4"/>
    <w:rsid w:val="00132D0E"/>
    <w:pPr>
      <w:numPr>
        <w:numId w:val="7"/>
      </w:numPr>
    </w:pPr>
  </w:style>
  <w:style w:type="paragraph" w:styleId="ListNumber5">
    <w:name w:val="List Number 5"/>
    <w:basedOn w:val="List5"/>
    <w:rsid w:val="00132D0E"/>
    <w:pPr>
      <w:numPr>
        <w:numId w:val="8"/>
      </w:numPr>
    </w:pPr>
  </w:style>
  <w:style w:type="paragraph" w:styleId="BlockText">
    <w:name w:val="Block Text"/>
    <w:basedOn w:val="Normal"/>
    <w:rsid w:val="00132D0E"/>
    <w:pPr>
      <w:spacing w:after="120"/>
      <w:ind w:left="1440" w:right="1440"/>
    </w:pPr>
  </w:style>
  <w:style w:type="character" w:customStyle="1" w:styleId="Subscript">
    <w:name w:val="Subscript"/>
    <w:basedOn w:val="DefaultParagraphFont"/>
    <w:rsid w:val="00132D0E"/>
    <w:rPr>
      <w:sz w:val="16"/>
      <w:vertAlign w:val="subscript"/>
    </w:rPr>
  </w:style>
  <w:style w:type="character" w:customStyle="1" w:styleId="Superscript">
    <w:name w:val="Superscript"/>
    <w:basedOn w:val="DefaultParagraphFont"/>
    <w:rsid w:val="00132D0E"/>
    <w:rPr>
      <w:sz w:val="16"/>
      <w:vertAlign w:val="superscript"/>
    </w:rPr>
  </w:style>
  <w:style w:type="character" w:customStyle="1" w:styleId="Symbols">
    <w:name w:val="Symbols"/>
    <w:basedOn w:val="DefaultParagraphFont"/>
    <w:rsid w:val="00132D0E"/>
    <w:rPr>
      <w:rFonts w:ascii="Symbol" w:hAnsi="Symbol"/>
    </w:rPr>
  </w:style>
  <w:style w:type="character" w:customStyle="1" w:styleId="MenuOptions">
    <w:name w:val="Menu Options"/>
    <w:basedOn w:val="DefaultParagraphFont"/>
    <w:rsid w:val="00132D0E"/>
    <w:rPr>
      <w:rFonts w:ascii="Arial Narrow" w:hAnsi="Arial Narrow"/>
      <w:smallCaps/>
    </w:rPr>
  </w:style>
  <w:style w:type="character" w:customStyle="1" w:styleId="Buttons">
    <w:name w:val="Buttons"/>
    <w:basedOn w:val="DefaultParagraphFont"/>
    <w:rsid w:val="00132D0E"/>
    <w:rPr>
      <w:b/>
    </w:rPr>
  </w:style>
  <w:style w:type="character" w:customStyle="1" w:styleId="Underlined">
    <w:name w:val="Underlined"/>
    <w:basedOn w:val="DefaultParagraphFont"/>
    <w:rsid w:val="00132D0E"/>
    <w:rPr>
      <w:u w:val="single"/>
    </w:rPr>
  </w:style>
  <w:style w:type="paragraph" w:customStyle="1" w:styleId="TableBodyTextRight">
    <w:name w:val="Table Body Text Right"/>
    <w:basedOn w:val="TableBodyText"/>
    <w:rsid w:val="00132D0E"/>
    <w:pPr>
      <w:widowControl w:val="0"/>
      <w:autoSpaceDE w:val="0"/>
      <w:autoSpaceDN w:val="0"/>
      <w:adjustRightInd w:val="0"/>
      <w:jc w:val="right"/>
    </w:pPr>
    <w:rPr>
      <w:rFonts w:cs="Arial"/>
      <w:szCs w:val="18"/>
    </w:rPr>
  </w:style>
  <w:style w:type="paragraph" w:customStyle="1" w:styleId="CopyrightText">
    <w:name w:val="Copyright Text"/>
    <w:basedOn w:val="BodyText"/>
    <w:rsid w:val="00132D0E"/>
    <w:rPr>
      <w:sz w:val="18"/>
    </w:rPr>
  </w:style>
  <w:style w:type="paragraph" w:customStyle="1" w:styleId="BodySmallRight">
    <w:name w:val="Body Small Right"/>
    <w:basedOn w:val="BodyTextRight"/>
    <w:rsid w:val="00132D0E"/>
    <w:rPr>
      <w:sz w:val="18"/>
      <w:szCs w:val="18"/>
    </w:rPr>
  </w:style>
  <w:style w:type="paragraph" w:customStyle="1" w:styleId="MarginEdition">
    <w:name w:val="Margin Edition"/>
    <w:basedOn w:val="MarginNote"/>
    <w:rsid w:val="00132D0E"/>
    <w:pPr>
      <w:spacing w:before="0" w:after="0"/>
    </w:pPr>
    <w:rPr>
      <w:rFonts w:ascii="Times New Roman" w:hAnsi="Times New Roman"/>
      <w:color w:val="999999"/>
    </w:rPr>
  </w:style>
  <w:style w:type="paragraph" w:customStyle="1" w:styleId="Spacer">
    <w:name w:val="Spacer"/>
    <w:basedOn w:val="Normal"/>
    <w:rsid w:val="00132D0E"/>
    <w:rPr>
      <w:sz w:val="2"/>
      <w:szCs w:val="2"/>
    </w:rPr>
  </w:style>
  <w:style w:type="character" w:customStyle="1" w:styleId="Small">
    <w:name w:val="Small"/>
    <w:basedOn w:val="DefaultParagraphFont"/>
    <w:rsid w:val="00132D0E"/>
    <w:rPr>
      <w:sz w:val="16"/>
    </w:rPr>
  </w:style>
  <w:style w:type="paragraph" w:customStyle="1" w:styleId="WideTable">
    <w:name w:val="Wide Table"/>
    <w:basedOn w:val="Normal"/>
    <w:rsid w:val="00132D0E"/>
    <w:pPr>
      <w:ind w:left="-1418"/>
    </w:pPr>
    <w:rPr>
      <w:sz w:val="2"/>
      <w:szCs w:val="2"/>
    </w:rPr>
  </w:style>
  <w:style w:type="character" w:styleId="PageNumber">
    <w:name w:val="page number"/>
    <w:basedOn w:val="DefaultParagraphFont"/>
    <w:rsid w:val="00132D0E"/>
  </w:style>
  <w:style w:type="paragraph" w:styleId="Quote">
    <w:name w:val="Quote"/>
    <w:basedOn w:val="Heading1"/>
    <w:link w:val="QuoteChar"/>
    <w:qFormat/>
    <w:rsid w:val="00132D0E"/>
    <w:rPr>
      <w:b w:val="0"/>
      <w:sz w:val="72"/>
      <w:szCs w:val="72"/>
      <w:lang w:val="en-NZ"/>
    </w:rPr>
  </w:style>
  <w:style w:type="character" w:customStyle="1" w:styleId="QuoteChar">
    <w:name w:val="Quote Char"/>
    <w:basedOn w:val="DefaultParagraphFont"/>
    <w:link w:val="Quote"/>
    <w:rsid w:val="00132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2D0E"/>
    <w:pPr>
      <w:pageBreakBefore/>
    </w:pPr>
  </w:style>
  <w:style w:type="paragraph" w:customStyle="1" w:styleId="Border">
    <w:name w:val="Border"/>
    <w:basedOn w:val="Normal"/>
    <w:qFormat/>
    <w:rsid w:val="00132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2D0E"/>
    <w:rPr>
      <w:b/>
      <w:bCs/>
      <w:i/>
      <w:iCs/>
      <w:color w:val="auto"/>
    </w:rPr>
  </w:style>
  <w:style w:type="paragraph" w:styleId="IntenseQuote">
    <w:name w:val="Intense Quote"/>
    <w:basedOn w:val="Normal"/>
    <w:next w:val="Normal"/>
    <w:link w:val="IntenseQuoteChar"/>
    <w:uiPriority w:val="30"/>
    <w:qFormat/>
    <w:rsid w:val="00132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2D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2D0E"/>
    <w:rPr>
      <w:smallCaps/>
      <w:color w:val="auto"/>
      <w:u w:val="single"/>
    </w:rPr>
  </w:style>
  <w:style w:type="character" w:styleId="IntenseReference">
    <w:name w:val="Intense Reference"/>
    <w:basedOn w:val="DefaultParagraphFont"/>
    <w:uiPriority w:val="32"/>
    <w:qFormat/>
    <w:rsid w:val="00132D0E"/>
    <w:rPr>
      <w:b/>
      <w:bCs/>
      <w:smallCaps/>
      <w:color w:val="auto"/>
      <w:spacing w:val="5"/>
      <w:u w:val="single"/>
    </w:rPr>
  </w:style>
  <w:style w:type="paragraph" w:customStyle="1" w:styleId="2ColumnHeading">
    <w:name w:val="2Column Heading"/>
    <w:basedOn w:val="BodyText"/>
    <w:qFormat/>
    <w:rsid w:val="00132D0E"/>
    <w:pPr>
      <w:spacing w:after="60"/>
      <w:ind w:left="-2268"/>
    </w:pPr>
    <w:rPr>
      <w:b/>
    </w:rPr>
  </w:style>
  <w:style w:type="paragraph" w:customStyle="1" w:styleId="Heading1TOC">
    <w:name w:val="Heading1 TOC"/>
    <w:basedOn w:val="Normal"/>
    <w:qFormat/>
    <w:rsid w:val="00132D0E"/>
    <w:pPr>
      <w:spacing w:before="240" w:after="120"/>
    </w:pPr>
    <w:rPr>
      <w:rFonts w:ascii="Times New Roman" w:hAnsi="Times New Roman"/>
      <w:b/>
      <w:sz w:val="32"/>
    </w:rPr>
  </w:style>
  <w:style w:type="paragraph" w:customStyle="1" w:styleId="Heading2TOC">
    <w:name w:val="Heading2 TOC"/>
    <w:basedOn w:val="Normal"/>
    <w:qFormat/>
    <w:rsid w:val="00132D0E"/>
    <w:pPr>
      <w:spacing w:before="240" w:after="60"/>
    </w:pPr>
    <w:rPr>
      <w:rFonts w:ascii="Times New Roman" w:hAnsi="Times New Roman"/>
      <w:b/>
      <w:sz w:val="28"/>
    </w:rPr>
  </w:style>
  <w:style w:type="character" w:customStyle="1" w:styleId="Underline">
    <w:name w:val="Underline"/>
    <w:basedOn w:val="DefaultParagraphFont"/>
    <w:qFormat/>
    <w:rsid w:val="00132D0E"/>
    <w:rPr>
      <w:u w:val="single"/>
    </w:rPr>
  </w:style>
  <w:style w:type="paragraph" w:styleId="BalloonText">
    <w:name w:val="Balloon Text"/>
    <w:basedOn w:val="Normal"/>
    <w:link w:val="BalloonTextChar"/>
    <w:rsid w:val="00132D0E"/>
    <w:rPr>
      <w:rFonts w:ascii="Tahoma" w:hAnsi="Tahoma" w:cs="Tahoma"/>
      <w:sz w:val="16"/>
      <w:szCs w:val="16"/>
    </w:rPr>
  </w:style>
  <w:style w:type="character" w:customStyle="1" w:styleId="BalloonTextChar">
    <w:name w:val="Balloon Text Char"/>
    <w:basedOn w:val="DefaultParagraphFont"/>
    <w:link w:val="BalloonText"/>
    <w:rsid w:val="00132D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2D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2D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1680</Words>
  <Characters>10851</Characters>
  <Application>Microsoft Office Word</Application>
  <DocSecurity>0</DocSecurity>
  <Lines>372</Lines>
  <Paragraphs>178</Paragraphs>
  <ScaleCrop>false</ScaleCrop>
  <Company>Author-it Software Corporation Ltd.</Company>
  <LinksUpToDate>false</LinksUpToDate>
  <CharactersWithSpaces>12453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CPCPFS4005A Commission fire alarm and detection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