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4ED" w:rsidP="009A74ED">
      <w:pPr>
        <w:pStyle w:val="Title"/>
      </w:pPr>
      <w:r>
        <w:fldChar w:fldCharType="begin"/>
      </w:r>
      <w:r>
        <w:instrText xml:space="preserve"> TITLE   \* MERGEFORMAT </w:instrText>
      </w:r>
      <w:r>
        <w:fldChar w:fldCharType="separate"/>
      </w:r>
      <w:r>
        <w:t>CPCPFS3021A Inspect and test fire pumpsets</w:t>
      </w:r>
      <w:r>
        <w:fldChar w:fldCharType="end"/>
      </w:r>
    </w:p>
    <w:p w:rsidR="009A74ED" w:rsidP="009A74ED">
      <w:pPr>
        <w:pStyle w:val="Version"/>
        <w:sectPr w:rsidSect="001C7C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C29" w:rsidP="001C7C29">
      <w:pPr>
        <w:pStyle w:val="SuperHeading"/>
      </w:pPr>
      <w:r w:rsidRPr="001C7C29">
        <w:t>CPCPFS3021A Inspect and test fire pumpsets</w:t>
      </w:r>
    </w:p>
    <w:p w:rsidR="00000000" w:rsidRPr="001C7C29" w:rsidP="001C7C29">
      <w:pPr>
        <w:pStyle w:val="Heading1"/>
      </w:pPr>
      <w:bookmarkStart w:id="1" w:name="O_269841"/>
      <w:bookmarkEnd w:id="1"/>
      <w:r w:rsidRPr="001C7C29">
        <w:t>Modification History</w:t>
      </w:r>
    </w:p>
    <w:p w:rsidR="00000000" w:rsidRPr="001C7C29" w:rsidP="001C7C29">
      <w:pPr>
        <w:pStyle w:val="BodyText"/>
      </w:pPr>
      <w:r w:rsidRPr="001C7C29">
        <w:t>Not Applicable</w:t>
      </w:r>
    </w:p>
    <w:p w:rsidR="00000000" w:rsidRPr="001C7C29" w:rsidP="001C7C29">
      <w:pPr>
        <w:pStyle w:val="AllowPageBreak"/>
      </w:pPr>
    </w:p>
    <w:p w:rsidR="00000000" w:rsidRPr="001C7C29" w:rsidP="001C7C29">
      <w:pPr>
        <w:pStyle w:val="Heading1"/>
      </w:pPr>
      <w:bookmarkStart w:id="2" w:name="O_199662"/>
      <w:bookmarkEnd w:id="2"/>
      <w:r w:rsidRPr="001C7C29">
        <w:t>Unit Descriptor</w:t>
      </w:r>
    </w:p>
    <w:tbl>
      <w:tblPr>
        <w:tblW w:w="0" w:type="auto"/>
        <w:tblLayout w:type="fixed"/>
        <w:tblCellMar>
          <w:left w:w="62" w:type="dxa"/>
          <w:right w:w="62" w:type="dxa"/>
        </w:tblCellMar>
        <w:tblLook w:val="0000"/>
      </w:tblPr>
      <w:tblGrid>
        <w:gridCol w:w="2569"/>
        <w:gridCol w:w="5953"/>
      </w:tblGrid>
      <w:tr w:rsidTr="009A74ED">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Unit descriptor</w:t>
            </w:r>
          </w:p>
        </w:tc>
        <w:tc>
          <w:tcPr>
            <w:tcW w:w="5953" w:type="dxa"/>
            <w:tcBorders>
              <w:top w:val="nil"/>
              <w:left w:val="nil"/>
              <w:bottom w:val="nil"/>
              <w:right w:val="nil"/>
            </w:tcBorders>
            <w:tcMar>
              <w:top w:w="0" w:type="dxa"/>
              <w:left w:w="62" w:type="dxa"/>
              <w:bottom w:w="0" w:type="dxa"/>
              <w:right w:w="62" w:type="dxa"/>
            </w:tcMar>
          </w:tcPr>
          <w:p w:rsidR="00000000" w:rsidRPr="001C7C29" w:rsidP="001C7C29">
            <w:pPr>
              <w:pStyle w:val="BodyText"/>
            </w:pPr>
            <w:r w:rsidRPr="001C7C29">
              <w:t>This unit of competency specifies the outcomes required to complete weekly, monthly, and six-monthly inspectio</w:t>
            </w:r>
            <w:r w:rsidRPr="001C7C29">
              <w:t>n and testing procedures to verify that fire pumpsets function as intended. The unit covers working safely, conducting compliance tests, visually inspecting, and identifying non-compliance defects. It involves mandatory reporting requirements, as well as g</w:t>
            </w:r>
            <w:r w:rsidRPr="001C7C29">
              <w:t>eneral isolations and resetting fire pumpsets.</w:t>
            </w:r>
          </w:p>
          <w:p w:rsidR="00000000" w:rsidRPr="001C7C29" w:rsidP="001C7C29">
            <w:pPr>
              <w:pStyle w:val="BodyText"/>
            </w:pPr>
            <w:r w:rsidRPr="001C7C29">
              <w:t xml:space="preserve">The fire protection technician is not permitted to undertake any installation, replacement, maintenance and repair functions that are restricted to licensed trades or occupations (subject to relevant state or </w:t>
            </w:r>
            <w:r w:rsidRPr="001C7C29">
              <w:t>territory regulations).</w:t>
            </w:r>
          </w:p>
          <w:p w:rsidR="00000000" w:rsidRPr="001C7C29" w:rsidP="001C7C29">
            <w:pPr>
              <w:pStyle w:val="BodyText"/>
            </w:pPr>
            <w:r w:rsidRPr="001C7C29">
              <w:t>Different states and territories may have regulatory mechanisms that apply to this unit. Candidates are advised to check for regulatory limitations.</w:t>
            </w:r>
          </w:p>
        </w:tc>
      </w:tr>
    </w:tbl>
    <w:p w:rsidR="009A74ED" w:rsidP="001C7C29">
      <w:pPr>
        <w:pStyle w:val="BodyText"/>
      </w:pPr>
    </w:p>
    <w:p w:rsidR="009A74ED" w:rsidP="001C7C29">
      <w:pPr>
        <w:pStyle w:val="BodyText"/>
      </w:pPr>
    </w:p>
    <w:p w:rsidR="00000000" w:rsidRPr="001C7C29" w:rsidP="001C7C29">
      <w:pPr>
        <w:pStyle w:val="Heading1"/>
      </w:pPr>
      <w:bookmarkStart w:id="3" w:name="O_199666"/>
      <w:bookmarkEnd w:id="3"/>
      <w:r w:rsidRPr="001C7C29">
        <w:t>Application of the Unit</w:t>
      </w:r>
    </w:p>
    <w:tbl>
      <w:tblPr>
        <w:tblW w:w="0" w:type="auto"/>
        <w:tblLayout w:type="fixed"/>
        <w:tblCellMar>
          <w:left w:w="62" w:type="dxa"/>
          <w:right w:w="62" w:type="dxa"/>
        </w:tblCellMar>
        <w:tblLook w:val="0000"/>
      </w:tblPr>
      <w:tblGrid>
        <w:gridCol w:w="2638"/>
        <w:gridCol w:w="5884"/>
      </w:tblGrid>
      <w:tr w:rsidTr="009A74ED">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Application of the unit</w:t>
            </w:r>
          </w:p>
        </w:tc>
        <w:tc>
          <w:tcPr>
            <w:tcW w:w="5884" w:type="dxa"/>
            <w:tcBorders>
              <w:top w:val="nil"/>
              <w:left w:val="nil"/>
              <w:bottom w:val="nil"/>
              <w:right w:val="nil"/>
            </w:tcBorders>
            <w:tcMar>
              <w:top w:w="0" w:type="dxa"/>
              <w:left w:w="62" w:type="dxa"/>
              <w:bottom w:w="0" w:type="dxa"/>
              <w:right w:w="62" w:type="dxa"/>
            </w:tcMar>
          </w:tcPr>
          <w:p w:rsidR="00000000" w:rsidRPr="001C7C29" w:rsidP="001C7C29">
            <w:pPr>
              <w:pStyle w:val="BodyText"/>
            </w:pPr>
            <w:r w:rsidRPr="001C7C29">
              <w:t xml:space="preserve">This unit of competency supports fire protection technicians responsible for inspecting and testing fire pumpsets. </w:t>
            </w:r>
          </w:p>
          <w:p w:rsidR="00000000" w:rsidRPr="001C7C29" w:rsidP="001C7C29">
            <w:pPr>
              <w:pStyle w:val="BodyText"/>
            </w:pPr>
            <w:r w:rsidRPr="001C7C29">
              <w:t>Individuals operate within the scope of their defined roles and responsibilities and perform the inspections and testing as part of their wo</w:t>
            </w:r>
            <w:r w:rsidRPr="001C7C29">
              <w:t>rk duties to verify that equipment functions as intended, according to work procedures and relevant Australian standards.</w:t>
            </w:r>
          </w:p>
          <w:p w:rsidR="00000000" w:rsidRPr="001C7C29" w:rsidP="001C7C29">
            <w:pPr>
              <w:pStyle w:val="BodyText"/>
            </w:pPr>
            <w:r w:rsidRPr="001C7C29">
              <w:t>The unit must be applied strictly according to relevant state or territory legislative and industry requirements.</w:t>
            </w:r>
          </w:p>
        </w:tc>
      </w:tr>
    </w:tbl>
    <w:p w:rsidR="009A74ED" w:rsidP="001C7C29">
      <w:pPr>
        <w:pStyle w:val="BodyText"/>
      </w:pPr>
    </w:p>
    <w:p w:rsidR="009A74ED" w:rsidP="001C7C29">
      <w:pPr>
        <w:pStyle w:val="BodyText"/>
      </w:pPr>
    </w:p>
    <w:p w:rsidR="00000000" w:rsidRPr="001C7C29" w:rsidP="001C7C29">
      <w:pPr>
        <w:pStyle w:val="Heading1"/>
      </w:pPr>
      <w:bookmarkStart w:id="4" w:name="O_278101"/>
      <w:bookmarkEnd w:id="4"/>
      <w:r w:rsidRPr="001C7C29">
        <w:t>Licensing/Regulatory Information</w:t>
      </w:r>
    </w:p>
    <w:p w:rsidR="00000000" w:rsidRPr="001C7C29" w:rsidP="001C7C29">
      <w:pPr>
        <w:pStyle w:val="BodyText"/>
      </w:pPr>
      <w:r w:rsidRPr="001C7C29">
        <w:t>Not Applicable</w:t>
      </w:r>
    </w:p>
    <w:p w:rsidR="00000000" w:rsidRPr="001C7C29" w:rsidP="001C7C29">
      <w:pPr>
        <w:pStyle w:val="AllowPageBreak"/>
      </w:pPr>
    </w:p>
    <w:p w:rsidR="00000000" w:rsidRPr="001C7C29" w:rsidP="001C7C29">
      <w:pPr>
        <w:pStyle w:val="Heading1"/>
      </w:pPr>
      <w:bookmarkStart w:id="5" w:name="O_199664"/>
      <w:bookmarkEnd w:id="5"/>
      <w:r w:rsidRPr="001C7C29">
        <w:t>Pre-Requisites</w:t>
      </w:r>
    </w:p>
    <w:tbl>
      <w:tblPr>
        <w:tblW w:w="0" w:type="auto"/>
        <w:tblLayout w:type="fixed"/>
        <w:tblCellMar>
          <w:left w:w="62" w:type="dxa"/>
          <w:right w:w="62" w:type="dxa"/>
        </w:tblCellMar>
        <w:tblLook w:val="0000"/>
      </w:tblPr>
      <w:tblGrid>
        <w:gridCol w:w="2565"/>
        <w:gridCol w:w="2417"/>
        <w:gridCol w:w="3540"/>
      </w:tblGrid>
      <w:tr w:rsidTr="009A74ED">
        <w:tblPrEx>
          <w:tblW w:w="0" w:type="auto"/>
          <w:tblLayout w:type="fixed"/>
          <w:tblCellMar>
            <w:left w:w="62" w:type="dxa"/>
            <w:right w:w="62" w:type="dxa"/>
          </w:tblCellMar>
          <w:tblLook w:val="0000"/>
        </w:tblPrEx>
        <w:trPr>
          <w:tblHeader/>
        </w:trPr>
        <w:tc>
          <w:tcPr>
            <w:tcW w:w="2565" w:type="dxa"/>
            <w:vMerge w:val="restart"/>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Prerequisite units</w:t>
            </w:r>
          </w:p>
        </w:tc>
        <w:tc>
          <w:tcPr>
            <w:tcW w:w="24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0"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p>
        </w:tc>
      </w:tr>
      <w:tr w:rsidTr="009A74ED">
        <w:tblPrEx>
          <w:tblW w:w="0" w:type="auto"/>
          <w:tblLayout w:type="fixed"/>
          <w:tblCellMar>
            <w:left w:w="62" w:type="dxa"/>
            <w:right w:w="62" w:type="dxa"/>
          </w:tblCellMar>
          <w:tblLook w:val="0000"/>
        </w:tblPrEx>
        <w:tc>
          <w:tcPr>
            <w:tcW w:w="256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t>CPCPCM2023A</w:t>
            </w:r>
          </w:p>
        </w:tc>
        <w:tc>
          <w:tcPr>
            <w:tcW w:w="3540" w:type="dxa"/>
            <w:tcBorders>
              <w:top w:val="nil"/>
              <w:left w:val="nil"/>
              <w:bottom w:val="nil"/>
              <w:right w:val="nil"/>
            </w:tcBorders>
            <w:tcMar>
              <w:top w:w="0" w:type="dxa"/>
              <w:left w:w="62" w:type="dxa"/>
              <w:bottom w:w="0" w:type="dxa"/>
              <w:right w:w="62" w:type="dxa"/>
            </w:tcMar>
          </w:tcPr>
          <w:p w:rsidR="00000000" w:rsidRPr="001C7C29" w:rsidP="001C7C29">
            <w:pPr>
              <w:pStyle w:val="BodyText"/>
            </w:pPr>
            <w:r w:rsidRPr="001C7C29">
              <w:t>Carry out OHS requirements</w:t>
            </w:r>
          </w:p>
          <w:p w:rsidR="00000000" w:rsidP="001C7C29">
            <w:pPr>
              <w:pStyle w:val="BodyText"/>
              <w:rPr>
                <w:lang w:val="en-NZ"/>
              </w:rPr>
            </w:pPr>
            <w:r w:rsidRPr="001C7C29">
              <w:rPr>
                <w:rStyle w:val="SpecialBold"/>
              </w:rPr>
              <w:t>OR BOTH</w:t>
            </w:r>
            <w:r w:rsidRPr="001C7C29">
              <w:t>:</w:t>
            </w:r>
          </w:p>
        </w:tc>
      </w:tr>
      <w:tr w:rsidTr="009A74ED">
        <w:tblPrEx>
          <w:tblW w:w="0" w:type="auto"/>
          <w:tblLayout w:type="fixed"/>
          <w:tblCellMar>
            <w:left w:w="62" w:type="dxa"/>
            <w:right w:w="62" w:type="dxa"/>
          </w:tblCellMar>
          <w:tblLook w:val="0000"/>
        </w:tblPrEx>
        <w:tc>
          <w:tcPr>
            <w:tcW w:w="256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t>CPPCMN2002A</w:t>
            </w:r>
          </w:p>
        </w:tc>
        <w:tc>
          <w:tcPr>
            <w:tcW w:w="3540"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t>Participate in workplace safety arrangements</w:t>
            </w:r>
          </w:p>
        </w:tc>
      </w:tr>
      <w:tr w:rsidTr="009A74ED">
        <w:tblPrEx>
          <w:tblW w:w="0" w:type="auto"/>
          <w:tblLayout w:type="fixed"/>
          <w:tblCellMar>
            <w:left w:w="62" w:type="dxa"/>
            <w:right w:w="62" w:type="dxa"/>
          </w:tblCellMar>
          <w:tblLook w:val="0000"/>
        </w:tblPrEx>
        <w:tc>
          <w:tcPr>
            <w:tcW w:w="256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rsidRPr="001C7C29">
            <w:pPr>
              <w:pStyle w:val="BodyText"/>
              <w:keepNext w:val="0"/>
              <w:keepLines w:val="0"/>
              <w:contextualSpacing w:val="0"/>
            </w:pPr>
          </w:p>
        </w:tc>
        <w:tc>
          <w:tcPr>
            <w:tcW w:w="3540"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AND</w:t>
            </w:r>
          </w:p>
        </w:tc>
      </w:tr>
      <w:tr w:rsidTr="009A74ED">
        <w:tblPrEx>
          <w:tblW w:w="0" w:type="auto"/>
          <w:tblLayout w:type="fixed"/>
          <w:tblCellMar>
            <w:left w:w="62" w:type="dxa"/>
            <w:right w:w="62" w:type="dxa"/>
          </w:tblCellMar>
          <w:tblLook w:val="0000"/>
        </w:tblPrEx>
        <w:tc>
          <w:tcPr>
            <w:tcW w:w="256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7"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t>CPPFES2006A</w:t>
            </w:r>
          </w:p>
        </w:tc>
        <w:tc>
          <w:tcPr>
            <w:tcW w:w="3540" w:type="dxa"/>
            <w:tcBorders>
              <w:top w:val="nil"/>
              <w:left w:val="nil"/>
              <w:bottom w:val="nil"/>
              <w:right w:val="nil"/>
            </w:tcBorders>
            <w:tcMar>
              <w:top w:w="0" w:type="dxa"/>
              <w:left w:w="62" w:type="dxa"/>
              <w:bottom w:w="0" w:type="dxa"/>
              <w:right w:w="62" w:type="dxa"/>
            </w:tcMar>
          </w:tcPr>
          <w:p w:rsidR="00000000" w:rsidRPr="001C7C29" w:rsidP="001C7C29">
            <w:pPr>
              <w:pStyle w:val="BodyText"/>
            </w:pPr>
            <w:r w:rsidRPr="001C7C29">
              <w:t>Prepare for installation and servicing operations</w:t>
            </w:r>
          </w:p>
        </w:tc>
      </w:tr>
    </w:tbl>
    <w:p w:rsidR="009A74ED" w:rsidP="001C7C29">
      <w:pPr>
        <w:pStyle w:val="BodyText"/>
      </w:pPr>
    </w:p>
    <w:p w:rsidR="009A74ED" w:rsidP="001C7C29">
      <w:pPr>
        <w:pStyle w:val="BodyText"/>
      </w:pPr>
    </w:p>
    <w:p w:rsidR="00000000" w:rsidRPr="001C7C29" w:rsidP="001C7C29">
      <w:pPr>
        <w:pStyle w:val="Heading1"/>
      </w:pPr>
      <w:bookmarkStart w:id="6" w:name="O_199663"/>
      <w:bookmarkEnd w:id="6"/>
      <w:r w:rsidRPr="001C7C29">
        <w:t>Employability Skills Information</w:t>
      </w:r>
    </w:p>
    <w:tbl>
      <w:tblPr>
        <w:tblW w:w="0" w:type="auto"/>
        <w:tblLayout w:type="fixed"/>
        <w:tblCellMar>
          <w:left w:w="62" w:type="dxa"/>
          <w:right w:w="62" w:type="dxa"/>
        </w:tblCellMar>
        <w:tblLook w:val="0000"/>
      </w:tblPr>
      <w:tblGrid>
        <w:gridCol w:w="2677"/>
        <w:gridCol w:w="5845"/>
      </w:tblGrid>
      <w:tr w:rsidTr="009A74ED">
        <w:tblPrEx>
          <w:tblW w:w="0" w:type="auto"/>
          <w:tblLayout w:type="fixed"/>
          <w:tblCellMar>
            <w:left w:w="62" w:type="dxa"/>
            <w:right w:w="62" w:type="dxa"/>
          </w:tblCellMar>
          <w:tblLook w:val="0000"/>
        </w:tblPrEx>
        <w:trPr>
          <w:tblHeader/>
        </w:trPr>
        <w:tc>
          <w:tcPr>
            <w:tcW w:w="2677"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Employability skills</w:t>
            </w:r>
          </w:p>
        </w:tc>
        <w:tc>
          <w:tcPr>
            <w:tcW w:w="5845"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t>This unit contains employability skills.</w:t>
            </w:r>
          </w:p>
        </w:tc>
      </w:tr>
      <w:tr w:rsidTr="009A74ED">
        <w:tblPrEx>
          <w:tblW w:w="0" w:type="auto"/>
          <w:tblLayout w:type="fixed"/>
          <w:tblCellMar>
            <w:left w:w="62" w:type="dxa"/>
            <w:right w:w="62" w:type="dxa"/>
          </w:tblCellMar>
          <w:tblLook w:val="0000"/>
        </w:tblPrEx>
        <w:tc>
          <w:tcPr>
            <w:tcW w:w="26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5" w:type="dxa"/>
            <w:tcBorders>
              <w:top w:val="nil"/>
              <w:left w:val="nil"/>
              <w:bottom w:val="nil"/>
              <w:right w:val="nil"/>
            </w:tcBorders>
            <w:tcMar>
              <w:top w:w="0" w:type="dxa"/>
              <w:left w:w="62" w:type="dxa"/>
              <w:bottom w:w="0" w:type="dxa"/>
              <w:right w:w="62" w:type="dxa"/>
            </w:tcMar>
          </w:tcPr>
          <w:p w:rsidR="00000000" w:rsidRPr="001C7C29" w:rsidP="001C7C29">
            <w:pPr>
              <w:pStyle w:val="BodyText"/>
            </w:pPr>
          </w:p>
        </w:tc>
      </w:tr>
    </w:tbl>
    <w:p w:rsidR="009A74ED" w:rsidP="001C7C29">
      <w:pPr>
        <w:pStyle w:val="BodyText"/>
      </w:pPr>
    </w:p>
    <w:p w:rsidR="009A74ED" w:rsidP="001C7C29">
      <w:pPr>
        <w:pStyle w:val="BodyText"/>
      </w:pPr>
    </w:p>
    <w:p w:rsidR="00000000" w:rsidRPr="001C7C29" w:rsidP="001C7C29">
      <w:pPr>
        <w:pStyle w:val="Heading1"/>
      </w:pPr>
      <w:bookmarkStart w:id="7" w:name="O_287887"/>
      <w:bookmarkEnd w:id="7"/>
      <w:r w:rsidRPr="001C7C29">
        <w:t>Elements and Performance Criteria Pre-Content</w:t>
      </w:r>
    </w:p>
    <w:tbl>
      <w:tblPr>
        <w:tblW w:w="0" w:type="auto"/>
        <w:tblLayout w:type="fixed"/>
        <w:tblCellMar>
          <w:left w:w="62" w:type="dxa"/>
          <w:right w:w="62" w:type="dxa"/>
        </w:tblCellMar>
        <w:tblLook w:val="0000"/>
      </w:tblPr>
      <w:tblGrid>
        <w:gridCol w:w="2567"/>
        <w:gridCol w:w="5955"/>
      </w:tblGrid>
      <w:tr w:rsidTr="009A74E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1C7C29" w:rsidP="001C7C29">
            <w:pPr>
              <w:pStyle w:val="BodyText"/>
            </w:pPr>
            <w:r w:rsidRPr="001C7C29">
              <w:t>Performance criteria describe the performance needed to demonstrate achievement of the element. Where bold italicised text is used, further information is detailed in the required skills and</w:t>
            </w:r>
            <w:r w:rsidRPr="001C7C29">
              <w:t xml:space="preserve"> knowledge section and the range statement. Assessment of performance is to be consistent with the evidence guide.</w:t>
            </w:r>
          </w:p>
        </w:tc>
      </w:tr>
    </w:tbl>
    <w:p w:rsidR="00000000" w:rsidRPr="001C7C29" w:rsidP="001C7C29">
      <w:pPr>
        <w:pStyle w:val="BodyText"/>
      </w:pPr>
    </w:p>
    <w:p w:rsidR="00000000" w:rsidRPr="001C7C29" w:rsidP="001C7C29">
      <w:pPr>
        <w:pStyle w:val="AllowPageBreak"/>
      </w:pPr>
    </w:p>
    <w:p w:rsidR="00000000" w:rsidRPr="001C7C29" w:rsidP="001C7C29">
      <w:pPr>
        <w:pStyle w:val="Heading1"/>
      </w:pPr>
      <w:bookmarkStart w:id="8" w:name="O_234554"/>
      <w:bookmarkEnd w:id="8"/>
      <w:r w:rsidRPr="001C7C29">
        <w:t>Elements and Performance Criteria</w:t>
      </w:r>
    </w:p>
    <w:tbl>
      <w:tblPr>
        <w:tblW w:w="0" w:type="auto"/>
        <w:tblLayout w:type="fixed"/>
        <w:tblCellMar>
          <w:left w:w="62" w:type="dxa"/>
          <w:right w:w="62" w:type="dxa"/>
        </w:tblCellMar>
        <w:tblLook w:val="0000"/>
      </w:tblPr>
      <w:tblGrid>
        <w:gridCol w:w="2567"/>
        <w:gridCol w:w="5955"/>
      </w:tblGrid>
      <w:tr w:rsidTr="009A74ED">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RPr="001C7C29" w:rsidP="001C7C29">
            <w:pPr>
              <w:pStyle w:val="BodyText"/>
            </w:pPr>
            <w:r w:rsidRPr="001C7C29">
              <w:rPr>
                <w:rStyle w:val="SpecialBold"/>
              </w:rPr>
              <w:t>ELEMENT</w:t>
            </w:r>
          </w:p>
        </w:tc>
        <w:tc>
          <w:tcPr>
            <w:tcW w:w="5955"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PERFORMANCE CRITERIA</w:t>
            </w:r>
          </w:p>
        </w:tc>
      </w:tr>
      <w:tr w:rsidTr="009A74E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C7C29">
            <w:pPr>
              <w:pStyle w:val="List"/>
              <w:rPr>
                <w:lang w:val="en-NZ"/>
              </w:rPr>
            </w:pPr>
            <w:r w:rsidRPr="001C7C29">
              <w:t>1.</w:t>
            </w:r>
            <w:r w:rsidRPr="001C7C29">
              <w:tab/>
              <w:t>Apply compliance requirements to service operations.</w:t>
            </w:r>
          </w:p>
        </w:tc>
        <w:tc>
          <w:tcPr>
            <w:tcW w:w="5955" w:type="dxa"/>
            <w:tcBorders>
              <w:top w:val="nil"/>
              <w:left w:val="nil"/>
              <w:bottom w:val="nil"/>
              <w:right w:val="nil"/>
            </w:tcBorders>
            <w:tcMar>
              <w:top w:w="0" w:type="dxa"/>
              <w:left w:w="62" w:type="dxa"/>
              <w:bottom w:w="0" w:type="dxa"/>
              <w:right w:w="62" w:type="dxa"/>
            </w:tcMar>
          </w:tcPr>
          <w:p w:rsidR="00000000" w:rsidRPr="001C7C29" w:rsidP="001C7C29">
            <w:pPr>
              <w:pStyle w:val="List2"/>
            </w:pPr>
            <w:r w:rsidRPr="001C7C29">
              <w:t>1.1.</w:t>
            </w:r>
            <w:r w:rsidRPr="001C7C29">
              <w:tab/>
            </w:r>
            <w:r w:rsidRPr="001C7C29">
              <w:rPr>
                <w:rStyle w:val="BoldandItalics"/>
              </w:rPr>
              <w:t>Legislative and industry requirements</w:t>
            </w:r>
            <w:r w:rsidRPr="001C7C29">
              <w:t xml:space="preserve"> are interpreted, confirmed and applied to </w:t>
            </w:r>
            <w:r w:rsidRPr="001C7C29">
              <w:rPr>
                <w:rStyle w:val="BoldandItalics"/>
              </w:rPr>
              <w:t>organisational</w:t>
            </w:r>
            <w:r w:rsidRPr="001C7C29">
              <w:t xml:space="preserve"> </w:t>
            </w:r>
            <w:r w:rsidRPr="001C7C29">
              <w:rPr>
                <w:rStyle w:val="BoldandItalics"/>
              </w:rPr>
              <w:t>requirements</w:t>
            </w:r>
            <w:r w:rsidRPr="001C7C29">
              <w:t>.</w:t>
            </w:r>
          </w:p>
          <w:p w:rsidR="00000000" w:rsidRPr="001C7C29" w:rsidP="001C7C29">
            <w:pPr>
              <w:pStyle w:val="List2"/>
            </w:pPr>
            <w:r w:rsidRPr="001C7C29">
              <w:t>1.2.</w:t>
            </w:r>
            <w:r w:rsidRPr="001C7C29">
              <w:tab/>
              <w:t xml:space="preserve">Location and equipment are </w:t>
            </w:r>
            <w:r w:rsidRPr="001C7C29">
              <w:rPr>
                <w:rStyle w:val="BoldandItalics"/>
              </w:rPr>
              <w:t>checked for compliance</w:t>
            </w:r>
            <w:r w:rsidRPr="001C7C29">
              <w:t xml:space="preserve"> with legislative and industry requirements, and </w:t>
            </w:r>
            <w:r w:rsidRPr="001C7C29">
              <w:rPr>
                <w:rStyle w:val="BoldandItalics"/>
              </w:rPr>
              <w:t>action</w:t>
            </w:r>
            <w:r w:rsidRPr="001C7C29">
              <w:t xml:space="preserve"> is taken according to organisati</w:t>
            </w:r>
            <w:r w:rsidRPr="001C7C29">
              <w:t xml:space="preserve">onal requirements. </w:t>
            </w:r>
          </w:p>
          <w:p w:rsidR="00000000" w:rsidP="001C7C29">
            <w:pPr>
              <w:pStyle w:val="List2"/>
              <w:rPr>
                <w:lang w:val="en-NZ"/>
              </w:rPr>
            </w:pPr>
            <w:r w:rsidRPr="001C7C29">
              <w:t>1.3.</w:t>
            </w:r>
            <w:r w:rsidRPr="001C7C29">
              <w:tab/>
              <w:t>Preparations are made for functional inspection and testing according to organisational requirements.</w:t>
            </w:r>
          </w:p>
        </w:tc>
      </w:tr>
      <w:tr w:rsidTr="009A74E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C7C29">
            <w:pPr>
              <w:pStyle w:val="List"/>
              <w:rPr>
                <w:lang w:val="en-NZ"/>
              </w:rPr>
            </w:pPr>
            <w:r w:rsidRPr="001C7C29">
              <w:t>2.</w:t>
            </w:r>
            <w:r w:rsidRPr="001C7C29">
              <w:tab/>
              <w:t>Conduct inspections and record results.</w:t>
            </w:r>
          </w:p>
        </w:tc>
        <w:tc>
          <w:tcPr>
            <w:tcW w:w="5955" w:type="dxa"/>
            <w:tcBorders>
              <w:top w:val="nil"/>
              <w:left w:val="nil"/>
              <w:bottom w:val="nil"/>
              <w:right w:val="nil"/>
            </w:tcBorders>
            <w:tcMar>
              <w:top w:w="0" w:type="dxa"/>
              <w:left w:w="62" w:type="dxa"/>
              <w:bottom w:w="0" w:type="dxa"/>
              <w:right w:w="62" w:type="dxa"/>
            </w:tcMar>
          </w:tcPr>
          <w:p w:rsidR="00000000" w:rsidRPr="001C7C29" w:rsidP="001C7C29">
            <w:pPr>
              <w:pStyle w:val="List2"/>
            </w:pPr>
            <w:r w:rsidRPr="001C7C29">
              <w:t>2.1.</w:t>
            </w:r>
            <w:r w:rsidRPr="001C7C29">
              <w:tab/>
              <w:t>Workplace procedures are followed and risk control measures are applied when ins</w:t>
            </w:r>
            <w:r w:rsidRPr="001C7C29">
              <w:t xml:space="preserve">pecting fire </w:t>
            </w:r>
            <w:r w:rsidRPr="001C7C29">
              <w:rPr>
                <w:rStyle w:val="BoldandItalics"/>
              </w:rPr>
              <w:t>pumpsets</w:t>
            </w:r>
            <w:r w:rsidRPr="001C7C29">
              <w:t>.</w:t>
            </w:r>
          </w:p>
          <w:p w:rsidR="00000000" w:rsidRPr="001C7C29" w:rsidP="001C7C29">
            <w:pPr>
              <w:pStyle w:val="List2"/>
            </w:pPr>
            <w:r w:rsidRPr="001C7C29">
              <w:t>2.2.</w:t>
            </w:r>
            <w:r w:rsidRPr="001C7C29">
              <w:tab/>
              <w:t>Fire pumpset controls are identified and their function determined, with reference to manufacturer instructions in order to conduct inspections and tests according to legislative and industry requirements.</w:t>
            </w:r>
          </w:p>
          <w:p w:rsidR="00000000" w:rsidRPr="001C7C29" w:rsidP="001C7C29">
            <w:pPr>
              <w:pStyle w:val="List2"/>
            </w:pPr>
            <w:r w:rsidRPr="001C7C29">
              <w:t>2.3.</w:t>
            </w:r>
            <w:r w:rsidRPr="001C7C29">
              <w:tab/>
              <w:t xml:space="preserve">Plant and other </w:t>
            </w:r>
            <w:r w:rsidRPr="001C7C29">
              <w:rPr>
                <w:rStyle w:val="BoldandItalics"/>
              </w:rPr>
              <w:t>s</w:t>
            </w:r>
            <w:r w:rsidRPr="001C7C29">
              <w:rPr>
                <w:rStyle w:val="BoldandItalics"/>
              </w:rPr>
              <w:t>ystem interfaces</w:t>
            </w:r>
            <w:r w:rsidRPr="001C7C29">
              <w:t xml:space="preserve"> that must be isolated to allow the inspection activities are identified.</w:t>
            </w:r>
          </w:p>
          <w:p w:rsidR="00000000" w:rsidRPr="001C7C29" w:rsidP="001C7C29">
            <w:pPr>
              <w:pStyle w:val="List2"/>
            </w:pPr>
            <w:r w:rsidRPr="001C7C29">
              <w:t>2.4.</w:t>
            </w:r>
            <w:r w:rsidRPr="001C7C29">
              <w:tab/>
              <w:t>Visual inspections are conducted as described in legislative and industry requirements.</w:t>
            </w:r>
          </w:p>
          <w:p w:rsidR="00000000" w:rsidRPr="001C7C29" w:rsidP="001C7C29">
            <w:pPr>
              <w:pStyle w:val="List2"/>
            </w:pPr>
            <w:r w:rsidRPr="001C7C29">
              <w:t>2.5.</w:t>
            </w:r>
            <w:r w:rsidRPr="001C7C29">
              <w:tab/>
              <w:t>Fire pumpset inspection results are recorded against requirements ac</w:t>
            </w:r>
            <w:r w:rsidRPr="001C7C29">
              <w:t>cording to legislative and industry requirements.</w:t>
            </w:r>
          </w:p>
          <w:p w:rsidR="00000000" w:rsidP="001C7C29">
            <w:pPr>
              <w:pStyle w:val="List2"/>
              <w:rPr>
                <w:lang w:val="en-NZ"/>
              </w:rPr>
            </w:pPr>
            <w:r w:rsidRPr="001C7C29">
              <w:t>2.6.</w:t>
            </w:r>
            <w:r w:rsidRPr="001C7C29">
              <w:tab/>
            </w:r>
            <w:r w:rsidRPr="001C7C29">
              <w:rPr>
                <w:rStyle w:val="BoldandItalics"/>
              </w:rPr>
              <w:t>Sustainability principles and concepts</w:t>
            </w:r>
            <w:r w:rsidRPr="001C7C29">
              <w:t xml:space="preserve"> are applied to work preparation and application.</w:t>
            </w:r>
          </w:p>
        </w:tc>
      </w:tr>
      <w:tr w:rsidTr="009A74E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C7C29">
            <w:pPr>
              <w:pStyle w:val="List"/>
              <w:rPr>
                <w:lang w:val="en-NZ"/>
              </w:rPr>
            </w:pPr>
            <w:r w:rsidRPr="001C7C29">
              <w:t>3.</w:t>
            </w:r>
            <w:r w:rsidRPr="001C7C29">
              <w:tab/>
              <w:t>Conduct tests and record results.</w:t>
            </w:r>
          </w:p>
        </w:tc>
        <w:tc>
          <w:tcPr>
            <w:tcW w:w="5955" w:type="dxa"/>
            <w:tcBorders>
              <w:top w:val="nil"/>
              <w:left w:val="nil"/>
              <w:bottom w:val="nil"/>
              <w:right w:val="nil"/>
            </w:tcBorders>
            <w:tcMar>
              <w:top w:w="0" w:type="dxa"/>
              <w:left w:w="62" w:type="dxa"/>
              <w:bottom w:w="0" w:type="dxa"/>
              <w:right w:w="62" w:type="dxa"/>
            </w:tcMar>
          </w:tcPr>
          <w:p w:rsidR="00000000" w:rsidRPr="001C7C29" w:rsidP="001C7C29">
            <w:pPr>
              <w:pStyle w:val="List2"/>
            </w:pPr>
            <w:r w:rsidRPr="001C7C29">
              <w:t>3.1.</w:t>
            </w:r>
            <w:r w:rsidRPr="001C7C29">
              <w:tab/>
            </w:r>
            <w:r w:rsidRPr="001C7C29">
              <w:t>Methods for tests are implemented according to legislative and industry requirements.</w:t>
            </w:r>
          </w:p>
          <w:p w:rsidR="00000000" w:rsidRPr="001C7C29" w:rsidP="001C7C29">
            <w:pPr>
              <w:pStyle w:val="List2"/>
            </w:pPr>
            <w:r w:rsidRPr="001C7C29">
              <w:t>3.2.</w:t>
            </w:r>
            <w:r w:rsidRPr="001C7C29">
              <w:tab/>
              <w:t xml:space="preserve">Routine </w:t>
            </w:r>
            <w:r w:rsidRPr="001C7C29">
              <w:rPr>
                <w:rStyle w:val="BoldandItalics"/>
              </w:rPr>
              <w:t>testing procedures</w:t>
            </w:r>
            <w:r w:rsidRPr="001C7C29">
              <w:t xml:space="preserve"> are conducted according to the required </w:t>
            </w:r>
            <w:r w:rsidRPr="001C7C29">
              <w:rPr>
                <w:rStyle w:val="BoldandItalics"/>
              </w:rPr>
              <w:t>frequency schedule</w:t>
            </w:r>
            <w:r w:rsidRPr="001C7C29">
              <w:t xml:space="preserve"> to verify that the system functions as intended. </w:t>
            </w:r>
          </w:p>
          <w:p w:rsidR="00000000" w:rsidRPr="001C7C29" w:rsidP="001C7C29">
            <w:pPr>
              <w:pStyle w:val="List2"/>
            </w:pPr>
            <w:r w:rsidRPr="001C7C29">
              <w:t>3.3.</w:t>
            </w:r>
            <w:r w:rsidRPr="001C7C29">
              <w:tab/>
              <w:t>Test results are compare</w:t>
            </w:r>
            <w:r w:rsidRPr="001C7C29">
              <w:t>d with legislative and industry requirements.</w:t>
            </w:r>
          </w:p>
          <w:p w:rsidR="00000000" w:rsidRPr="001C7C29" w:rsidP="001C7C29">
            <w:pPr>
              <w:pStyle w:val="List2"/>
            </w:pPr>
            <w:r w:rsidRPr="001C7C29">
              <w:t>3.4.</w:t>
            </w:r>
            <w:r w:rsidRPr="001C7C29">
              <w:tab/>
              <w:t>Results are documented according to legislative and industry requirements.</w:t>
            </w:r>
          </w:p>
          <w:p w:rsidR="00000000" w:rsidRPr="001C7C29" w:rsidP="001C7C29">
            <w:pPr>
              <w:pStyle w:val="List2"/>
            </w:pPr>
            <w:r w:rsidRPr="001C7C29">
              <w:t>3.5.</w:t>
            </w:r>
            <w:r w:rsidRPr="001C7C29">
              <w:tab/>
              <w:t>Report is completed and forwarded to relevant persons for action according to legislative and industry requirements.</w:t>
            </w:r>
          </w:p>
          <w:p w:rsidR="00000000" w:rsidRPr="001C7C29" w:rsidP="001C7C29">
            <w:pPr>
              <w:pStyle w:val="List2"/>
            </w:pPr>
            <w:r w:rsidRPr="001C7C29">
              <w:t>3.6.</w:t>
            </w:r>
            <w:r w:rsidRPr="001C7C29">
              <w:tab/>
              <w:t>Sys</w:t>
            </w:r>
            <w:r w:rsidRPr="001C7C29">
              <w:t>tem is reinstated according to organisational requirements.</w:t>
            </w:r>
          </w:p>
        </w:tc>
      </w:tr>
    </w:tbl>
    <w:p w:rsidR="009A74ED" w:rsidP="001C7C29">
      <w:pPr>
        <w:pStyle w:val="BodyText"/>
      </w:pPr>
    </w:p>
    <w:p w:rsidR="009A74ED" w:rsidP="001C7C29">
      <w:pPr>
        <w:pStyle w:val="BodyText"/>
      </w:pPr>
    </w:p>
    <w:p w:rsidR="00000000" w:rsidRPr="001C7C29" w:rsidP="001C7C29">
      <w:pPr>
        <w:pStyle w:val="Heading1"/>
      </w:pPr>
      <w:bookmarkStart w:id="9" w:name="O_258504"/>
      <w:bookmarkEnd w:id="9"/>
      <w:r w:rsidRPr="001C7C29">
        <w:t>Required Skills and Knowledge</w:t>
      </w:r>
    </w:p>
    <w:tbl>
      <w:tblPr>
        <w:tblW w:w="0" w:type="auto"/>
        <w:tblLayout w:type="fixed"/>
        <w:tblCellMar>
          <w:left w:w="62" w:type="dxa"/>
          <w:right w:w="62" w:type="dxa"/>
        </w:tblCellMar>
        <w:tblLook w:val="0000"/>
      </w:tblPr>
      <w:tblGrid>
        <w:gridCol w:w="8522"/>
      </w:tblGrid>
      <w:tr w:rsidTr="009A74E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REQUIRED SKILLS AND KNOWLEDGE</w:t>
            </w:r>
          </w:p>
        </w:tc>
      </w:tr>
      <w:tr w:rsidTr="009A74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t>This section describes the skills and knowledge required for this unit.</w:t>
            </w:r>
          </w:p>
        </w:tc>
      </w:tr>
      <w:tr w:rsidTr="009A74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Required skills</w:t>
            </w:r>
          </w:p>
        </w:tc>
      </w:tr>
      <w:tr w:rsidTr="009A74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7C29" w:rsidP="001C7C29">
            <w:pPr>
              <w:pStyle w:val="ListBullet"/>
            </w:pPr>
            <w:r w:rsidRPr="001C7C29">
              <w:t>language, literacy and numeracy skills to:</w:t>
            </w:r>
          </w:p>
          <w:p w:rsidR="00000000" w:rsidRPr="001C7C29" w:rsidP="001C7C29">
            <w:pPr>
              <w:pStyle w:val="ListBullet2"/>
            </w:pPr>
            <w:r w:rsidRPr="001C7C29">
              <w:t>communicate with others clearly and concisely, verbally and in writing</w:t>
            </w:r>
          </w:p>
          <w:p w:rsidR="00000000" w:rsidRPr="001C7C29" w:rsidP="001C7C29">
            <w:pPr>
              <w:pStyle w:val="ListBullet2"/>
            </w:pPr>
            <w:r w:rsidRPr="001C7C29">
              <w:t>read and comply with work instructions and specifications</w:t>
            </w:r>
          </w:p>
          <w:p w:rsidR="00000000" w:rsidRPr="001C7C29" w:rsidP="001C7C29">
            <w:pPr>
              <w:pStyle w:val="ListBullet2"/>
            </w:pPr>
            <w:r w:rsidRPr="001C7C29">
              <w:t>read and record measurements</w:t>
            </w:r>
          </w:p>
          <w:p w:rsidR="00000000" w:rsidRPr="001C7C29" w:rsidP="001C7C29">
            <w:pPr>
              <w:pStyle w:val="ListBullet2"/>
            </w:pPr>
            <w:r w:rsidRPr="001C7C29">
              <w:t>record and report information neatly and legibly</w:t>
            </w:r>
          </w:p>
          <w:p w:rsidR="00000000" w:rsidRPr="001C7C29" w:rsidP="001C7C29">
            <w:pPr>
              <w:pStyle w:val="ListBullet"/>
            </w:pPr>
            <w:r w:rsidRPr="001C7C29">
              <w:t>planning and organising skills to:</w:t>
            </w:r>
          </w:p>
          <w:p w:rsidR="00000000" w:rsidRPr="001C7C29" w:rsidP="001C7C29">
            <w:pPr>
              <w:pStyle w:val="ListBullet2"/>
            </w:pPr>
            <w:r w:rsidRPr="001C7C29">
              <w:t>estimate time to complete activities</w:t>
            </w:r>
          </w:p>
          <w:p w:rsidR="00000000" w:rsidRPr="001C7C29" w:rsidP="001C7C29">
            <w:pPr>
              <w:pStyle w:val="ListBullet2"/>
            </w:pPr>
            <w:r w:rsidRPr="001C7C29">
              <w:t>prioritise tasks</w:t>
            </w:r>
          </w:p>
          <w:p w:rsidR="00000000" w:rsidRPr="001C7C29" w:rsidP="001C7C29">
            <w:pPr>
              <w:pStyle w:val="ListBullet"/>
            </w:pPr>
            <w:r w:rsidRPr="001C7C29">
              <w:t>interpersonal skills to relate to people from a range of social and cultural backgrounds</w:t>
            </w:r>
          </w:p>
          <w:p w:rsidR="00000000" w:rsidRPr="001C7C29" w:rsidP="001C7C29">
            <w:pPr>
              <w:pStyle w:val="ListBullet"/>
            </w:pPr>
            <w:r w:rsidRPr="001C7C29">
              <w:t>customer service skills</w:t>
            </w:r>
          </w:p>
          <w:p w:rsidR="00000000" w:rsidRPr="001C7C29" w:rsidP="001C7C29">
            <w:pPr>
              <w:pStyle w:val="ListBullet"/>
            </w:pPr>
            <w:r w:rsidRPr="001C7C29">
              <w:t>technical skills to:</w:t>
            </w:r>
          </w:p>
          <w:p w:rsidR="00000000" w:rsidRPr="001C7C29" w:rsidP="001C7C29">
            <w:pPr>
              <w:pStyle w:val="ListBullet2"/>
            </w:pPr>
            <w:r w:rsidRPr="001C7C29">
              <w:t>operate valves, switches and l</w:t>
            </w:r>
            <w:r w:rsidRPr="001C7C29">
              <w:t>evers to test system operation</w:t>
            </w:r>
          </w:p>
          <w:p w:rsidR="00000000" w:rsidRPr="001C7C29" w:rsidP="001C7C29">
            <w:pPr>
              <w:pStyle w:val="ListBullet2"/>
            </w:pPr>
            <w:r w:rsidRPr="001C7C29">
              <w:t>use hand and power tools</w:t>
            </w:r>
          </w:p>
          <w:p w:rsidR="00000000" w:rsidP="001C7C29">
            <w:pPr>
              <w:pStyle w:val="ListBullet2"/>
              <w:rPr>
                <w:lang w:val="en-NZ"/>
              </w:rPr>
            </w:pPr>
            <w:r w:rsidRPr="001C7C29">
              <w:t>work safely when performing work tasks, including workplace housekeeping procedures</w:t>
            </w:r>
          </w:p>
        </w:tc>
      </w:tr>
      <w:tr w:rsidTr="009A74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Required knowledge</w:t>
            </w:r>
          </w:p>
        </w:tc>
      </w:tr>
      <w:tr w:rsidTr="009A74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7C29" w:rsidP="001C7C29">
            <w:pPr>
              <w:pStyle w:val="ListBullet"/>
            </w:pPr>
            <w:r w:rsidRPr="001C7C29">
              <w:t xml:space="preserve">application of fire pumpsets as defined in AS 2941 Fixed fire protection installations </w:t>
            </w:r>
            <w:r w:rsidRPr="001C7C29">
              <w:t>- Pumpset systems and AS 2118 Automatic fire sprinkler systems, and used in systems</w:t>
            </w:r>
          </w:p>
          <w:p w:rsidR="00000000" w:rsidRPr="001C7C29" w:rsidP="001C7C29">
            <w:pPr>
              <w:pStyle w:val="ListBullet"/>
            </w:pPr>
            <w:r w:rsidRPr="001C7C29">
              <w:t>basic principles of hydraulics:</w:t>
            </w:r>
          </w:p>
          <w:p w:rsidR="00000000" w:rsidRPr="001C7C29" w:rsidP="001C7C29">
            <w:pPr>
              <w:pStyle w:val="ListBullet2"/>
            </w:pPr>
            <w:r w:rsidRPr="001C7C29">
              <w:t>basic head or pressure calculation for height per metre</w:t>
            </w:r>
          </w:p>
          <w:p w:rsidR="00000000" w:rsidRPr="001C7C29" w:rsidP="001C7C29">
            <w:pPr>
              <w:pStyle w:val="ListBullet2"/>
            </w:pPr>
            <w:r w:rsidRPr="001C7C29">
              <w:t>metric and imperial pressure scales</w:t>
            </w:r>
          </w:p>
          <w:p w:rsidR="00000000" w:rsidRPr="001C7C29" w:rsidP="001C7C29">
            <w:pPr>
              <w:pStyle w:val="ListBullet2"/>
            </w:pPr>
            <w:r w:rsidRPr="001C7C29">
              <w:t>properties of water:</w:t>
            </w:r>
          </w:p>
          <w:p w:rsidR="00000000" w:rsidRPr="001C7C29" w:rsidP="001C7C29">
            <w:pPr>
              <w:pStyle w:val="ListBullet3"/>
            </w:pPr>
            <w:r w:rsidRPr="001C7C29">
              <w:t>three states of matter</w:t>
            </w:r>
          </w:p>
          <w:p w:rsidR="00000000" w:rsidRPr="001C7C29" w:rsidP="001C7C29">
            <w:pPr>
              <w:pStyle w:val="ListBullet3"/>
            </w:pPr>
            <w:r w:rsidRPr="001C7C29">
              <w:t>incompressible</w:t>
            </w:r>
          </w:p>
          <w:p w:rsidR="00000000" w:rsidRPr="001C7C29" w:rsidP="001C7C29">
            <w:pPr>
              <w:pStyle w:val="ListBullet"/>
            </w:pPr>
            <w:r w:rsidRPr="001C7C29">
              <w:t>basic principles of operation and purpose of components:</w:t>
            </w:r>
          </w:p>
          <w:p w:rsidR="00000000" w:rsidRPr="001C7C29" w:rsidP="001C7C29">
            <w:pPr>
              <w:pStyle w:val="ListBullet2"/>
            </w:pPr>
            <w:r w:rsidRPr="001C7C29">
              <w:t>accumulators</w:t>
            </w:r>
          </w:p>
          <w:p w:rsidR="00000000" w:rsidRPr="001C7C29" w:rsidP="001C7C29">
            <w:pPr>
              <w:pStyle w:val="ListBullet2"/>
            </w:pPr>
            <w:r w:rsidRPr="001C7C29">
              <w:t>batteries</w:t>
            </w:r>
          </w:p>
          <w:p w:rsidR="00000000" w:rsidRPr="001C7C29" w:rsidP="001C7C29">
            <w:pPr>
              <w:pStyle w:val="ListBullet2"/>
            </w:pPr>
            <w:r w:rsidRPr="001C7C29">
              <w:t>circulation and system pressure relief valves</w:t>
            </w:r>
          </w:p>
          <w:p w:rsidR="00000000" w:rsidRPr="001C7C29" w:rsidP="001C7C29">
            <w:pPr>
              <w:pStyle w:val="ListBullet2"/>
            </w:pPr>
            <w:r w:rsidRPr="001C7C29">
              <w:t>compression ignition pumpset drivers</w:t>
            </w:r>
          </w:p>
          <w:p w:rsidR="00000000" w:rsidRPr="001C7C29" w:rsidP="001C7C29">
            <w:pPr>
              <w:pStyle w:val="ListBullet2"/>
            </w:pPr>
            <w:r w:rsidRPr="001C7C29">
              <w:t>electrical pumpset drivers</w:t>
            </w:r>
          </w:p>
          <w:p w:rsidR="00000000" w:rsidRPr="001C7C29" w:rsidP="001C7C29">
            <w:pPr>
              <w:pStyle w:val="ListBullet2"/>
            </w:pPr>
            <w:r w:rsidRPr="001C7C29">
              <w:t>engine starting and control or monitor batteries</w:t>
            </w:r>
          </w:p>
          <w:p w:rsidR="00000000" w:rsidRPr="001C7C29" w:rsidP="001C7C29">
            <w:pPr>
              <w:pStyle w:val="ListBullet2"/>
            </w:pPr>
            <w:r w:rsidRPr="001C7C29">
              <w:t>header tanks</w:t>
            </w:r>
          </w:p>
          <w:p w:rsidR="00000000" w:rsidRPr="001C7C29" w:rsidP="001C7C29">
            <w:pPr>
              <w:pStyle w:val="ListBullet2"/>
            </w:pPr>
            <w:r w:rsidRPr="001C7C29">
              <w:t>impellers</w:t>
            </w:r>
          </w:p>
          <w:p w:rsidR="00000000" w:rsidRPr="001C7C29" w:rsidP="001C7C29">
            <w:pPr>
              <w:pStyle w:val="ListBullet2"/>
            </w:pPr>
            <w:r w:rsidRPr="001C7C29">
              <w:t>isolating valves associated with pumpsets</w:t>
            </w:r>
          </w:p>
          <w:p w:rsidR="00000000" w:rsidRPr="001C7C29" w:rsidP="001C7C29">
            <w:pPr>
              <w:pStyle w:val="ListBullet2"/>
            </w:pPr>
            <w:r w:rsidRPr="001C7C29">
              <w:t>jacking or jockey pumps</w:t>
            </w:r>
          </w:p>
          <w:p w:rsidR="00000000" w:rsidRPr="001C7C29" w:rsidP="001C7C29">
            <w:pPr>
              <w:pStyle w:val="ListBullet2"/>
            </w:pPr>
            <w:r w:rsidRPr="001C7C29">
              <w:t>multi-stage pumps</w:t>
            </w:r>
          </w:p>
          <w:p w:rsidR="00000000" w:rsidRPr="001C7C29" w:rsidP="001C7C29">
            <w:pPr>
              <w:pStyle w:val="ListBullet2"/>
            </w:pPr>
            <w:r w:rsidRPr="001C7C29">
              <w:t>pressure gauges</w:t>
            </w:r>
          </w:p>
          <w:p w:rsidR="00000000" w:rsidRPr="001C7C29" w:rsidP="001C7C29">
            <w:pPr>
              <w:pStyle w:val="ListBullet2"/>
            </w:pPr>
            <w:r w:rsidRPr="001C7C29">
              <w:t>pump controllers and ancillary equipment for control and indications</w:t>
            </w:r>
          </w:p>
          <w:p w:rsidR="00000000" w:rsidRPr="001C7C29" w:rsidP="001C7C29">
            <w:pPr>
              <w:pStyle w:val="ListBullet2"/>
            </w:pPr>
            <w:r w:rsidRPr="001C7C29">
              <w:t>pump drivers</w:t>
            </w:r>
          </w:p>
          <w:p w:rsidR="00000000" w:rsidRPr="001C7C29" w:rsidP="001C7C29">
            <w:pPr>
              <w:pStyle w:val="ListBullet2"/>
            </w:pPr>
            <w:r w:rsidRPr="001C7C29">
              <w:t>pump glands and seals</w:t>
            </w:r>
          </w:p>
          <w:p w:rsidR="00000000" w:rsidRPr="001C7C29" w:rsidP="001C7C29">
            <w:pPr>
              <w:pStyle w:val="ListBullet2"/>
            </w:pPr>
            <w:r w:rsidRPr="001C7C29">
              <w:t>pump performance curves</w:t>
            </w:r>
          </w:p>
          <w:p w:rsidR="00000000" w:rsidRPr="001C7C29" w:rsidP="001C7C29">
            <w:pPr>
              <w:pStyle w:val="ListBullet2"/>
            </w:pPr>
            <w:r w:rsidRPr="001C7C29">
              <w:t xml:space="preserve">pump </w:t>
            </w:r>
            <w:r w:rsidRPr="001C7C29">
              <w:t>starting devices</w:t>
            </w:r>
          </w:p>
          <w:p w:rsidR="00000000" w:rsidRPr="001C7C29" w:rsidP="001C7C29">
            <w:pPr>
              <w:pStyle w:val="ListBullet2"/>
            </w:pPr>
            <w:r w:rsidRPr="001C7C29">
              <w:t>pumpset couplings</w:t>
            </w:r>
          </w:p>
          <w:p w:rsidR="00000000" w:rsidRPr="001C7C29" w:rsidP="001C7C29">
            <w:pPr>
              <w:pStyle w:val="ListBullet2"/>
            </w:pPr>
            <w:r w:rsidRPr="001C7C29">
              <w:t>safety guards</w:t>
            </w:r>
          </w:p>
          <w:p w:rsidR="00000000" w:rsidRPr="001C7C29" w:rsidP="001C7C29">
            <w:pPr>
              <w:pStyle w:val="ListBullet2"/>
            </w:pPr>
            <w:r w:rsidRPr="001C7C29">
              <w:t>system pressure gauge schedules</w:t>
            </w:r>
          </w:p>
          <w:p w:rsidR="00000000" w:rsidRPr="001C7C29" w:rsidP="001C7C29">
            <w:pPr>
              <w:pStyle w:val="ListBullet2"/>
            </w:pPr>
            <w:r w:rsidRPr="001C7C29">
              <w:t>water supply tanks:</w:t>
            </w:r>
          </w:p>
          <w:p w:rsidR="00000000" w:rsidRPr="001C7C29" w:rsidP="001C7C29">
            <w:pPr>
              <w:pStyle w:val="ListBullet3"/>
            </w:pPr>
            <w:r w:rsidRPr="001C7C29">
              <w:t>atmospheric</w:t>
            </w:r>
          </w:p>
          <w:p w:rsidR="00000000" w:rsidRPr="001C7C29" w:rsidP="001C7C29">
            <w:pPr>
              <w:pStyle w:val="ListBullet3"/>
            </w:pPr>
            <w:r w:rsidRPr="001C7C29">
              <w:t>pressure</w:t>
            </w:r>
          </w:p>
          <w:p w:rsidR="00000000" w:rsidRPr="001C7C29" w:rsidP="001C7C29">
            <w:pPr>
              <w:pStyle w:val="ListBullet3"/>
            </w:pPr>
            <w:r w:rsidRPr="001C7C29">
              <w:t xml:space="preserve">suction with priming tanks </w:t>
            </w:r>
          </w:p>
          <w:p w:rsidR="00000000" w:rsidRPr="001C7C29" w:rsidP="001C7C29">
            <w:pPr>
              <w:pStyle w:val="ListBullet"/>
            </w:pPr>
            <w:r w:rsidRPr="001C7C29">
              <w:t>general operation of pumpsets:</w:t>
            </w:r>
          </w:p>
          <w:p w:rsidR="00000000" w:rsidRPr="001C7C29" w:rsidP="001C7C29">
            <w:pPr>
              <w:pStyle w:val="ListBullet2"/>
            </w:pPr>
            <w:r w:rsidRPr="001C7C29">
              <w:t>cooling systems</w:t>
            </w:r>
          </w:p>
          <w:p w:rsidR="00000000" w:rsidRPr="001C7C29" w:rsidP="001C7C29">
            <w:pPr>
              <w:pStyle w:val="ListBullet2"/>
            </w:pPr>
            <w:r w:rsidRPr="001C7C29">
              <w:t>design speed requirements</w:t>
            </w:r>
          </w:p>
          <w:p w:rsidR="00000000" w:rsidRPr="001C7C29" w:rsidP="001C7C29">
            <w:pPr>
              <w:pStyle w:val="ListBullet2"/>
            </w:pPr>
            <w:r w:rsidRPr="001C7C29">
              <w:t>exhaust systems</w:t>
            </w:r>
          </w:p>
          <w:p w:rsidR="00000000" w:rsidRPr="001C7C29" w:rsidP="001C7C29">
            <w:pPr>
              <w:pStyle w:val="ListBullet2"/>
            </w:pPr>
            <w:r w:rsidRPr="001C7C29">
              <w:t>fuel systems</w:t>
            </w:r>
          </w:p>
          <w:p w:rsidR="00000000" w:rsidRPr="001C7C29" w:rsidP="001C7C29">
            <w:pPr>
              <w:pStyle w:val="ListBullet2"/>
            </w:pPr>
            <w:r w:rsidRPr="001C7C29">
              <w:t>full load operation</w:t>
            </w:r>
          </w:p>
          <w:p w:rsidR="00000000" w:rsidRPr="001C7C29" w:rsidP="001C7C29">
            <w:pPr>
              <w:pStyle w:val="ListBullet2"/>
            </w:pPr>
            <w:r w:rsidRPr="001C7C29">
              <w:t>normal running operation</w:t>
            </w:r>
          </w:p>
          <w:p w:rsidR="00000000" w:rsidRPr="001C7C29" w:rsidP="001C7C29">
            <w:pPr>
              <w:pStyle w:val="ListBullet2"/>
            </w:pPr>
            <w:r w:rsidRPr="001C7C29">
              <w:t>pre-start and post-start checks</w:t>
            </w:r>
          </w:p>
          <w:p w:rsidR="00000000" w:rsidRPr="001C7C29" w:rsidP="001C7C29">
            <w:pPr>
              <w:pStyle w:val="ListBullet2"/>
            </w:pPr>
            <w:r w:rsidRPr="001C7C29">
              <w:t>pumpset controllers</w:t>
            </w:r>
          </w:p>
          <w:p w:rsidR="00000000" w:rsidRPr="001C7C29" w:rsidP="001C7C29">
            <w:pPr>
              <w:pStyle w:val="ListBullet2"/>
            </w:pPr>
            <w:r w:rsidRPr="001C7C29">
              <w:t>starting and stopping methods</w:t>
            </w:r>
          </w:p>
          <w:p w:rsidR="00000000" w:rsidRPr="001C7C29" w:rsidP="001C7C29">
            <w:pPr>
              <w:pStyle w:val="ListBullet2"/>
            </w:pPr>
            <w:r w:rsidRPr="001C7C29">
              <w:t>suction and discharge connections and pressure readings</w:t>
            </w:r>
          </w:p>
          <w:p w:rsidR="00000000" w:rsidRPr="001C7C29" w:rsidP="001C7C29">
            <w:pPr>
              <w:pStyle w:val="ListBullet"/>
            </w:pPr>
            <w:r w:rsidRPr="001C7C29">
              <w:t>terminology used in relation to pumpsets</w:t>
            </w:r>
          </w:p>
        </w:tc>
      </w:tr>
    </w:tbl>
    <w:p w:rsidR="009A74ED" w:rsidP="001C7C29">
      <w:pPr>
        <w:pStyle w:val="BodyText"/>
      </w:pPr>
    </w:p>
    <w:p w:rsidR="009A74ED" w:rsidP="001C7C29">
      <w:pPr>
        <w:pStyle w:val="BodyText"/>
      </w:pPr>
    </w:p>
    <w:p w:rsidR="00000000" w:rsidRPr="001C7C29" w:rsidP="001C7C29">
      <w:pPr>
        <w:pStyle w:val="Heading1"/>
      </w:pPr>
      <w:bookmarkStart w:id="10" w:name="O_242538"/>
      <w:bookmarkEnd w:id="10"/>
      <w:r w:rsidRPr="001C7C29">
        <w:t>Evidence Guide</w:t>
      </w:r>
    </w:p>
    <w:tbl>
      <w:tblPr>
        <w:tblW w:w="0" w:type="auto"/>
        <w:tblLayout w:type="fixed"/>
        <w:tblCellMar>
          <w:left w:w="62" w:type="dxa"/>
          <w:right w:w="62" w:type="dxa"/>
        </w:tblCellMar>
        <w:tblLook w:val="0000"/>
      </w:tblPr>
      <w:tblGrid>
        <w:gridCol w:w="2565"/>
        <w:gridCol w:w="5957"/>
      </w:tblGrid>
      <w:tr w:rsidTr="009A74E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EVIDENCE GUIDE</w:t>
            </w:r>
          </w:p>
        </w:tc>
      </w:tr>
      <w:tr w:rsidTr="009A74E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t>The evidence guide provides advice on assessment and must be read in conjunction with the performance criteria, required skills and knowledge, range statement and the Assessment Guidelines for the Training Package.</w:t>
            </w:r>
          </w:p>
        </w:tc>
      </w:tr>
      <w:tr w:rsidTr="009A74ED">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Overview of assessment</w:t>
            </w:r>
          </w:p>
        </w:tc>
        <w:tc>
          <w:tcPr>
            <w:tcW w:w="5957"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t>This unit of competency could be assessed by observation of practical demonstration of inspecting and testing a range of types of fire pumpsets at customers' premises.</w:t>
            </w:r>
          </w:p>
        </w:tc>
      </w:tr>
      <w:tr w:rsidTr="009A74ED">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Critical aspects for assessment and evidence required to demonst</w:t>
            </w:r>
            <w:r w:rsidRPr="001C7C29">
              <w:rPr>
                <w:rStyle w:val="SpecialBold"/>
              </w:rPr>
              <w:t>rate competency in this unit</w:t>
            </w:r>
          </w:p>
        </w:tc>
        <w:tc>
          <w:tcPr>
            <w:tcW w:w="5957" w:type="dxa"/>
            <w:tcBorders>
              <w:top w:val="nil"/>
              <w:left w:val="nil"/>
              <w:bottom w:val="nil"/>
              <w:right w:val="nil"/>
            </w:tcBorders>
            <w:tcMar>
              <w:top w:w="0" w:type="dxa"/>
              <w:left w:w="62" w:type="dxa"/>
              <w:bottom w:w="0" w:type="dxa"/>
              <w:right w:w="62" w:type="dxa"/>
            </w:tcMar>
          </w:tcPr>
          <w:p w:rsidR="00000000" w:rsidRPr="001C7C29" w:rsidP="001C7C29">
            <w:pPr>
              <w:pStyle w:val="BodyText"/>
            </w:pPr>
            <w:r w:rsidRPr="001C7C29">
              <w:t>A person who demonstrates competency in this unit must be able to provide evidence of the required skills and knowledge specified in this unit.</w:t>
            </w:r>
          </w:p>
          <w:p w:rsidR="00000000" w:rsidRPr="001C7C29" w:rsidP="001C7C29">
            <w:pPr>
              <w:pStyle w:val="BodyText"/>
            </w:pPr>
            <w:r w:rsidRPr="001C7C29">
              <w:t>In particular the person should demonstrate the ability to:</w:t>
            </w:r>
          </w:p>
          <w:p w:rsidR="00000000" w:rsidRPr="001C7C29" w:rsidP="001C7C29">
            <w:pPr>
              <w:pStyle w:val="ListBullet"/>
            </w:pPr>
            <w:r w:rsidRPr="001C7C29">
              <w:t>apply sustainability p</w:t>
            </w:r>
            <w:r w:rsidRPr="001C7C29">
              <w:t>rinciples and concepts when inspecting and testing fire pumpsets</w:t>
            </w:r>
          </w:p>
          <w:p w:rsidR="00000000" w:rsidRPr="001C7C29" w:rsidP="001C7C29">
            <w:pPr>
              <w:pStyle w:val="ListBullet"/>
            </w:pPr>
            <w:r w:rsidRPr="001C7C29">
              <w:t>apply safety requirements throughout the work sequence, including electrical safety, personal protective clothing and equipment</w:t>
            </w:r>
          </w:p>
          <w:p w:rsidR="00000000" w:rsidRPr="001C7C29" w:rsidP="001C7C29">
            <w:pPr>
              <w:pStyle w:val="ListBullet"/>
            </w:pPr>
            <w:r w:rsidRPr="001C7C29">
              <w:t>conduct inspection and testing for the scheduled weekly, monthly and six-monthly activities according to the relevant Australian standard and on the following pumpsets:</w:t>
            </w:r>
          </w:p>
          <w:p w:rsidR="00000000" w:rsidRPr="001C7C29" w:rsidP="001C7C29">
            <w:pPr>
              <w:pStyle w:val="ListBullet2"/>
            </w:pPr>
            <w:r w:rsidRPr="001C7C29">
              <w:t>compression ignition pumpset used as a booster pumpset on a sprinkler/hydrant system f</w:t>
            </w:r>
            <w:r w:rsidRPr="001C7C29">
              <w:t>ed from:</w:t>
            </w:r>
          </w:p>
          <w:p w:rsidR="00000000" w:rsidRPr="001C7C29" w:rsidP="001C7C29">
            <w:pPr>
              <w:pStyle w:val="ListBullet3"/>
            </w:pPr>
            <w:r w:rsidRPr="001C7C29">
              <w:t>town mains supply</w:t>
            </w:r>
          </w:p>
          <w:p w:rsidR="00000000" w:rsidRPr="001C7C29" w:rsidP="001C7C29">
            <w:pPr>
              <w:pStyle w:val="ListBullet3"/>
            </w:pPr>
            <w:r w:rsidRPr="001C7C29">
              <w:t>static water supply</w:t>
            </w:r>
          </w:p>
          <w:p w:rsidR="00000000" w:rsidRPr="001C7C29" w:rsidP="001C7C29">
            <w:pPr>
              <w:pStyle w:val="ListBullet2"/>
            </w:pPr>
            <w:r w:rsidRPr="001C7C29">
              <w:t>dual drive electric and compression ignition pumpset</w:t>
            </w:r>
          </w:p>
          <w:p w:rsidR="00000000" w:rsidRPr="001C7C29" w:rsidP="001C7C29">
            <w:pPr>
              <w:pStyle w:val="ListBullet2"/>
            </w:pPr>
            <w:r w:rsidRPr="001C7C29">
              <w:t>electrical pumpset used as a:</w:t>
            </w:r>
          </w:p>
          <w:p w:rsidR="00000000" w:rsidRPr="001C7C29" w:rsidP="001C7C29">
            <w:pPr>
              <w:pStyle w:val="ListBullet3"/>
            </w:pPr>
            <w:r w:rsidRPr="001C7C29">
              <w:t>booster pumpset on a sprinkler/hydrant system fed from a town mains supply or a static water supply</w:t>
            </w:r>
          </w:p>
          <w:p w:rsidR="00000000" w:rsidP="001C7C29">
            <w:pPr>
              <w:pStyle w:val="ListBullet3"/>
              <w:rPr>
                <w:lang w:val="en-NZ"/>
              </w:rPr>
            </w:pPr>
            <w:r w:rsidRPr="001C7C29">
              <w:t>jacking pump or hose reel pump.</w:t>
            </w:r>
          </w:p>
        </w:tc>
      </w:tr>
      <w:tr w:rsidTr="009A74ED">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Context of and specific resources for assessment</w:t>
            </w:r>
          </w:p>
        </w:tc>
        <w:tc>
          <w:tcPr>
            <w:tcW w:w="5957" w:type="dxa"/>
            <w:tcBorders>
              <w:top w:val="nil"/>
              <w:left w:val="nil"/>
              <w:bottom w:val="nil"/>
              <w:right w:val="nil"/>
            </w:tcBorders>
            <w:tcMar>
              <w:top w:w="0" w:type="dxa"/>
              <w:left w:w="62" w:type="dxa"/>
              <w:bottom w:w="0" w:type="dxa"/>
              <w:right w:w="62" w:type="dxa"/>
            </w:tcMar>
          </w:tcPr>
          <w:p w:rsidR="00000000" w:rsidRPr="001C7C29" w:rsidP="001C7C29">
            <w:pPr>
              <w:pStyle w:val="BodyText"/>
            </w:pPr>
            <w:r w:rsidRPr="001C7C29">
              <w:t>Assessment of essential underpinning knowledge may be conducted in an off-site context. It is to comply with relevant regulatory or Australian standards' requirements.</w:t>
            </w:r>
          </w:p>
          <w:p w:rsidR="00000000" w:rsidRPr="001C7C29" w:rsidP="001C7C29">
            <w:pPr>
              <w:pStyle w:val="BodyText"/>
            </w:pPr>
            <w:r w:rsidRPr="001C7C29">
              <w:t>Resource implications for assessment include:</w:t>
            </w:r>
          </w:p>
          <w:p w:rsidR="00000000" w:rsidRPr="001C7C29" w:rsidP="001C7C29">
            <w:pPr>
              <w:pStyle w:val="ListBullet"/>
            </w:pPr>
            <w:r w:rsidRPr="001C7C29">
              <w:t>adequate water supply and draining or recycling arrangements to operate pumpsets under full load</w:t>
            </w:r>
          </w:p>
          <w:p w:rsidR="00000000" w:rsidRPr="001C7C29" w:rsidP="001C7C29">
            <w:pPr>
              <w:pStyle w:val="ListBullet"/>
            </w:pPr>
            <w:r w:rsidRPr="001C7C29">
              <w:t>operational pumpsets</w:t>
            </w:r>
          </w:p>
          <w:p w:rsidR="00000000" w:rsidP="001C7C29">
            <w:pPr>
              <w:pStyle w:val="ListBullet"/>
              <w:rPr>
                <w:lang w:val="en-NZ"/>
              </w:rPr>
            </w:pPr>
            <w:r w:rsidRPr="001C7C29">
              <w:t>pictures and cut-away sections of pumpsets to show operation.</w:t>
            </w:r>
          </w:p>
        </w:tc>
      </w:tr>
      <w:tr w:rsidTr="009A74ED">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Method of assessment</w:t>
            </w:r>
          </w:p>
        </w:tc>
        <w:tc>
          <w:tcPr>
            <w:tcW w:w="5957" w:type="dxa"/>
            <w:tcBorders>
              <w:top w:val="nil"/>
              <w:left w:val="nil"/>
              <w:bottom w:val="nil"/>
              <w:right w:val="nil"/>
            </w:tcBorders>
            <w:tcMar>
              <w:top w:w="0" w:type="dxa"/>
              <w:left w:w="62" w:type="dxa"/>
              <w:bottom w:w="0" w:type="dxa"/>
              <w:right w:w="62" w:type="dxa"/>
            </w:tcMar>
          </w:tcPr>
          <w:p w:rsidR="00000000" w:rsidRPr="001C7C29" w:rsidP="001C7C29">
            <w:pPr>
              <w:pStyle w:val="BodyText"/>
            </w:pPr>
            <w:r w:rsidRPr="001C7C29">
              <w:t>Assessm</w:t>
            </w:r>
            <w:r w:rsidRPr="001C7C29">
              <w:t>ent methods must:</w:t>
            </w:r>
          </w:p>
          <w:p w:rsidR="00000000" w:rsidRPr="001C7C29" w:rsidP="001C7C29">
            <w:pPr>
              <w:pStyle w:val="ListBullet"/>
            </w:pPr>
            <w:r w:rsidRPr="001C7C29">
              <w:t>satisfy the endorsed Assessment Guidelines of the Property Services Training Package</w:t>
            </w:r>
          </w:p>
          <w:p w:rsidR="00000000" w:rsidRPr="001C7C29" w:rsidP="001C7C29">
            <w:pPr>
              <w:pStyle w:val="ListBullet"/>
            </w:pPr>
            <w:r w:rsidRPr="001C7C29">
              <w:t>include direct observation of tasks in real or simulated work conditions, with questioning to confirm the ability to consistently identify and correctly</w:t>
            </w:r>
            <w:r w:rsidRPr="001C7C29">
              <w:t xml:space="preserve"> interpret the essential underpinning knowledge required for practical application</w:t>
            </w:r>
          </w:p>
          <w:p w:rsidR="00000000" w:rsidRPr="001C7C29" w:rsidP="001C7C29">
            <w:pPr>
              <w:pStyle w:val="ListBullet"/>
            </w:pPr>
            <w:r w:rsidRPr="001C7C29">
              <w:t>reinforce the integration of employability skills with workplace tasks and job roles</w:t>
            </w:r>
          </w:p>
          <w:p w:rsidR="00000000" w:rsidP="001C7C29">
            <w:pPr>
              <w:pStyle w:val="ListBullet"/>
              <w:rPr>
                <w:lang w:val="en-NZ"/>
              </w:rPr>
            </w:pPr>
            <w:r w:rsidRPr="001C7C29">
              <w:t>confirm that competency is verified and able to be transferred to other circumstances an</w:t>
            </w:r>
            <w:r w:rsidRPr="001C7C29">
              <w:t>d environments.</w:t>
            </w:r>
          </w:p>
        </w:tc>
      </w:tr>
      <w:tr w:rsidTr="009A74ED">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Guidance information for assessment</w:t>
            </w:r>
          </w:p>
        </w:tc>
        <w:tc>
          <w:tcPr>
            <w:tcW w:w="5957" w:type="dxa"/>
            <w:tcBorders>
              <w:top w:val="nil"/>
              <w:left w:val="nil"/>
              <w:bottom w:val="nil"/>
              <w:right w:val="nil"/>
            </w:tcBorders>
            <w:tcMar>
              <w:top w:w="0" w:type="dxa"/>
              <w:left w:w="62" w:type="dxa"/>
              <w:bottom w:w="0" w:type="dxa"/>
              <w:right w:w="62" w:type="dxa"/>
            </w:tcMar>
          </w:tcPr>
          <w:p w:rsidR="00000000" w:rsidRPr="001C7C29" w:rsidP="001C7C29">
            <w:pPr>
              <w:pStyle w:val="BodyText"/>
            </w:pPr>
            <w:r w:rsidRPr="001C7C29">
              <w:t>Reasonable adjustments for people with disabilities must be made to assessment processes where required. This could include access to modified equipment and other physical resources, and the provision of</w:t>
            </w:r>
            <w:r w:rsidRPr="001C7C29">
              <w:t xml:space="preserve"> appropriate assessment support.</w:t>
            </w:r>
          </w:p>
          <w:p w:rsidR="00000000" w:rsidRPr="001C7C29" w:rsidP="001C7C29">
            <w:pPr>
              <w:pStyle w:val="BodyText"/>
            </w:pPr>
            <w:r w:rsidRPr="001C7C29">
              <w:t>Assessment processes and techniques should as far as is practical take into account the language, literacy and numeracy capacity of the candidate in relation to the competency being assessed.</w:t>
            </w:r>
          </w:p>
          <w:p w:rsidR="00000000" w:rsidRPr="001C7C29" w:rsidP="001C7C29">
            <w:pPr>
              <w:pStyle w:val="BodyText"/>
            </w:pPr>
            <w:r w:rsidRPr="001C7C29">
              <w:t>This unit could be assessed on its own or in combination with other units relevant to the job function, for example:</w:t>
            </w:r>
          </w:p>
          <w:p w:rsidR="00000000" w:rsidRPr="001C7C29" w:rsidP="001C7C29">
            <w:pPr>
              <w:pStyle w:val="ListBullet"/>
            </w:pPr>
            <w:r w:rsidRPr="001C7C29">
              <w:t>CPCPFS3020A Conduct basic functional testing of water-based fire-suppression systems</w:t>
            </w:r>
          </w:p>
          <w:p w:rsidR="00000000" w:rsidRPr="001C7C29" w:rsidP="001C7C29">
            <w:pPr>
              <w:pStyle w:val="ListBullet"/>
            </w:pPr>
            <w:r w:rsidRPr="001C7C29">
              <w:t>CPCPFS3022A Conduct annual functional testing of comp</w:t>
            </w:r>
            <w:r w:rsidRPr="001C7C29">
              <w:t xml:space="preserve">lex water-based fire-suppression systems </w:t>
            </w:r>
          </w:p>
          <w:p w:rsidR="00000000" w:rsidRPr="001C7C29" w:rsidP="001C7C29">
            <w:pPr>
              <w:pStyle w:val="ListBullet"/>
            </w:pPr>
            <w:r w:rsidRPr="001C7C29">
              <w:t>CPCPFS3023A Conduct functional water flow testing.</w:t>
            </w:r>
          </w:p>
        </w:tc>
      </w:tr>
    </w:tbl>
    <w:p w:rsidR="009A74ED" w:rsidP="001C7C29">
      <w:pPr>
        <w:pStyle w:val="BodyText"/>
      </w:pPr>
    </w:p>
    <w:p w:rsidR="009A74ED" w:rsidP="001C7C29">
      <w:pPr>
        <w:pStyle w:val="BodyText"/>
      </w:pPr>
    </w:p>
    <w:p w:rsidR="00000000" w:rsidRPr="001C7C29" w:rsidP="001C7C29">
      <w:pPr>
        <w:pStyle w:val="Heading1"/>
      </w:pPr>
      <w:bookmarkStart w:id="11" w:name="O_250521"/>
      <w:bookmarkEnd w:id="11"/>
      <w:r w:rsidRPr="001C7C29">
        <w:t>Range Statement</w:t>
      </w:r>
    </w:p>
    <w:tbl>
      <w:tblPr>
        <w:tblW w:w="0" w:type="auto"/>
        <w:tblLayout w:type="fixed"/>
        <w:tblCellMar>
          <w:left w:w="62" w:type="dxa"/>
          <w:right w:w="62" w:type="dxa"/>
        </w:tblCellMar>
        <w:tblLook w:val="0000"/>
      </w:tblPr>
      <w:tblGrid>
        <w:gridCol w:w="2579"/>
        <w:gridCol w:w="5943"/>
      </w:tblGrid>
      <w:tr w:rsidTr="009A74E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RANGE STATEMENT</w:t>
            </w:r>
          </w:p>
        </w:tc>
      </w:tr>
      <w:tr w:rsidTr="009A74E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t>The range statement relates to the unit of competency as a whole. It allows for different work environments and situations that may affect performance. Bold italicised wording, if used in the performance criteria, is detailed below. Essential operating con</w:t>
            </w:r>
            <w:r w:rsidRPr="001C7C29">
              <w:t>ditions that may be present with training and assessment (depending on the work situation, needs of the candidate, accessibility of the item, and local industry and regional contexts) may also be included.</w:t>
            </w:r>
          </w:p>
        </w:tc>
      </w:tr>
      <w:tr w:rsidTr="009A74E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BoldandItalics"/>
              </w:rPr>
              <w:t>Legislative and industry requirements</w:t>
            </w:r>
            <w:r w:rsidRPr="001C7C29">
              <w:t xml:space="preserve"> may includ</w:t>
            </w:r>
            <w:r w:rsidRPr="001C7C29">
              <w:t>e:</w:t>
            </w:r>
          </w:p>
        </w:tc>
        <w:tc>
          <w:tcPr>
            <w:tcW w:w="5943" w:type="dxa"/>
            <w:tcBorders>
              <w:top w:val="nil"/>
              <w:left w:val="nil"/>
              <w:bottom w:val="nil"/>
              <w:right w:val="nil"/>
            </w:tcBorders>
            <w:tcMar>
              <w:top w:w="0" w:type="dxa"/>
              <w:left w:w="62" w:type="dxa"/>
              <w:bottom w:w="0" w:type="dxa"/>
              <w:right w:w="62" w:type="dxa"/>
            </w:tcMar>
          </w:tcPr>
          <w:p w:rsidR="00000000" w:rsidRPr="001C7C29" w:rsidP="001C7C29">
            <w:pPr>
              <w:pStyle w:val="ListBullet"/>
            </w:pPr>
            <w:r w:rsidRPr="001C7C29">
              <w:t>dangerous goods regulations</w:t>
            </w:r>
          </w:p>
          <w:p w:rsidR="00000000" w:rsidRPr="001C7C29" w:rsidP="001C7C29">
            <w:pPr>
              <w:pStyle w:val="ListBullet"/>
            </w:pPr>
            <w:r w:rsidRPr="001C7C29">
              <w:t>environmental regulations</w:t>
            </w:r>
          </w:p>
          <w:p w:rsidR="00000000" w:rsidRPr="001C7C29" w:rsidP="001C7C29">
            <w:pPr>
              <w:pStyle w:val="ListBullet"/>
            </w:pPr>
            <w:r w:rsidRPr="001C7C29">
              <w:t>licensing arrangements</w:t>
            </w:r>
          </w:p>
          <w:p w:rsidR="00000000" w:rsidRPr="001C7C29" w:rsidP="001C7C29">
            <w:pPr>
              <w:pStyle w:val="ListBullet"/>
            </w:pPr>
            <w:r w:rsidRPr="001C7C29">
              <w:t>OHS legislation, regulations and codes</w:t>
            </w:r>
          </w:p>
          <w:p w:rsidR="00000000" w:rsidRPr="001C7C29" w:rsidP="001C7C29">
            <w:pPr>
              <w:pStyle w:val="ListBullet"/>
            </w:pPr>
            <w:r w:rsidRPr="001C7C29">
              <w:t>relevant commonwealth and state or territory building Acts, regulations and codes, such as Building Code of Australia (BCA)</w:t>
            </w:r>
          </w:p>
          <w:p w:rsidR="00000000" w:rsidRPr="001C7C29" w:rsidP="001C7C29">
            <w:pPr>
              <w:pStyle w:val="ListBullet"/>
            </w:pPr>
            <w:r w:rsidRPr="001C7C29">
              <w:t>relevant Australian standards, such as:</w:t>
            </w:r>
          </w:p>
          <w:p w:rsidR="00000000" w:rsidRPr="001C7C29" w:rsidP="001C7C29">
            <w:pPr>
              <w:pStyle w:val="ListBullet2"/>
            </w:pPr>
            <w:r w:rsidRPr="001C7C29">
              <w:t>AS 1851 Maintenance of fire protection systems and equipment</w:t>
            </w:r>
          </w:p>
          <w:p w:rsidR="00000000" w:rsidRPr="001C7C29" w:rsidP="001C7C29">
            <w:pPr>
              <w:pStyle w:val="ListBullet2"/>
            </w:pPr>
            <w:r w:rsidRPr="001C7C29">
              <w:t>note: Australian standards are frequently revised and users must always check for currency and amendments</w:t>
            </w:r>
          </w:p>
          <w:p w:rsidR="00000000" w:rsidRPr="001C7C29" w:rsidP="001C7C29">
            <w:pPr>
              <w:pStyle w:val="ListBullet"/>
            </w:pPr>
            <w:r w:rsidRPr="001C7C29">
              <w:t>other relevant legislation relating to fire pro</w:t>
            </w:r>
            <w:r w:rsidRPr="001C7C29">
              <w:t>tection equipment, including:</w:t>
            </w:r>
          </w:p>
          <w:p w:rsidR="00000000" w:rsidRPr="001C7C29" w:rsidP="001C7C29">
            <w:pPr>
              <w:pStyle w:val="ListBullet2"/>
            </w:pPr>
            <w:r w:rsidRPr="001C7C29">
              <w:t>international shipping codes</w:t>
            </w:r>
          </w:p>
          <w:p w:rsidR="00000000" w:rsidRPr="001C7C29" w:rsidP="001C7C29">
            <w:pPr>
              <w:pStyle w:val="ListBullet2"/>
            </w:pPr>
            <w:r w:rsidRPr="001C7C29">
              <w:t>marine codes for different Australian states</w:t>
            </w:r>
          </w:p>
          <w:p w:rsidR="00000000" w:rsidP="001C7C29">
            <w:pPr>
              <w:pStyle w:val="ListBullet2"/>
              <w:rPr>
                <w:lang w:val="en-NZ"/>
              </w:rPr>
            </w:pPr>
            <w:r w:rsidRPr="001C7C29">
              <w:t>requirements of Australian petroleum industry.</w:t>
            </w:r>
          </w:p>
        </w:tc>
      </w:tr>
      <w:tr w:rsidTr="009A74E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BoldandItalics"/>
              </w:rPr>
              <w:t>Organisational requirements</w:t>
            </w:r>
            <w:r w:rsidRPr="001C7C29">
              <w:t xml:space="preserve"> may be located in quality assurance and procedures manuals and may include:</w:t>
            </w:r>
          </w:p>
        </w:tc>
        <w:tc>
          <w:tcPr>
            <w:tcW w:w="5943" w:type="dxa"/>
            <w:tcBorders>
              <w:top w:val="nil"/>
              <w:left w:val="nil"/>
              <w:bottom w:val="nil"/>
              <w:right w:val="nil"/>
            </w:tcBorders>
            <w:tcMar>
              <w:top w:w="0" w:type="dxa"/>
              <w:left w:w="62" w:type="dxa"/>
              <w:bottom w:w="0" w:type="dxa"/>
              <w:right w:w="62" w:type="dxa"/>
            </w:tcMar>
          </w:tcPr>
          <w:p w:rsidR="00000000" w:rsidRPr="001C7C29" w:rsidP="001C7C29">
            <w:pPr>
              <w:pStyle w:val="ListBullet"/>
            </w:pPr>
            <w:r w:rsidRPr="001C7C29">
              <w:t>client-specific contractual requirements</w:t>
            </w:r>
          </w:p>
          <w:p w:rsidR="00000000" w:rsidRPr="001C7C29" w:rsidP="001C7C29">
            <w:pPr>
              <w:pStyle w:val="ListBullet"/>
            </w:pPr>
            <w:r w:rsidRPr="001C7C29">
              <w:t>documentation and information systems and processes</w:t>
            </w:r>
          </w:p>
          <w:p w:rsidR="00000000" w:rsidRPr="001C7C29" w:rsidP="001C7C29">
            <w:pPr>
              <w:pStyle w:val="ListBullet"/>
            </w:pPr>
            <w:r w:rsidRPr="001C7C29">
              <w:t>legal and organisational policies and guidelines, including personnel practices and guidelines outlining work roles, responsibilities and delegations</w:t>
            </w:r>
          </w:p>
          <w:p w:rsidR="00000000" w:rsidRPr="001C7C29" w:rsidP="001C7C29">
            <w:pPr>
              <w:pStyle w:val="ListBullet"/>
            </w:pPr>
            <w:r w:rsidRPr="001C7C29">
              <w:t>legislation</w:t>
            </w:r>
            <w:r w:rsidRPr="001C7C29">
              <w:t xml:space="preserve"> relevant to service operation</w:t>
            </w:r>
          </w:p>
          <w:p w:rsidR="00000000" w:rsidP="001C7C29">
            <w:pPr>
              <w:pStyle w:val="ListBullet"/>
              <w:rPr>
                <w:lang w:val="en-NZ"/>
              </w:rPr>
            </w:pPr>
            <w:r w:rsidRPr="001C7C29">
              <w:t>use of electronic job scheduling and communication devices.</w:t>
            </w:r>
          </w:p>
        </w:tc>
      </w:tr>
      <w:tr w:rsidTr="009A74E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BoldandItalics"/>
              </w:rPr>
              <w:t>Checking for compliance</w:t>
            </w:r>
            <w:r w:rsidRPr="001C7C29">
              <w:t xml:space="preserve"> may include:</w:t>
            </w:r>
          </w:p>
        </w:tc>
        <w:tc>
          <w:tcPr>
            <w:tcW w:w="5943" w:type="dxa"/>
            <w:tcBorders>
              <w:top w:val="nil"/>
              <w:left w:val="nil"/>
              <w:bottom w:val="nil"/>
              <w:right w:val="nil"/>
            </w:tcBorders>
            <w:tcMar>
              <w:top w:w="0" w:type="dxa"/>
              <w:left w:w="62" w:type="dxa"/>
              <w:bottom w:w="0" w:type="dxa"/>
              <w:right w:w="62" w:type="dxa"/>
            </w:tcMar>
          </w:tcPr>
          <w:p w:rsidR="00000000" w:rsidRPr="001C7C29" w:rsidP="001C7C29">
            <w:pPr>
              <w:pStyle w:val="ListBullet"/>
            </w:pPr>
            <w:r w:rsidRPr="001C7C29">
              <w:t>undertaking commissioning tests detailed in relevant Australian standards and manufacturers' documents to verify performance o</w:t>
            </w:r>
            <w:r w:rsidRPr="001C7C29">
              <w:t>f an installed, repaired or altered piece of equipment or system</w:t>
            </w:r>
          </w:p>
          <w:p w:rsidR="00000000" w:rsidRPr="001C7C29" w:rsidP="001C7C29">
            <w:pPr>
              <w:pStyle w:val="ListBullet"/>
            </w:pPr>
            <w:r w:rsidRPr="001C7C29">
              <w:t xml:space="preserve">applying inspections, tests and survey requirements to equipment and systems, according to relevant Australian standards, to determine that they are: </w:t>
            </w:r>
          </w:p>
          <w:p w:rsidR="00000000" w:rsidRPr="001C7C29" w:rsidP="001C7C29">
            <w:pPr>
              <w:pStyle w:val="ListBullet2"/>
            </w:pPr>
            <w:r w:rsidRPr="001C7C29">
              <w:t>capable of operating as intended when o</w:t>
            </w:r>
            <w:r w:rsidRPr="001C7C29">
              <w:t xml:space="preserve">riginally installed </w:t>
            </w:r>
          </w:p>
          <w:p w:rsidR="00000000" w:rsidRPr="001C7C29" w:rsidP="001C7C29">
            <w:pPr>
              <w:pStyle w:val="ListBullet2"/>
            </w:pPr>
            <w:r w:rsidRPr="001C7C29">
              <w:t>still suitable for the fire hazard or risk being protected, as no change in occupancy or use of the area protected has occurred since the equipment or system was installed or last modified</w:t>
            </w:r>
          </w:p>
          <w:p w:rsidR="00000000" w:rsidRPr="001C7C29" w:rsidP="001C7C29">
            <w:pPr>
              <w:pStyle w:val="ListBullet2"/>
            </w:pPr>
            <w:r w:rsidRPr="001C7C29">
              <w:t>providing the coverage and protection needed to meet original design and performance requirements</w:t>
            </w:r>
          </w:p>
          <w:p w:rsidR="00000000" w:rsidRPr="001C7C29" w:rsidP="001C7C29">
            <w:pPr>
              <w:pStyle w:val="ListBullet"/>
            </w:pPr>
            <w:r w:rsidRPr="001C7C29">
              <w:t>reviewing documentation to verify that installed systems comply with legislative and industry requirements, such as:</w:t>
            </w:r>
          </w:p>
          <w:p w:rsidR="00000000" w:rsidRPr="001C7C29" w:rsidP="001C7C29">
            <w:pPr>
              <w:pStyle w:val="ListBullet2"/>
            </w:pPr>
            <w:r w:rsidRPr="001C7C29">
              <w:t>building's essential services or fire s</w:t>
            </w:r>
            <w:r w:rsidRPr="001C7C29">
              <w:t>afety measures listing</w:t>
            </w:r>
          </w:p>
          <w:p w:rsidR="00000000" w:rsidRPr="001C7C29" w:rsidP="001C7C29">
            <w:pPr>
              <w:pStyle w:val="ListBullet2"/>
            </w:pPr>
            <w:r w:rsidRPr="001C7C29">
              <w:t>relevant commonwealth and state or territory building Acts, regulations and codes</w:t>
            </w:r>
          </w:p>
          <w:p w:rsidR="00000000" w:rsidRPr="001C7C29" w:rsidP="001C7C29">
            <w:pPr>
              <w:pStyle w:val="ListBullet2"/>
            </w:pPr>
            <w:r w:rsidRPr="001C7C29">
              <w:t xml:space="preserve">relevant Australian standards listed on essential service listing </w:t>
            </w:r>
          </w:p>
          <w:p w:rsidR="00000000" w:rsidP="001C7C29">
            <w:pPr>
              <w:pStyle w:val="ListBullet2"/>
              <w:rPr>
                <w:lang w:val="en-NZ"/>
              </w:rPr>
            </w:pPr>
            <w:r w:rsidRPr="001C7C29">
              <w:t>environmental regulations.</w:t>
            </w:r>
          </w:p>
        </w:tc>
      </w:tr>
      <w:tr w:rsidTr="009A74E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BoldandItalics"/>
              </w:rPr>
              <w:t>Action</w:t>
            </w:r>
            <w:r w:rsidRPr="001C7C29">
              <w:t xml:space="preserve"> may include:</w:t>
            </w:r>
          </w:p>
        </w:tc>
        <w:tc>
          <w:tcPr>
            <w:tcW w:w="5943" w:type="dxa"/>
            <w:tcBorders>
              <w:top w:val="nil"/>
              <w:left w:val="nil"/>
              <w:bottom w:val="nil"/>
              <w:right w:val="nil"/>
            </w:tcBorders>
            <w:tcMar>
              <w:top w:w="0" w:type="dxa"/>
              <w:left w:w="62" w:type="dxa"/>
              <w:bottom w:w="0" w:type="dxa"/>
              <w:right w:w="62" w:type="dxa"/>
            </w:tcMar>
          </w:tcPr>
          <w:p w:rsidR="00000000" w:rsidRPr="001C7C29" w:rsidP="001C7C29">
            <w:pPr>
              <w:pStyle w:val="ListBullet"/>
            </w:pPr>
            <w:r w:rsidRPr="001C7C29">
              <w:t>advising client</w:t>
            </w:r>
          </w:p>
          <w:p w:rsidR="00000000" w:rsidRPr="001C7C29" w:rsidP="001C7C29">
            <w:pPr>
              <w:pStyle w:val="ListBullet"/>
            </w:pPr>
            <w:r w:rsidRPr="001C7C29">
              <w:t>documenting non-compliance</w:t>
            </w:r>
          </w:p>
          <w:p w:rsidR="00000000" w:rsidRPr="001C7C29" w:rsidP="001C7C29">
            <w:pPr>
              <w:pStyle w:val="ListBullet"/>
            </w:pPr>
            <w:r w:rsidRPr="001C7C29">
              <w:t>making equipment safe</w:t>
            </w:r>
          </w:p>
          <w:p w:rsidR="00000000" w:rsidP="001C7C29">
            <w:pPr>
              <w:pStyle w:val="ListBullet"/>
              <w:rPr>
                <w:lang w:val="en-NZ"/>
              </w:rPr>
            </w:pPr>
            <w:r w:rsidRPr="001C7C29">
              <w:t>reporting, as required.</w:t>
            </w:r>
          </w:p>
        </w:tc>
      </w:tr>
      <w:tr w:rsidTr="009A74E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BoldandItalics"/>
              </w:rPr>
              <w:t>Pumpset</w:t>
            </w:r>
            <w:r w:rsidRPr="001C7C29">
              <w:t xml:space="preserve"> types may include:</w:t>
            </w:r>
          </w:p>
        </w:tc>
        <w:tc>
          <w:tcPr>
            <w:tcW w:w="5943" w:type="dxa"/>
            <w:tcBorders>
              <w:top w:val="nil"/>
              <w:left w:val="nil"/>
              <w:bottom w:val="nil"/>
              <w:right w:val="nil"/>
            </w:tcBorders>
            <w:tcMar>
              <w:top w:w="0" w:type="dxa"/>
              <w:left w:w="62" w:type="dxa"/>
              <w:bottom w:w="0" w:type="dxa"/>
              <w:right w:w="62" w:type="dxa"/>
            </w:tcMar>
          </w:tcPr>
          <w:p w:rsidR="00000000" w:rsidRPr="001C7C29" w:rsidP="001C7C29">
            <w:pPr>
              <w:pStyle w:val="ListBullet"/>
            </w:pPr>
            <w:r w:rsidRPr="001C7C29">
              <w:t>those used in fire protection systems that comply with Australian standards, such as:</w:t>
            </w:r>
          </w:p>
          <w:p w:rsidR="00000000" w:rsidRPr="001C7C29" w:rsidP="001C7C29">
            <w:pPr>
              <w:pStyle w:val="ListBullet2"/>
            </w:pPr>
            <w:r w:rsidRPr="001C7C29">
              <w:t>AS 1851 Maintenance of fire protection systems and equipment</w:t>
            </w:r>
          </w:p>
          <w:p w:rsidR="00000000" w:rsidRPr="001C7C29" w:rsidP="001C7C29">
            <w:pPr>
              <w:pStyle w:val="ListBullet2"/>
            </w:pPr>
            <w:r w:rsidRPr="001C7C29">
              <w:t>AS 2118 Automatic fire sprinkler systems</w:t>
            </w:r>
          </w:p>
          <w:p w:rsidR="00000000" w:rsidRPr="001C7C29" w:rsidP="001C7C29">
            <w:pPr>
              <w:pStyle w:val="ListBullet2"/>
            </w:pPr>
            <w:r w:rsidRPr="001C7C29">
              <w:t>AS 2419 Fire hydrant installations</w:t>
            </w:r>
          </w:p>
          <w:p w:rsidR="00000000" w:rsidRPr="001C7C29" w:rsidP="001C7C29">
            <w:pPr>
              <w:pStyle w:val="ListBullet2"/>
            </w:pPr>
            <w:r w:rsidRPr="001C7C29">
              <w:t>AS 2941 Fixed fire protection installations -  Pumpset systems</w:t>
            </w:r>
          </w:p>
          <w:p w:rsidR="00000000" w:rsidRPr="001C7C29" w:rsidP="001C7C29">
            <w:pPr>
              <w:pStyle w:val="ListBullet2"/>
            </w:pPr>
            <w:r w:rsidRPr="001C7C29">
              <w:t>AS CA-1962 Automatic sprinkler installations</w:t>
            </w:r>
          </w:p>
          <w:p w:rsidR="00000000" w:rsidP="001C7C29">
            <w:pPr>
              <w:pStyle w:val="ListBullet2"/>
              <w:rPr>
                <w:lang w:val="en-NZ"/>
              </w:rPr>
            </w:pPr>
            <w:r w:rsidRPr="001C7C29">
              <w:t xml:space="preserve">NFPA 20 Standard for the installation of stationary fire pumps for fire </w:t>
            </w:r>
            <w:r w:rsidRPr="001C7C29">
              <w:t>protection (US).</w:t>
            </w:r>
          </w:p>
        </w:tc>
      </w:tr>
      <w:tr w:rsidTr="009A74E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BoldandItalics"/>
              </w:rPr>
              <w:t>System interfaces</w:t>
            </w:r>
            <w:r w:rsidRPr="001C7C29">
              <w:t xml:space="preserve"> may include:</w:t>
            </w:r>
          </w:p>
        </w:tc>
        <w:tc>
          <w:tcPr>
            <w:tcW w:w="5943" w:type="dxa"/>
            <w:tcBorders>
              <w:top w:val="nil"/>
              <w:left w:val="nil"/>
              <w:bottom w:val="nil"/>
              <w:right w:val="nil"/>
            </w:tcBorders>
            <w:tcMar>
              <w:top w:w="0" w:type="dxa"/>
              <w:left w:w="62" w:type="dxa"/>
              <w:bottom w:w="0" w:type="dxa"/>
              <w:right w:w="62" w:type="dxa"/>
            </w:tcMar>
          </w:tcPr>
          <w:p w:rsidR="00000000" w:rsidRPr="001C7C29" w:rsidP="001C7C29">
            <w:pPr>
              <w:pStyle w:val="ListBullet"/>
            </w:pPr>
            <w:r w:rsidRPr="001C7C29">
              <w:t>components, such as:</w:t>
            </w:r>
          </w:p>
          <w:p w:rsidR="00000000" w:rsidRPr="001C7C29" w:rsidP="001C7C29">
            <w:pPr>
              <w:pStyle w:val="ListBullet2"/>
            </w:pPr>
            <w:r w:rsidRPr="001C7C29">
              <w:t>flow switches</w:t>
            </w:r>
          </w:p>
          <w:p w:rsidR="00000000" w:rsidRPr="001C7C29" w:rsidP="001C7C29">
            <w:pPr>
              <w:pStyle w:val="ListBullet2"/>
            </w:pPr>
            <w:r w:rsidRPr="001C7C29">
              <w:t>pressure switches</w:t>
            </w:r>
          </w:p>
          <w:p w:rsidR="00000000" w:rsidRPr="001C7C29" w:rsidP="001C7C29">
            <w:pPr>
              <w:pStyle w:val="ListBullet2"/>
            </w:pPr>
            <w:r w:rsidRPr="001C7C29">
              <w:t xml:space="preserve">tamper switches </w:t>
            </w:r>
          </w:p>
          <w:p w:rsidR="00000000" w:rsidRPr="001C7C29" w:rsidP="001C7C29">
            <w:pPr>
              <w:pStyle w:val="ListBullet2"/>
            </w:pPr>
            <w:r w:rsidRPr="001C7C29">
              <w:t>valve positioning switches</w:t>
            </w:r>
          </w:p>
          <w:p w:rsidR="00000000" w:rsidRPr="001C7C29" w:rsidP="001C7C29">
            <w:pPr>
              <w:pStyle w:val="ListBullet"/>
            </w:pPr>
            <w:r w:rsidRPr="001C7C29">
              <w:t>devices that operate signals between the pumpset and other services, such as:</w:t>
            </w:r>
          </w:p>
          <w:p w:rsidR="00000000" w:rsidRPr="001C7C29" w:rsidP="001C7C29">
            <w:pPr>
              <w:pStyle w:val="ListBullet2"/>
            </w:pPr>
            <w:r w:rsidRPr="001C7C29">
              <w:t>building monitoring services</w:t>
            </w:r>
          </w:p>
          <w:p w:rsidR="00000000" w:rsidRPr="001C7C29" w:rsidP="001C7C29">
            <w:pPr>
              <w:pStyle w:val="ListBullet2"/>
            </w:pPr>
            <w:r w:rsidRPr="001C7C29">
              <w:t>other life safety systems, such as:</w:t>
            </w:r>
          </w:p>
          <w:p w:rsidR="00000000" w:rsidRPr="001C7C29" w:rsidP="001C7C29">
            <w:pPr>
              <w:pStyle w:val="ListBullet3"/>
            </w:pPr>
            <w:r w:rsidRPr="001C7C29">
              <w:t>warning systems</w:t>
            </w:r>
          </w:p>
          <w:p w:rsidR="00000000" w:rsidRPr="001C7C29" w:rsidP="001C7C29">
            <w:pPr>
              <w:pStyle w:val="ListBullet3"/>
            </w:pPr>
            <w:r w:rsidRPr="001C7C29">
              <w:t>fire indicator panel (FIP)</w:t>
            </w:r>
          </w:p>
          <w:p w:rsidR="00000000" w:rsidP="001C7C29">
            <w:pPr>
              <w:pStyle w:val="ListBullet2"/>
              <w:rPr>
                <w:lang w:val="en-NZ"/>
              </w:rPr>
            </w:pPr>
            <w:r w:rsidRPr="001C7C29">
              <w:t>security monitoring services.</w:t>
            </w:r>
          </w:p>
        </w:tc>
      </w:tr>
      <w:tr w:rsidTr="009A74E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BoldandItalics"/>
              </w:rPr>
              <w:t>Sustainability principles and concepts</w:t>
            </w:r>
            <w:r w:rsidRPr="001C7C29">
              <w:t>:</w:t>
            </w:r>
          </w:p>
        </w:tc>
        <w:tc>
          <w:tcPr>
            <w:tcW w:w="5943" w:type="dxa"/>
            <w:tcBorders>
              <w:top w:val="nil"/>
              <w:left w:val="nil"/>
              <w:bottom w:val="nil"/>
              <w:right w:val="nil"/>
            </w:tcBorders>
            <w:tcMar>
              <w:top w:w="0" w:type="dxa"/>
              <w:left w:w="62" w:type="dxa"/>
              <w:bottom w:w="0" w:type="dxa"/>
              <w:right w:w="62" w:type="dxa"/>
            </w:tcMar>
          </w:tcPr>
          <w:p w:rsidR="00000000" w:rsidRPr="001C7C29" w:rsidP="001C7C29">
            <w:pPr>
              <w:pStyle w:val="ListBullet"/>
            </w:pPr>
            <w:r w:rsidRPr="001C7C29">
              <w:t>cover the social, economic and environmental use of resources to meet current and future needs</w:t>
            </w:r>
          </w:p>
          <w:p w:rsidR="00000000" w:rsidRPr="001C7C29" w:rsidP="001C7C29">
            <w:pPr>
              <w:pStyle w:val="ListBullet"/>
            </w:pPr>
            <w:r w:rsidRPr="001C7C29">
              <w:t>may include:</w:t>
            </w:r>
          </w:p>
          <w:p w:rsidR="00000000" w:rsidRPr="001C7C29" w:rsidP="001C7C29">
            <w:pPr>
              <w:pStyle w:val="ListBullet2"/>
            </w:pPr>
            <w:r w:rsidRPr="001C7C29">
              <w:t>efficient use of material</w:t>
            </w:r>
          </w:p>
          <w:p w:rsidR="00000000" w:rsidRPr="001C7C29" w:rsidP="001C7C29">
            <w:pPr>
              <w:pStyle w:val="ListBullet2"/>
            </w:pPr>
            <w:r w:rsidRPr="001C7C29">
              <w:t>efficient energy and water use</w:t>
            </w:r>
          </w:p>
          <w:p w:rsidR="00000000" w:rsidP="001C7C29">
            <w:pPr>
              <w:pStyle w:val="ListBullet2"/>
              <w:rPr>
                <w:lang w:val="en-NZ"/>
              </w:rPr>
            </w:pPr>
            <w:r w:rsidRPr="001C7C29">
              <w:t>rain harvesting and disposal.</w:t>
            </w:r>
          </w:p>
        </w:tc>
      </w:tr>
      <w:tr w:rsidTr="009A74E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BoldandItalics"/>
              </w:rPr>
              <w:t>Testing procedures</w:t>
            </w:r>
            <w:r w:rsidRPr="001C7C29">
              <w:t xml:space="preserve"> include:</w:t>
            </w:r>
          </w:p>
        </w:tc>
        <w:tc>
          <w:tcPr>
            <w:tcW w:w="5943" w:type="dxa"/>
            <w:tcBorders>
              <w:top w:val="nil"/>
              <w:left w:val="nil"/>
              <w:bottom w:val="nil"/>
              <w:right w:val="nil"/>
            </w:tcBorders>
            <w:tcMar>
              <w:top w:w="0" w:type="dxa"/>
              <w:left w:w="62" w:type="dxa"/>
              <w:bottom w:w="0" w:type="dxa"/>
              <w:right w:w="62" w:type="dxa"/>
            </w:tcMar>
          </w:tcPr>
          <w:p w:rsidR="00000000" w:rsidRPr="001C7C29" w:rsidP="001C7C29">
            <w:pPr>
              <w:pStyle w:val="ListBullet"/>
            </w:pPr>
            <w:r w:rsidRPr="001C7C29">
              <w:t xml:space="preserve">activities that comply with requirements of AS 1851 Maintenance of fire protection </w:t>
            </w:r>
            <w:r w:rsidRPr="001C7C29">
              <w:t xml:space="preserve">systems and equipment to verify the following pump functions: </w:t>
            </w:r>
          </w:p>
          <w:p w:rsidR="00000000" w:rsidRPr="001C7C29" w:rsidP="001C7C29">
            <w:pPr>
              <w:pStyle w:val="ListBullet2"/>
            </w:pPr>
            <w:r w:rsidRPr="001C7C29">
              <w:t>pump starts at correct pressure</w:t>
            </w:r>
          </w:p>
          <w:p w:rsidR="00000000" w:rsidP="001C7C29">
            <w:pPr>
              <w:pStyle w:val="ListBullet2"/>
              <w:rPr>
                <w:lang w:val="en-NZ"/>
              </w:rPr>
            </w:pPr>
            <w:r w:rsidRPr="001C7C29">
              <w:t>pump supplies correct kPa at no flow condition requirements.</w:t>
            </w:r>
          </w:p>
        </w:tc>
      </w:tr>
      <w:tr w:rsidTr="009A74E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BoldandItalics"/>
              </w:rPr>
              <w:t>Frequency schedules</w:t>
            </w:r>
            <w:r w:rsidRPr="001C7C29">
              <w:t xml:space="preserve"> include:</w:t>
            </w:r>
          </w:p>
        </w:tc>
        <w:tc>
          <w:tcPr>
            <w:tcW w:w="5943" w:type="dxa"/>
            <w:tcBorders>
              <w:top w:val="nil"/>
              <w:left w:val="nil"/>
              <w:bottom w:val="nil"/>
              <w:right w:val="nil"/>
            </w:tcBorders>
            <w:tcMar>
              <w:top w:w="0" w:type="dxa"/>
              <w:left w:w="62" w:type="dxa"/>
              <w:bottom w:w="0" w:type="dxa"/>
              <w:right w:w="62" w:type="dxa"/>
            </w:tcMar>
          </w:tcPr>
          <w:p w:rsidR="00000000" w:rsidRPr="001C7C29" w:rsidP="001C7C29">
            <w:pPr>
              <w:pStyle w:val="ListBullet"/>
            </w:pPr>
            <w:r w:rsidRPr="001C7C29">
              <w:t xml:space="preserve">schedules of work conducted at regular frequencies as defined in AS </w:t>
            </w:r>
            <w:r w:rsidRPr="001C7C29">
              <w:t>1851 (general section) that relate to the work scope for weekly, monthly, and six-monthly inspection and testing schedules.</w:t>
            </w:r>
          </w:p>
        </w:tc>
      </w:tr>
    </w:tbl>
    <w:p w:rsidR="009A74ED" w:rsidP="001C7C29">
      <w:pPr>
        <w:pStyle w:val="BodyText"/>
      </w:pPr>
    </w:p>
    <w:p w:rsidR="009A74ED" w:rsidP="001C7C29">
      <w:pPr>
        <w:pStyle w:val="BodyText"/>
      </w:pPr>
    </w:p>
    <w:p w:rsidR="00000000" w:rsidRPr="001C7C29" w:rsidP="001C7C29">
      <w:pPr>
        <w:pStyle w:val="Heading1"/>
      </w:pPr>
      <w:bookmarkStart w:id="12" w:name="O_199668"/>
      <w:bookmarkEnd w:id="12"/>
      <w:r w:rsidRPr="001C7C29">
        <w:t>Unit Sector(s)</w:t>
      </w:r>
    </w:p>
    <w:tbl>
      <w:tblPr>
        <w:tblW w:w="0" w:type="auto"/>
        <w:tblLayout w:type="fixed"/>
        <w:tblCellMar>
          <w:left w:w="62" w:type="dxa"/>
          <w:right w:w="62" w:type="dxa"/>
        </w:tblCellMar>
        <w:tblLook w:val="0000"/>
      </w:tblPr>
      <w:tblGrid>
        <w:gridCol w:w="2548"/>
        <w:gridCol w:w="5974"/>
      </w:tblGrid>
      <w:tr w:rsidTr="009A74ED">
        <w:tblPrEx>
          <w:tblW w:w="0" w:type="auto"/>
          <w:tblLayout w:type="fixed"/>
          <w:tblCellMar>
            <w:left w:w="62" w:type="dxa"/>
            <w:right w:w="62" w:type="dxa"/>
          </w:tblCellMar>
          <w:tblLook w:val="0000"/>
        </w:tblPrEx>
        <w:trPr>
          <w:tblHeader/>
        </w:trPr>
        <w:tc>
          <w:tcPr>
            <w:tcW w:w="2548"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Unit sector</w:t>
            </w:r>
          </w:p>
        </w:tc>
        <w:tc>
          <w:tcPr>
            <w:tcW w:w="5974" w:type="dxa"/>
            <w:tcBorders>
              <w:top w:val="nil"/>
              <w:left w:val="nil"/>
              <w:bottom w:val="nil"/>
              <w:right w:val="nil"/>
            </w:tcBorders>
            <w:tcMar>
              <w:top w:w="0" w:type="dxa"/>
              <w:left w:w="62" w:type="dxa"/>
              <w:bottom w:w="0" w:type="dxa"/>
              <w:right w:w="62" w:type="dxa"/>
            </w:tcMar>
          </w:tcPr>
          <w:p w:rsidR="00000000" w:rsidRPr="001C7C29" w:rsidP="001C7C29">
            <w:pPr>
              <w:pStyle w:val="BodyText"/>
            </w:pPr>
            <w:r w:rsidRPr="001C7C29">
              <w:t>Plumbing and services</w:t>
            </w:r>
          </w:p>
        </w:tc>
      </w:tr>
    </w:tbl>
    <w:p w:rsidR="009A74ED" w:rsidP="001C7C29">
      <w:pPr>
        <w:pStyle w:val="BodyText"/>
      </w:pPr>
    </w:p>
    <w:p w:rsidR="009A74ED" w:rsidP="001C7C29">
      <w:pPr>
        <w:pStyle w:val="BodyText"/>
      </w:pPr>
    </w:p>
    <w:p w:rsidR="00000000" w:rsidRPr="001C7C29" w:rsidP="001C7C29">
      <w:pPr>
        <w:pStyle w:val="Heading1"/>
      </w:pPr>
      <w:bookmarkStart w:id="13" w:name="O_199665"/>
      <w:bookmarkEnd w:id="13"/>
      <w:r w:rsidRPr="001C7C29">
        <w:t>Co-requisite units</w:t>
      </w:r>
    </w:p>
    <w:tbl>
      <w:tblPr>
        <w:tblW w:w="0" w:type="auto"/>
        <w:tblLayout w:type="fixed"/>
        <w:tblCellMar>
          <w:left w:w="62" w:type="dxa"/>
          <w:right w:w="62" w:type="dxa"/>
        </w:tblCellMar>
        <w:tblLook w:val="0000"/>
      </w:tblPr>
      <w:tblGrid>
        <w:gridCol w:w="2566"/>
        <w:gridCol w:w="1634"/>
        <w:gridCol w:w="4322"/>
      </w:tblGrid>
      <w:tr w:rsidTr="009A74ED">
        <w:tblPrEx>
          <w:tblW w:w="0" w:type="auto"/>
          <w:tblLayout w:type="fixed"/>
          <w:tblCellMar>
            <w:left w:w="62" w:type="dxa"/>
            <w:right w:w="62" w:type="dxa"/>
          </w:tblCellMar>
          <w:tblLook w:val="0000"/>
        </w:tblPrEx>
        <w:trPr>
          <w:tblHeader/>
        </w:trPr>
        <w:tc>
          <w:tcPr>
            <w:tcW w:w="2566" w:type="dxa"/>
            <w:vMerge w:val="restart"/>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Co-requisite units</w:t>
            </w:r>
          </w:p>
        </w:tc>
        <w:tc>
          <w:tcPr>
            <w:tcW w:w="5956" w:type="dxa"/>
            <w:gridSpan w:val="2"/>
            <w:tcBorders>
              <w:top w:val="nil"/>
              <w:left w:val="nil"/>
              <w:bottom w:val="nil"/>
              <w:right w:val="nil"/>
            </w:tcBorders>
            <w:tcMar>
              <w:top w:w="0" w:type="dxa"/>
              <w:left w:w="62" w:type="dxa"/>
              <w:bottom w:w="0" w:type="dxa"/>
              <w:right w:w="62" w:type="dxa"/>
            </w:tcMar>
          </w:tcPr>
          <w:p w:rsidR="00000000" w:rsidP="001C7C29">
            <w:pPr>
              <w:pStyle w:val="BodyText"/>
              <w:rPr>
                <w:lang w:val="en-NZ"/>
              </w:rPr>
            </w:pPr>
          </w:p>
        </w:tc>
      </w:tr>
      <w:tr w:rsidTr="009A74ED">
        <w:tblPrEx>
          <w:tblW w:w="0" w:type="auto"/>
          <w:tblLayout w:type="fixed"/>
          <w:tblCellMar>
            <w:left w:w="62" w:type="dxa"/>
            <w:right w:w="62" w:type="dxa"/>
          </w:tblCellMar>
          <w:tblLook w:val="0000"/>
        </w:tblPrEx>
        <w:tc>
          <w:tcPr>
            <w:tcW w:w="256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22" w:type="dxa"/>
            <w:tcBorders>
              <w:top w:val="nil"/>
              <w:left w:val="nil"/>
              <w:bottom w:val="nil"/>
              <w:right w:val="nil"/>
            </w:tcBorders>
            <w:tcMar>
              <w:top w:w="0" w:type="dxa"/>
              <w:left w:w="62" w:type="dxa"/>
              <w:bottom w:w="0" w:type="dxa"/>
              <w:right w:w="62" w:type="dxa"/>
            </w:tcMar>
          </w:tcPr>
          <w:p w:rsidR="00000000" w:rsidRPr="001C7C29" w:rsidP="001C7C29">
            <w:pPr>
              <w:pStyle w:val="BodyText"/>
            </w:pPr>
          </w:p>
        </w:tc>
      </w:tr>
    </w:tbl>
    <w:p w:rsidR="009A74ED" w:rsidP="001C7C29">
      <w:pPr>
        <w:pStyle w:val="BodyText"/>
      </w:pPr>
    </w:p>
    <w:p w:rsidR="009A74ED" w:rsidP="001C7C29">
      <w:pPr>
        <w:pStyle w:val="BodyText"/>
      </w:pPr>
    </w:p>
    <w:p w:rsidR="00000000" w:rsidRPr="001C7C29" w:rsidP="001C7C29">
      <w:pPr>
        <w:pStyle w:val="Heading1"/>
      </w:pPr>
      <w:bookmarkStart w:id="14" w:name="O_199667"/>
      <w:bookmarkEnd w:id="14"/>
      <w:r w:rsidRPr="001C7C29">
        <w:t>Competency field</w:t>
      </w:r>
    </w:p>
    <w:tbl>
      <w:tblPr>
        <w:tblW w:w="0" w:type="auto"/>
        <w:tblLayout w:type="fixed"/>
        <w:tblCellMar>
          <w:left w:w="62" w:type="dxa"/>
          <w:right w:w="62" w:type="dxa"/>
        </w:tblCellMar>
        <w:tblLook w:val="0000"/>
      </w:tblPr>
      <w:tblGrid>
        <w:gridCol w:w="2659"/>
        <w:gridCol w:w="5863"/>
      </w:tblGrid>
      <w:tr w:rsidTr="009A74ED">
        <w:tblPrEx>
          <w:tblW w:w="0" w:type="auto"/>
          <w:tblLayout w:type="fixed"/>
          <w:tblCellMar>
            <w:left w:w="62" w:type="dxa"/>
            <w:right w:w="62" w:type="dxa"/>
          </w:tblCellMar>
          <w:tblLook w:val="0000"/>
        </w:tblPrEx>
        <w:trPr>
          <w:tblHeader/>
        </w:trPr>
        <w:tc>
          <w:tcPr>
            <w:tcW w:w="2659" w:type="dxa"/>
            <w:tcBorders>
              <w:top w:val="nil"/>
              <w:left w:val="nil"/>
              <w:bottom w:val="nil"/>
              <w:right w:val="nil"/>
            </w:tcBorders>
            <w:tcMar>
              <w:top w:w="0" w:type="dxa"/>
              <w:left w:w="62" w:type="dxa"/>
              <w:bottom w:w="0" w:type="dxa"/>
              <w:right w:w="62" w:type="dxa"/>
            </w:tcMar>
          </w:tcPr>
          <w:p w:rsidR="00000000" w:rsidP="001C7C29">
            <w:pPr>
              <w:pStyle w:val="BodyText"/>
              <w:rPr>
                <w:lang w:val="en-NZ"/>
              </w:rPr>
            </w:pPr>
            <w:r w:rsidRPr="001C7C29">
              <w:rPr>
                <w:rStyle w:val="SpecialBold"/>
              </w:rPr>
              <w:t>Competency field</w:t>
            </w:r>
          </w:p>
        </w:tc>
        <w:tc>
          <w:tcPr>
            <w:tcW w:w="5863" w:type="dxa"/>
            <w:tcBorders>
              <w:top w:val="nil"/>
              <w:left w:val="nil"/>
              <w:bottom w:val="nil"/>
              <w:right w:val="nil"/>
            </w:tcBorders>
            <w:tcMar>
              <w:top w:w="0" w:type="dxa"/>
              <w:left w:w="62" w:type="dxa"/>
              <w:bottom w:w="0" w:type="dxa"/>
              <w:right w:w="62" w:type="dxa"/>
            </w:tcMar>
          </w:tcPr>
          <w:p w:rsidR="00000000" w:rsidRPr="001C7C29" w:rsidP="001C7C29">
            <w:pPr>
              <w:pStyle w:val="BodyText"/>
            </w:pPr>
          </w:p>
        </w:tc>
      </w:tr>
    </w:tbl>
    <w:p w:rsidR="009A74ED" w:rsidP="001C7C29">
      <w:pPr>
        <w:pStyle w:val="BodyText"/>
      </w:pPr>
    </w:p>
    <w:p w:rsidR="009A74ED" w:rsidP="001C7C29">
      <w:pPr>
        <w:pStyle w:val="BodyText"/>
      </w:pPr>
    </w:p>
    <w:p w:rsidR="00000000" w:rsidRPr="001C7C29" w:rsidP="001C7C29"/>
    <w:sectPr w:rsidSect="001C7C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C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74ED" w:rsidP="009A74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C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4ED" w:rsidP="001C7C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A74ED" w:rsidP="001C7C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A74ED" w:rsidP="001C7C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C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74ED" w:rsidP="009A74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C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4ED" w:rsidP="001C7C29">
    <w:pPr>
      <w:pStyle w:val="Header"/>
      <w:framePr w:wrap="around"/>
    </w:pPr>
    <w:r>
      <w:fldChar w:fldCharType="begin"/>
    </w:r>
    <w:r>
      <w:instrText xml:space="preserve"> TITLE   \* MERGEFORMAT </w:instrText>
    </w:r>
    <w:r>
      <w:fldChar w:fldCharType="separate"/>
    </w:r>
    <w:r>
      <w:t>CPCPFS3021A Inspect and test fire pumpsets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74ED" w:rsidP="001C7C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EC41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78F6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227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C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7C29"/>
    <w:pPr>
      <w:spacing w:before="360" w:after="60"/>
      <w:outlineLvl w:val="0"/>
    </w:pPr>
    <w:rPr>
      <w:sz w:val="32"/>
    </w:rPr>
  </w:style>
  <w:style w:type="paragraph" w:styleId="Heading2">
    <w:name w:val="heading 2"/>
    <w:basedOn w:val="HeadingBase"/>
    <w:next w:val="BodyText"/>
    <w:link w:val="Heading2Char"/>
    <w:qFormat/>
    <w:rsid w:val="001C7C29"/>
    <w:pPr>
      <w:keepLines/>
      <w:spacing w:before="240" w:after="120"/>
      <w:outlineLvl w:val="1"/>
    </w:pPr>
    <w:rPr>
      <w:sz w:val="28"/>
      <w:szCs w:val="40"/>
    </w:rPr>
  </w:style>
  <w:style w:type="paragraph" w:styleId="Heading3">
    <w:name w:val="heading 3"/>
    <w:basedOn w:val="HeadingBase"/>
    <w:next w:val="BodyText"/>
    <w:link w:val="Heading3Char"/>
    <w:qFormat/>
    <w:rsid w:val="001C7C29"/>
    <w:pPr>
      <w:spacing w:before="180" w:after="120"/>
      <w:outlineLvl w:val="2"/>
    </w:pPr>
    <w:rPr>
      <w:spacing w:val="-10"/>
      <w:kern w:val="32"/>
    </w:rPr>
  </w:style>
  <w:style w:type="paragraph" w:styleId="Heading4">
    <w:name w:val="heading 4"/>
    <w:basedOn w:val="HeadingBase"/>
    <w:next w:val="BodyText"/>
    <w:link w:val="Heading4Char"/>
    <w:qFormat/>
    <w:rsid w:val="001C7C29"/>
    <w:pPr>
      <w:spacing w:before="160" w:after="120"/>
      <w:outlineLvl w:val="3"/>
    </w:pPr>
    <w:rPr>
      <w:sz w:val="22"/>
    </w:rPr>
  </w:style>
  <w:style w:type="paragraph" w:styleId="Heading5">
    <w:name w:val="heading 5"/>
    <w:basedOn w:val="HeadingBase"/>
    <w:next w:val="Normal"/>
    <w:link w:val="Heading5Char"/>
    <w:qFormat/>
    <w:rsid w:val="001C7C29"/>
    <w:pPr>
      <w:spacing w:before="80"/>
      <w:outlineLvl w:val="4"/>
    </w:pPr>
    <w:rPr>
      <w:color w:val="918585"/>
      <w:sz w:val="20"/>
    </w:rPr>
  </w:style>
  <w:style w:type="paragraph" w:styleId="Heading6">
    <w:name w:val="heading 6"/>
    <w:basedOn w:val="HeadingBase"/>
    <w:next w:val="Normal"/>
    <w:link w:val="Heading6Char"/>
    <w:qFormat/>
    <w:rsid w:val="001C7C29"/>
    <w:pPr>
      <w:spacing w:before="60"/>
      <w:outlineLvl w:val="5"/>
    </w:pPr>
    <w:rPr>
      <w:color w:val="918585"/>
      <w:sz w:val="20"/>
    </w:rPr>
  </w:style>
  <w:style w:type="paragraph" w:styleId="Heading7">
    <w:name w:val="heading 7"/>
    <w:basedOn w:val="Normal"/>
    <w:next w:val="Normal"/>
    <w:link w:val="Heading7Char"/>
    <w:qFormat/>
    <w:rsid w:val="001C7C29"/>
    <w:pPr>
      <w:ind w:left="720"/>
      <w:outlineLvl w:val="6"/>
    </w:pPr>
    <w:rPr>
      <w:i/>
    </w:rPr>
  </w:style>
  <w:style w:type="paragraph" w:styleId="Heading8">
    <w:name w:val="heading 8"/>
    <w:basedOn w:val="Normal"/>
    <w:next w:val="Normal"/>
    <w:link w:val="Heading8Char"/>
    <w:qFormat/>
    <w:rsid w:val="001C7C29"/>
    <w:pPr>
      <w:ind w:left="720"/>
      <w:outlineLvl w:val="7"/>
    </w:pPr>
    <w:rPr>
      <w:i/>
    </w:rPr>
  </w:style>
  <w:style w:type="paragraph" w:styleId="Heading9">
    <w:name w:val="heading 9"/>
    <w:basedOn w:val="Normal"/>
    <w:next w:val="Normal"/>
    <w:link w:val="Heading9Char"/>
    <w:qFormat/>
    <w:rsid w:val="001C7C29"/>
    <w:pPr>
      <w:ind w:left="720"/>
      <w:outlineLvl w:val="8"/>
    </w:pPr>
    <w:rPr>
      <w:i/>
    </w:rPr>
  </w:style>
  <w:style w:type="character" w:default="1" w:styleId="DefaultParagraphFont">
    <w:name w:val="Default Paragraph Font"/>
    <w:uiPriority w:val="1"/>
    <w:unhideWhenUsed/>
    <w:rsid w:val="001C7C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C29"/>
  </w:style>
  <w:style w:type="character" w:customStyle="1" w:styleId="Heading1Char">
    <w:name w:val="Heading 1 Char"/>
    <w:basedOn w:val="DefaultParagraphFont"/>
    <w:link w:val="Heading1"/>
    <w:rsid w:val="001C7C29"/>
    <w:rPr>
      <w:rFonts w:ascii="Times New Roman" w:eastAsia="Times New Roman" w:hAnsi="Times New Roman" w:cs="Times New Roman"/>
      <w:b/>
      <w:sz w:val="32"/>
      <w:szCs w:val="20"/>
      <w:lang w:eastAsia="en-US"/>
    </w:rPr>
  </w:style>
  <w:style w:type="paragraph" w:styleId="BodyText">
    <w:name w:val="Body Text"/>
    <w:basedOn w:val="Normal"/>
    <w:link w:val="BodyTextChar"/>
    <w:rsid w:val="001C7C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7C29"/>
    <w:rPr>
      <w:rFonts w:ascii="Times New Roman" w:eastAsia="Times New Roman" w:hAnsi="Times New Roman" w:cs="Times New Roman"/>
      <w:sz w:val="24"/>
      <w:lang w:val="en-US" w:eastAsia="en-US"/>
    </w:rPr>
  </w:style>
  <w:style w:type="paragraph" w:styleId="Footer">
    <w:name w:val="footer"/>
    <w:basedOn w:val="Normal"/>
    <w:link w:val="FooterChar"/>
    <w:rsid w:val="001C7C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C29"/>
    <w:rPr>
      <w:rFonts w:ascii="Times New Roman" w:eastAsia="Times New Roman" w:hAnsi="Times New Roman" w:cs="Times New Roman"/>
      <w:sz w:val="16"/>
      <w:lang w:val="en-US" w:eastAsia="en-US"/>
    </w:rPr>
  </w:style>
  <w:style w:type="paragraph" w:styleId="List">
    <w:name w:val="List"/>
    <w:basedOn w:val="BodyText"/>
    <w:next w:val="BodyText"/>
    <w:rsid w:val="001C7C29"/>
    <w:pPr>
      <w:tabs>
        <w:tab w:val="left" w:pos="340"/>
      </w:tabs>
      <w:spacing w:before="60" w:after="60"/>
      <w:ind w:left="340" w:hanging="340"/>
    </w:pPr>
  </w:style>
  <w:style w:type="paragraph" w:styleId="ListBullet">
    <w:name w:val="List Bullet"/>
    <w:basedOn w:val="List"/>
    <w:rsid w:val="001C7C29"/>
    <w:pPr>
      <w:numPr>
        <w:numId w:val="14"/>
      </w:numPr>
      <w:tabs>
        <w:tab w:val="clear" w:pos="340"/>
      </w:tabs>
      <w:spacing w:before="40" w:after="40"/>
    </w:pPr>
  </w:style>
  <w:style w:type="character" w:customStyle="1" w:styleId="SpecialBold">
    <w:name w:val="Special Bold"/>
    <w:basedOn w:val="DefaultParagraphFont"/>
    <w:rsid w:val="001C7C29"/>
    <w:rPr>
      <w:b/>
      <w:spacing w:val="0"/>
    </w:rPr>
  </w:style>
  <w:style w:type="paragraph" w:styleId="ListBullet2">
    <w:name w:val="List Bullet 2"/>
    <w:basedOn w:val="List2"/>
    <w:rsid w:val="001C7C29"/>
    <w:pPr>
      <w:numPr>
        <w:numId w:val="15"/>
      </w:numPr>
      <w:tabs>
        <w:tab w:val="clear" w:pos="680"/>
      </w:tabs>
    </w:pPr>
  </w:style>
  <w:style w:type="paragraph" w:styleId="Header">
    <w:name w:val="header"/>
    <w:basedOn w:val="Normal"/>
    <w:link w:val="HeaderChar"/>
    <w:rsid w:val="001C7C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C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7C29"/>
    <w:pPr>
      <w:spacing w:before="240" w:after="120"/>
      <w:outlineLvl w:val="0"/>
    </w:pPr>
    <w:rPr>
      <w:rFonts w:ascii="Times New Roman" w:hAnsi="Times New Roman"/>
      <w:b/>
      <w:sz w:val="28"/>
    </w:rPr>
  </w:style>
  <w:style w:type="paragraph" w:customStyle="1" w:styleId="AllowPageBreak">
    <w:name w:val="AllowPageBreak"/>
    <w:rsid w:val="001C7C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7C29"/>
    <w:pPr>
      <w:tabs>
        <w:tab w:val="left" w:pos="680"/>
      </w:tabs>
      <w:spacing w:before="60" w:after="60"/>
      <w:ind w:left="680" w:hanging="340"/>
    </w:pPr>
  </w:style>
  <w:style w:type="paragraph" w:styleId="ListBullet3">
    <w:name w:val="List Bullet 3"/>
    <w:basedOn w:val="List3"/>
    <w:rsid w:val="001C7C29"/>
    <w:pPr>
      <w:numPr>
        <w:numId w:val="3"/>
      </w:numPr>
      <w:tabs>
        <w:tab w:val="clear" w:pos="1021"/>
      </w:tabs>
      <w:ind w:left="1037" w:hanging="357"/>
    </w:pPr>
  </w:style>
  <w:style w:type="character" w:customStyle="1" w:styleId="BoldandItalics">
    <w:name w:val="Bold and Italics"/>
    <w:qFormat/>
    <w:rsid w:val="001C7C29"/>
    <w:rPr>
      <w:b/>
      <w:i/>
      <w:u w:val="none"/>
    </w:rPr>
  </w:style>
  <w:style w:type="character" w:customStyle="1" w:styleId="Heading2Char">
    <w:name w:val="Heading 2 Char"/>
    <w:basedOn w:val="DefaultParagraphFont"/>
    <w:link w:val="Heading2"/>
    <w:rsid w:val="001C7C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C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C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C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C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C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7C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7C29"/>
    <w:rPr>
      <w:rFonts w:ascii="Courier New" w:eastAsia="Times New Roman" w:hAnsi="Courier New" w:cs="Times New Roman"/>
      <w:i/>
      <w:szCs w:val="20"/>
      <w:lang w:val="en-US" w:eastAsia="en-US"/>
    </w:rPr>
  </w:style>
  <w:style w:type="paragraph" w:customStyle="1" w:styleId="HeadingBase">
    <w:name w:val="Heading Base"/>
    <w:rsid w:val="001C7C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C29"/>
    <w:pPr>
      <w:tabs>
        <w:tab w:val="right" w:leader="dot" w:pos="9072"/>
      </w:tabs>
      <w:ind w:left="567"/>
    </w:pPr>
    <w:rPr>
      <w:szCs w:val="22"/>
    </w:rPr>
  </w:style>
  <w:style w:type="paragraph" w:customStyle="1" w:styleId="TOCBase">
    <w:name w:val="TOC Base"/>
    <w:rsid w:val="001C7C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C29"/>
    <w:pPr>
      <w:tabs>
        <w:tab w:val="right" w:leader="dot" w:pos="9072"/>
      </w:tabs>
      <w:spacing w:before="40" w:after="40"/>
      <w:ind w:left="284"/>
    </w:pPr>
    <w:rPr>
      <w:rFonts w:ascii="Times New Roman" w:hAnsi="Times New Roman"/>
    </w:rPr>
  </w:style>
  <w:style w:type="paragraph" w:styleId="TOC1">
    <w:name w:val="toc 1"/>
    <w:basedOn w:val="TOCBase"/>
    <w:next w:val="Normal"/>
    <w:rsid w:val="001C7C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7C29"/>
    <w:pPr>
      <w:spacing w:before="5040"/>
      <w:jc w:val="center"/>
    </w:pPr>
    <w:rPr>
      <w:sz w:val="48"/>
      <w:szCs w:val="72"/>
      <w:lang w:val="en-US"/>
    </w:rPr>
  </w:style>
  <w:style w:type="character" w:customStyle="1" w:styleId="TitleChar">
    <w:name w:val="Title Char"/>
    <w:basedOn w:val="DefaultParagraphFont"/>
    <w:link w:val="Title"/>
    <w:rsid w:val="001C7C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C29"/>
    <w:pPr>
      <w:tabs>
        <w:tab w:val="left" w:pos="3600"/>
        <w:tab w:val="left" w:pos="3958"/>
      </w:tabs>
    </w:pPr>
  </w:style>
  <w:style w:type="paragraph" w:customStyle="1" w:styleId="Note">
    <w:name w:val="Note"/>
    <w:basedOn w:val="BodyText"/>
    <w:rsid w:val="001C7C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C29"/>
    <w:pPr>
      <w:framePr w:wrap="auto" w:hAnchor="text" w:y="6049"/>
    </w:pPr>
    <w:rPr>
      <w:color w:val="000000"/>
      <w:sz w:val="40"/>
    </w:rPr>
  </w:style>
  <w:style w:type="paragraph" w:customStyle="1" w:styleId="TOCTitle">
    <w:name w:val="TOCTitle"/>
    <w:basedOn w:val="Heading1"/>
    <w:rsid w:val="001C7C29"/>
    <w:pPr>
      <w:spacing w:after="240"/>
      <w:jc w:val="center"/>
      <w:outlineLvl w:val="9"/>
    </w:pPr>
    <w:rPr>
      <w:caps/>
    </w:rPr>
  </w:style>
  <w:style w:type="paragraph" w:customStyle="1" w:styleId="Version">
    <w:name w:val="Version"/>
    <w:rsid w:val="001C7C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7C29"/>
    <w:pPr>
      <w:keepNext w:val="0"/>
      <w:tabs>
        <w:tab w:val="right" w:pos="4176"/>
      </w:tabs>
      <w:ind w:left="198" w:hanging="198"/>
    </w:pPr>
    <w:rPr>
      <w:rFonts w:ascii="Garamond" w:hAnsi="Garamond"/>
    </w:rPr>
  </w:style>
  <w:style w:type="paragraph" w:styleId="IndexHeading">
    <w:name w:val="index heading"/>
    <w:basedOn w:val="Normal"/>
    <w:next w:val="Index1"/>
    <w:semiHidden/>
    <w:rsid w:val="001C7C29"/>
    <w:pPr>
      <w:spacing w:before="120" w:after="120"/>
    </w:pPr>
    <w:rPr>
      <w:rFonts w:ascii="Arial" w:hAnsi="Arial"/>
      <w:b/>
      <w:color w:val="918585"/>
      <w:sz w:val="24"/>
    </w:rPr>
  </w:style>
  <w:style w:type="paragraph" w:customStyle="1" w:styleId="Chapter">
    <w:name w:val="Chapter"/>
    <w:basedOn w:val="Normal"/>
    <w:rsid w:val="001C7C29"/>
    <w:pPr>
      <w:spacing w:before="240"/>
    </w:pPr>
    <w:rPr>
      <w:rFonts w:ascii="Times New Roman" w:hAnsi="Times New Roman"/>
      <w:smallCaps/>
      <w:spacing w:val="80"/>
      <w:sz w:val="28"/>
    </w:rPr>
  </w:style>
  <w:style w:type="paragraph" w:customStyle="1" w:styleId="InChapter">
    <w:name w:val="InChapter"/>
    <w:basedOn w:val="Heading3"/>
    <w:rsid w:val="001C7C29"/>
    <w:pPr>
      <w:spacing w:after="240"/>
      <w:outlineLvl w:val="9"/>
    </w:pPr>
    <w:rPr>
      <w:noProof/>
    </w:rPr>
  </w:style>
  <w:style w:type="paragraph" w:styleId="Index2">
    <w:name w:val="index 2"/>
    <w:basedOn w:val="Normal"/>
    <w:next w:val="Normal"/>
    <w:semiHidden/>
    <w:rsid w:val="001C7C29"/>
    <w:pPr>
      <w:tabs>
        <w:tab w:val="right" w:pos="4176"/>
      </w:tabs>
      <w:ind w:left="568" w:hanging="284"/>
    </w:pPr>
    <w:rPr>
      <w:rFonts w:ascii="Garamond" w:hAnsi="Garamond"/>
    </w:rPr>
  </w:style>
  <w:style w:type="paragraph" w:customStyle="1" w:styleId="Byline">
    <w:name w:val="Byline"/>
    <w:rsid w:val="001C7C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C29"/>
    <w:pPr>
      <w:tabs>
        <w:tab w:val="clear" w:pos="3600"/>
        <w:tab w:val="clear" w:pos="3958"/>
      </w:tabs>
      <w:jc w:val="right"/>
    </w:pPr>
  </w:style>
  <w:style w:type="character" w:styleId="Emphasis">
    <w:name w:val="Emphasis"/>
    <w:basedOn w:val="DefaultParagraphFont"/>
    <w:qFormat/>
    <w:rsid w:val="001C7C29"/>
    <w:rPr>
      <w:i/>
    </w:rPr>
  </w:style>
  <w:style w:type="paragraph" w:styleId="Caption">
    <w:name w:val="caption"/>
    <w:basedOn w:val="BodyText"/>
    <w:next w:val="Normal"/>
    <w:qFormat/>
    <w:rsid w:val="001C7C29"/>
    <w:pPr>
      <w:framePr w:w="2268" w:hSpace="181" w:vSpace="181" w:wrap="around" w:vAnchor="text" w:hAnchor="page" w:x="1135" w:y="285" w:anchorLock="1"/>
    </w:pPr>
    <w:rPr>
      <w:i/>
    </w:rPr>
  </w:style>
  <w:style w:type="paragraph" w:customStyle="1" w:styleId="MiniTOCTitle">
    <w:name w:val="MiniTOCTitle"/>
    <w:basedOn w:val="Heading4"/>
    <w:rsid w:val="001C7C29"/>
    <w:pPr>
      <w:spacing w:before="240"/>
      <w:outlineLvl w:val="9"/>
    </w:pPr>
    <w:rPr>
      <w:noProof/>
      <w:sz w:val="24"/>
    </w:rPr>
  </w:style>
  <w:style w:type="paragraph" w:customStyle="1" w:styleId="MiniTOCItem">
    <w:name w:val="MiniTOCItem"/>
    <w:basedOn w:val="ListBullet"/>
    <w:rsid w:val="001C7C29"/>
    <w:pPr>
      <w:numPr>
        <w:numId w:val="0"/>
      </w:numPr>
      <w:tabs>
        <w:tab w:val="right" w:leader="dot" w:pos="6521"/>
      </w:tabs>
      <w:spacing w:before="0" w:after="0"/>
    </w:pPr>
  </w:style>
  <w:style w:type="paragraph" w:customStyle="1" w:styleId="TOFTitle">
    <w:name w:val="TOFTitle"/>
    <w:basedOn w:val="TOCTitle"/>
    <w:rsid w:val="001C7C29"/>
  </w:style>
  <w:style w:type="paragraph" w:styleId="TableofFigures">
    <w:name w:val="table of figures"/>
    <w:basedOn w:val="Normal"/>
    <w:next w:val="Normal"/>
    <w:semiHidden/>
    <w:rsid w:val="001C7C29"/>
    <w:pPr>
      <w:tabs>
        <w:tab w:val="right" w:leader="dot" w:pos="9072"/>
      </w:tabs>
      <w:ind w:left="970" w:hanging="403"/>
    </w:pPr>
    <w:rPr>
      <w:rFonts w:ascii="Times New Roman" w:hAnsi="Times New Roman"/>
      <w:b/>
    </w:rPr>
  </w:style>
  <w:style w:type="paragraph" w:styleId="ListNumber">
    <w:name w:val="List Number"/>
    <w:basedOn w:val="List"/>
    <w:rsid w:val="001C7C29"/>
    <w:pPr>
      <w:numPr>
        <w:numId w:val="12"/>
      </w:numPr>
    </w:pPr>
  </w:style>
  <w:style w:type="character" w:customStyle="1" w:styleId="WingdingSymbols">
    <w:name w:val="Wingding Symbols"/>
    <w:rsid w:val="001C7C29"/>
    <w:rPr>
      <w:rFonts w:ascii="Wingdings" w:hAnsi="Wingdings"/>
    </w:rPr>
  </w:style>
  <w:style w:type="paragraph" w:customStyle="1" w:styleId="TableHeading">
    <w:name w:val="Table Heading"/>
    <w:basedOn w:val="HeadingBase"/>
    <w:rsid w:val="001C7C29"/>
    <w:pPr>
      <w:keepLines/>
      <w:pBdr>
        <w:bottom w:val="single" w:sz="6" w:space="1" w:color="918585"/>
      </w:pBdr>
      <w:spacing w:before="240"/>
    </w:pPr>
  </w:style>
  <w:style w:type="character" w:customStyle="1" w:styleId="HotSpot">
    <w:name w:val="HotSpot"/>
    <w:rsid w:val="001C7C29"/>
    <w:rPr>
      <w:color w:val="0033CC"/>
      <w:u w:val="none"/>
    </w:rPr>
  </w:style>
  <w:style w:type="paragraph" w:customStyle="1" w:styleId="BodyTextRight">
    <w:name w:val="Body Text Right"/>
    <w:basedOn w:val="BodyText"/>
    <w:rsid w:val="001C7C29"/>
    <w:pPr>
      <w:spacing w:before="0" w:after="0"/>
      <w:jc w:val="right"/>
    </w:pPr>
  </w:style>
  <w:style w:type="paragraph" w:styleId="Index3">
    <w:name w:val="index 3"/>
    <w:basedOn w:val="ListNumber2"/>
    <w:next w:val="Normal"/>
    <w:semiHidden/>
    <w:rsid w:val="001C7C29"/>
    <w:pPr>
      <w:numPr>
        <w:numId w:val="0"/>
      </w:numPr>
      <w:tabs>
        <w:tab w:val="right" w:leader="dot" w:pos="4176"/>
      </w:tabs>
    </w:pPr>
  </w:style>
  <w:style w:type="paragraph" w:styleId="ListNumber2">
    <w:name w:val="List Number 2"/>
    <w:basedOn w:val="List2"/>
    <w:rsid w:val="001C7C29"/>
    <w:pPr>
      <w:numPr>
        <w:numId w:val="11"/>
      </w:numPr>
      <w:tabs>
        <w:tab w:val="clear" w:pos="1060"/>
      </w:tabs>
    </w:pPr>
  </w:style>
  <w:style w:type="paragraph" w:customStyle="1" w:styleId="MarginNote">
    <w:name w:val="Margin Note"/>
    <w:basedOn w:val="BodyText"/>
    <w:rsid w:val="001C7C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C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C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7C29"/>
    <w:rPr>
      <w:sz w:val="32"/>
    </w:rPr>
  </w:style>
  <w:style w:type="paragraph" w:customStyle="1" w:styleId="HeadingProcedure">
    <w:name w:val="Heading Procedure"/>
    <w:basedOn w:val="HeadingBase"/>
    <w:next w:val="Normal"/>
    <w:rsid w:val="001C7C29"/>
    <w:pPr>
      <w:tabs>
        <w:tab w:val="left" w:pos="0"/>
      </w:tabs>
      <w:spacing w:before="120" w:after="60"/>
    </w:pPr>
    <w:rPr>
      <w:i/>
      <w:color w:val="918585"/>
      <w:sz w:val="22"/>
    </w:rPr>
  </w:style>
  <w:style w:type="paragraph" w:customStyle="1" w:styleId="TableBodyText">
    <w:name w:val="Table Body Text"/>
    <w:basedOn w:val="BodyText"/>
    <w:rsid w:val="001C7C29"/>
    <w:pPr>
      <w:spacing w:before="60" w:after="60"/>
    </w:pPr>
  </w:style>
  <w:style w:type="paragraph" w:styleId="ListContinue">
    <w:name w:val="List Continue"/>
    <w:basedOn w:val="List"/>
    <w:rsid w:val="001C7C29"/>
    <w:pPr>
      <w:ind w:firstLine="0"/>
    </w:pPr>
  </w:style>
  <w:style w:type="paragraph" w:customStyle="1" w:styleId="ListNote">
    <w:name w:val="List Note"/>
    <w:basedOn w:val="List"/>
    <w:rsid w:val="001C7C29"/>
    <w:pPr>
      <w:pBdr>
        <w:top w:val="single" w:sz="6" w:space="2" w:color="918585"/>
        <w:bottom w:val="single" w:sz="6" w:space="2" w:color="918585"/>
      </w:pBdr>
      <w:tabs>
        <w:tab w:val="left" w:pos="1021"/>
      </w:tabs>
      <w:ind w:firstLine="0"/>
    </w:pPr>
  </w:style>
  <w:style w:type="paragraph" w:customStyle="1" w:styleId="Warning">
    <w:name w:val="Warning"/>
    <w:basedOn w:val="BodyText"/>
    <w:rsid w:val="001C7C29"/>
    <w:pPr>
      <w:shd w:val="clear" w:color="auto" w:fill="D9D9D9"/>
      <w:tabs>
        <w:tab w:val="left" w:pos="992"/>
      </w:tabs>
      <w:ind w:left="119" w:right="119"/>
    </w:pPr>
    <w:rPr>
      <w:sz w:val="20"/>
    </w:rPr>
  </w:style>
  <w:style w:type="paragraph" w:customStyle="1" w:styleId="MarginIcons">
    <w:name w:val="Margin Icons"/>
    <w:basedOn w:val="BodyText"/>
    <w:rsid w:val="001C7C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C29"/>
    <w:rPr>
      <w:rFonts w:ascii="Courier New" w:hAnsi="Courier New"/>
    </w:rPr>
  </w:style>
  <w:style w:type="paragraph" w:customStyle="1" w:styleId="NoteBullet">
    <w:name w:val="Note Bullet"/>
    <w:basedOn w:val="Note"/>
    <w:rsid w:val="001C7C29"/>
    <w:pPr>
      <w:tabs>
        <w:tab w:val="clear" w:pos="680"/>
      </w:tabs>
      <w:spacing w:before="60" w:after="60"/>
    </w:pPr>
  </w:style>
  <w:style w:type="paragraph" w:customStyle="1" w:styleId="SubHeading2">
    <w:name w:val="SubHeading2"/>
    <w:basedOn w:val="HeadingBase"/>
    <w:rsid w:val="001C7C29"/>
    <w:pPr>
      <w:spacing w:before="240" w:after="60"/>
    </w:pPr>
    <w:rPr>
      <w:sz w:val="20"/>
    </w:rPr>
  </w:style>
  <w:style w:type="paragraph" w:customStyle="1" w:styleId="SubHeading1">
    <w:name w:val="SubHeading1"/>
    <w:basedOn w:val="HeadingBase"/>
    <w:rsid w:val="001C7C29"/>
    <w:pPr>
      <w:spacing w:before="240" w:after="60"/>
    </w:pPr>
    <w:rPr>
      <w:color w:val="918585"/>
      <w:sz w:val="22"/>
    </w:rPr>
  </w:style>
  <w:style w:type="paragraph" w:customStyle="1" w:styleId="SideHeading">
    <w:name w:val="Side Heading"/>
    <w:basedOn w:val="HeadingBase"/>
    <w:rsid w:val="001C7C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C29"/>
    <w:pPr>
      <w:numPr>
        <w:numId w:val="13"/>
      </w:numPr>
    </w:pPr>
  </w:style>
  <w:style w:type="paragraph" w:styleId="PlainText">
    <w:name w:val="Plain Text"/>
    <w:basedOn w:val="Normal"/>
    <w:link w:val="PlainTextChar"/>
    <w:rsid w:val="001C7C29"/>
    <w:rPr>
      <w:sz w:val="20"/>
    </w:rPr>
  </w:style>
  <w:style w:type="character" w:customStyle="1" w:styleId="PlainTextChar">
    <w:name w:val="Plain Text Char"/>
    <w:basedOn w:val="DefaultParagraphFont"/>
    <w:link w:val="PlainText"/>
    <w:rsid w:val="001C7C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7C29"/>
    <w:rPr>
      <w:b/>
      <w:smallCaps/>
    </w:rPr>
  </w:style>
  <w:style w:type="paragraph" w:customStyle="1" w:styleId="TableListNumber">
    <w:name w:val="Table List Number"/>
    <w:basedOn w:val="ListNumber"/>
    <w:rsid w:val="001C7C29"/>
    <w:pPr>
      <w:numPr>
        <w:numId w:val="0"/>
      </w:numPr>
    </w:pPr>
  </w:style>
  <w:style w:type="paragraph" w:styleId="TOC4">
    <w:name w:val="toc 4"/>
    <w:basedOn w:val="TOCBase"/>
    <w:next w:val="Normal"/>
    <w:semiHidden/>
    <w:rsid w:val="001C7C29"/>
    <w:pPr>
      <w:tabs>
        <w:tab w:val="right" w:leader="dot" w:pos="9071"/>
      </w:tabs>
      <w:ind w:left="1701"/>
    </w:pPr>
  </w:style>
  <w:style w:type="paragraph" w:customStyle="1" w:styleId="ListAlpha">
    <w:name w:val="List Alpha"/>
    <w:basedOn w:val="List"/>
    <w:rsid w:val="001C7C29"/>
    <w:pPr>
      <w:numPr>
        <w:numId w:val="10"/>
      </w:numPr>
    </w:pPr>
  </w:style>
  <w:style w:type="paragraph" w:customStyle="1" w:styleId="ListAlpha2">
    <w:name w:val="List Alpha 2"/>
    <w:basedOn w:val="List2"/>
    <w:rsid w:val="001C7C29"/>
    <w:pPr>
      <w:numPr>
        <w:numId w:val="9"/>
      </w:numPr>
    </w:pPr>
  </w:style>
  <w:style w:type="paragraph" w:styleId="List3">
    <w:name w:val="List 3"/>
    <w:basedOn w:val="BodyText"/>
    <w:rsid w:val="001C7C29"/>
    <w:pPr>
      <w:tabs>
        <w:tab w:val="left" w:pos="1021"/>
      </w:tabs>
      <w:spacing w:before="60" w:after="60"/>
      <w:ind w:left="1020" w:hanging="340"/>
    </w:pPr>
  </w:style>
  <w:style w:type="paragraph" w:styleId="List4">
    <w:name w:val="List 4"/>
    <w:basedOn w:val="BodyText"/>
    <w:rsid w:val="001C7C29"/>
    <w:pPr>
      <w:tabs>
        <w:tab w:val="left" w:pos="1361"/>
      </w:tabs>
      <w:spacing w:before="60" w:after="60"/>
      <w:ind w:left="1361" w:hanging="340"/>
    </w:pPr>
  </w:style>
  <w:style w:type="paragraph" w:styleId="List5">
    <w:name w:val="List 5"/>
    <w:basedOn w:val="BodyText"/>
    <w:rsid w:val="001C7C29"/>
    <w:pPr>
      <w:tabs>
        <w:tab w:val="left" w:pos="1701"/>
      </w:tabs>
      <w:spacing w:before="60" w:after="60"/>
      <w:ind w:left="1701" w:hanging="340"/>
    </w:pPr>
  </w:style>
  <w:style w:type="paragraph" w:styleId="ListBullet4">
    <w:name w:val="List Bullet 4"/>
    <w:basedOn w:val="List4"/>
    <w:rsid w:val="001C7C29"/>
    <w:pPr>
      <w:numPr>
        <w:numId w:val="4"/>
      </w:numPr>
    </w:pPr>
  </w:style>
  <w:style w:type="paragraph" w:styleId="ListBullet5">
    <w:name w:val="List Bullet 5"/>
    <w:basedOn w:val="List5"/>
    <w:rsid w:val="001C7C29"/>
    <w:pPr>
      <w:numPr>
        <w:numId w:val="5"/>
      </w:numPr>
    </w:pPr>
  </w:style>
  <w:style w:type="paragraph" w:styleId="ListContinue2">
    <w:name w:val="List Continue 2"/>
    <w:basedOn w:val="List2"/>
    <w:rsid w:val="001C7C29"/>
    <w:pPr>
      <w:ind w:firstLine="0"/>
    </w:pPr>
  </w:style>
  <w:style w:type="paragraph" w:styleId="ListContinue3">
    <w:name w:val="List Continue 3"/>
    <w:basedOn w:val="List3"/>
    <w:rsid w:val="001C7C29"/>
    <w:pPr>
      <w:ind w:left="1021" w:firstLine="0"/>
    </w:pPr>
  </w:style>
  <w:style w:type="paragraph" w:styleId="ListContinue4">
    <w:name w:val="List Continue 4"/>
    <w:basedOn w:val="List4"/>
    <w:rsid w:val="001C7C29"/>
    <w:pPr>
      <w:ind w:firstLine="0"/>
    </w:pPr>
  </w:style>
  <w:style w:type="paragraph" w:styleId="ListContinue5">
    <w:name w:val="List Continue 5"/>
    <w:basedOn w:val="List5"/>
    <w:rsid w:val="001C7C29"/>
    <w:pPr>
      <w:ind w:firstLine="0"/>
    </w:pPr>
  </w:style>
  <w:style w:type="paragraph" w:styleId="ListNumber3">
    <w:name w:val="List Number 3"/>
    <w:basedOn w:val="List3"/>
    <w:rsid w:val="001C7C29"/>
    <w:pPr>
      <w:numPr>
        <w:numId w:val="6"/>
      </w:numPr>
    </w:pPr>
  </w:style>
  <w:style w:type="paragraph" w:styleId="ListNumber4">
    <w:name w:val="List Number 4"/>
    <w:basedOn w:val="List4"/>
    <w:rsid w:val="001C7C29"/>
    <w:pPr>
      <w:numPr>
        <w:numId w:val="7"/>
      </w:numPr>
    </w:pPr>
  </w:style>
  <w:style w:type="paragraph" w:styleId="ListNumber5">
    <w:name w:val="List Number 5"/>
    <w:basedOn w:val="List5"/>
    <w:rsid w:val="001C7C29"/>
    <w:pPr>
      <w:numPr>
        <w:numId w:val="8"/>
      </w:numPr>
    </w:pPr>
  </w:style>
  <w:style w:type="paragraph" w:styleId="BlockText">
    <w:name w:val="Block Text"/>
    <w:basedOn w:val="Normal"/>
    <w:rsid w:val="001C7C29"/>
    <w:pPr>
      <w:spacing w:after="120"/>
      <w:ind w:left="1440" w:right="1440"/>
    </w:pPr>
  </w:style>
  <w:style w:type="character" w:customStyle="1" w:styleId="Subscript">
    <w:name w:val="Subscript"/>
    <w:basedOn w:val="DefaultParagraphFont"/>
    <w:rsid w:val="001C7C29"/>
    <w:rPr>
      <w:sz w:val="16"/>
      <w:vertAlign w:val="subscript"/>
    </w:rPr>
  </w:style>
  <w:style w:type="character" w:customStyle="1" w:styleId="Superscript">
    <w:name w:val="Superscript"/>
    <w:basedOn w:val="DefaultParagraphFont"/>
    <w:rsid w:val="001C7C29"/>
    <w:rPr>
      <w:sz w:val="16"/>
      <w:vertAlign w:val="superscript"/>
    </w:rPr>
  </w:style>
  <w:style w:type="character" w:customStyle="1" w:styleId="Symbols">
    <w:name w:val="Symbols"/>
    <w:basedOn w:val="DefaultParagraphFont"/>
    <w:rsid w:val="001C7C29"/>
    <w:rPr>
      <w:rFonts w:ascii="Symbol" w:hAnsi="Symbol"/>
    </w:rPr>
  </w:style>
  <w:style w:type="character" w:customStyle="1" w:styleId="MenuOptions">
    <w:name w:val="Menu Options"/>
    <w:basedOn w:val="DefaultParagraphFont"/>
    <w:rsid w:val="001C7C29"/>
    <w:rPr>
      <w:rFonts w:ascii="Arial Narrow" w:hAnsi="Arial Narrow"/>
      <w:smallCaps/>
    </w:rPr>
  </w:style>
  <w:style w:type="character" w:customStyle="1" w:styleId="Buttons">
    <w:name w:val="Buttons"/>
    <w:basedOn w:val="DefaultParagraphFont"/>
    <w:rsid w:val="001C7C29"/>
    <w:rPr>
      <w:b/>
    </w:rPr>
  </w:style>
  <w:style w:type="character" w:customStyle="1" w:styleId="Underlined">
    <w:name w:val="Underlined"/>
    <w:basedOn w:val="DefaultParagraphFont"/>
    <w:rsid w:val="001C7C29"/>
    <w:rPr>
      <w:u w:val="single"/>
    </w:rPr>
  </w:style>
  <w:style w:type="paragraph" w:customStyle="1" w:styleId="TableBodyTextRight">
    <w:name w:val="Table Body Text Right"/>
    <w:basedOn w:val="TableBodyText"/>
    <w:rsid w:val="001C7C29"/>
    <w:pPr>
      <w:widowControl w:val="0"/>
      <w:autoSpaceDE w:val="0"/>
      <w:autoSpaceDN w:val="0"/>
      <w:adjustRightInd w:val="0"/>
      <w:jc w:val="right"/>
    </w:pPr>
    <w:rPr>
      <w:rFonts w:cs="Arial"/>
      <w:szCs w:val="18"/>
    </w:rPr>
  </w:style>
  <w:style w:type="paragraph" w:customStyle="1" w:styleId="CopyrightText">
    <w:name w:val="Copyright Text"/>
    <w:basedOn w:val="BodyText"/>
    <w:rsid w:val="001C7C29"/>
    <w:rPr>
      <w:sz w:val="18"/>
    </w:rPr>
  </w:style>
  <w:style w:type="paragraph" w:customStyle="1" w:styleId="BodySmallRight">
    <w:name w:val="Body Small Right"/>
    <w:basedOn w:val="BodyTextRight"/>
    <w:rsid w:val="001C7C29"/>
    <w:rPr>
      <w:sz w:val="18"/>
      <w:szCs w:val="18"/>
    </w:rPr>
  </w:style>
  <w:style w:type="paragraph" w:customStyle="1" w:styleId="MarginEdition">
    <w:name w:val="Margin Edition"/>
    <w:basedOn w:val="MarginNote"/>
    <w:rsid w:val="001C7C29"/>
    <w:pPr>
      <w:spacing w:before="0" w:after="0"/>
    </w:pPr>
    <w:rPr>
      <w:rFonts w:ascii="Times New Roman" w:hAnsi="Times New Roman"/>
      <w:color w:val="999999"/>
    </w:rPr>
  </w:style>
  <w:style w:type="paragraph" w:customStyle="1" w:styleId="Spacer">
    <w:name w:val="Spacer"/>
    <w:basedOn w:val="Normal"/>
    <w:rsid w:val="001C7C29"/>
    <w:rPr>
      <w:sz w:val="2"/>
      <w:szCs w:val="2"/>
    </w:rPr>
  </w:style>
  <w:style w:type="character" w:customStyle="1" w:styleId="Small">
    <w:name w:val="Small"/>
    <w:basedOn w:val="DefaultParagraphFont"/>
    <w:rsid w:val="001C7C29"/>
    <w:rPr>
      <w:sz w:val="16"/>
    </w:rPr>
  </w:style>
  <w:style w:type="paragraph" w:customStyle="1" w:styleId="WideTable">
    <w:name w:val="Wide Table"/>
    <w:basedOn w:val="Normal"/>
    <w:rsid w:val="001C7C29"/>
    <w:pPr>
      <w:ind w:left="-1418"/>
    </w:pPr>
    <w:rPr>
      <w:sz w:val="2"/>
      <w:szCs w:val="2"/>
    </w:rPr>
  </w:style>
  <w:style w:type="character" w:styleId="PageNumber">
    <w:name w:val="page number"/>
    <w:basedOn w:val="DefaultParagraphFont"/>
    <w:rsid w:val="001C7C29"/>
  </w:style>
  <w:style w:type="paragraph" w:styleId="Quote">
    <w:name w:val="Quote"/>
    <w:basedOn w:val="Heading1"/>
    <w:link w:val="QuoteChar"/>
    <w:qFormat/>
    <w:rsid w:val="001C7C29"/>
    <w:rPr>
      <w:b w:val="0"/>
      <w:sz w:val="72"/>
      <w:szCs w:val="72"/>
      <w:lang w:val="en-NZ"/>
    </w:rPr>
  </w:style>
  <w:style w:type="character" w:customStyle="1" w:styleId="QuoteChar">
    <w:name w:val="Quote Char"/>
    <w:basedOn w:val="DefaultParagraphFont"/>
    <w:link w:val="Quote"/>
    <w:rsid w:val="001C7C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C29"/>
    <w:pPr>
      <w:pageBreakBefore/>
    </w:pPr>
  </w:style>
  <w:style w:type="paragraph" w:customStyle="1" w:styleId="Border">
    <w:name w:val="Border"/>
    <w:basedOn w:val="Normal"/>
    <w:qFormat/>
    <w:rsid w:val="001C7C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C29"/>
    <w:rPr>
      <w:b/>
      <w:bCs/>
      <w:i/>
      <w:iCs/>
      <w:color w:val="auto"/>
    </w:rPr>
  </w:style>
  <w:style w:type="paragraph" w:styleId="IntenseQuote">
    <w:name w:val="Intense Quote"/>
    <w:basedOn w:val="Normal"/>
    <w:next w:val="Normal"/>
    <w:link w:val="IntenseQuoteChar"/>
    <w:uiPriority w:val="30"/>
    <w:qFormat/>
    <w:rsid w:val="001C7C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C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7C29"/>
    <w:rPr>
      <w:smallCaps/>
      <w:color w:val="auto"/>
      <w:u w:val="single"/>
    </w:rPr>
  </w:style>
  <w:style w:type="character" w:styleId="IntenseReference">
    <w:name w:val="Intense Reference"/>
    <w:basedOn w:val="DefaultParagraphFont"/>
    <w:uiPriority w:val="32"/>
    <w:qFormat/>
    <w:rsid w:val="001C7C29"/>
    <w:rPr>
      <w:b/>
      <w:bCs/>
      <w:smallCaps/>
      <w:color w:val="auto"/>
      <w:spacing w:val="5"/>
      <w:u w:val="single"/>
    </w:rPr>
  </w:style>
  <w:style w:type="paragraph" w:customStyle="1" w:styleId="2ColumnHeading">
    <w:name w:val="2Column Heading"/>
    <w:basedOn w:val="BodyText"/>
    <w:qFormat/>
    <w:rsid w:val="001C7C29"/>
    <w:pPr>
      <w:spacing w:after="60"/>
      <w:ind w:left="-2268"/>
    </w:pPr>
    <w:rPr>
      <w:b/>
    </w:rPr>
  </w:style>
  <w:style w:type="paragraph" w:customStyle="1" w:styleId="Heading1TOC">
    <w:name w:val="Heading1 TOC"/>
    <w:basedOn w:val="Normal"/>
    <w:qFormat/>
    <w:rsid w:val="001C7C29"/>
    <w:pPr>
      <w:spacing w:before="240" w:after="120"/>
    </w:pPr>
    <w:rPr>
      <w:rFonts w:ascii="Times New Roman" w:hAnsi="Times New Roman"/>
      <w:b/>
      <w:sz w:val="32"/>
    </w:rPr>
  </w:style>
  <w:style w:type="paragraph" w:customStyle="1" w:styleId="Heading2TOC">
    <w:name w:val="Heading2 TOC"/>
    <w:basedOn w:val="Normal"/>
    <w:qFormat/>
    <w:rsid w:val="001C7C29"/>
    <w:pPr>
      <w:spacing w:before="240" w:after="60"/>
    </w:pPr>
    <w:rPr>
      <w:rFonts w:ascii="Times New Roman" w:hAnsi="Times New Roman"/>
      <w:b/>
      <w:sz w:val="28"/>
    </w:rPr>
  </w:style>
  <w:style w:type="character" w:customStyle="1" w:styleId="Underline">
    <w:name w:val="Underline"/>
    <w:basedOn w:val="DefaultParagraphFont"/>
    <w:qFormat/>
    <w:rsid w:val="001C7C29"/>
    <w:rPr>
      <w:u w:val="single"/>
    </w:rPr>
  </w:style>
  <w:style w:type="paragraph" w:styleId="BalloonText">
    <w:name w:val="Balloon Text"/>
    <w:basedOn w:val="Normal"/>
    <w:link w:val="BalloonTextChar"/>
    <w:rsid w:val="001C7C29"/>
    <w:rPr>
      <w:rFonts w:ascii="Tahoma" w:hAnsi="Tahoma" w:cs="Tahoma"/>
      <w:sz w:val="16"/>
      <w:szCs w:val="16"/>
    </w:rPr>
  </w:style>
  <w:style w:type="character" w:customStyle="1" w:styleId="BalloonTextChar">
    <w:name w:val="Balloon Text Char"/>
    <w:basedOn w:val="DefaultParagraphFont"/>
    <w:link w:val="BalloonText"/>
    <w:rsid w:val="001C7C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7C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7C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1910</Words>
  <Characters>12253</Characters>
  <Application>Microsoft Office Word</Application>
  <DocSecurity>0</DocSecurity>
  <Lines>430</Lines>
  <Paragraphs>231</Paragraphs>
  <ScaleCrop>false</ScaleCrop>
  <Company>Author-it Software Corporation Ltd.</Company>
  <LinksUpToDate>false</LinksUpToDate>
  <CharactersWithSpaces>14078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CPCPFS3021A Inspect and test fire pumpsets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2012-05-26T05:47:00Z</dcterms:created>
  <dcterms:modified xsi:type="dcterms:W3CDTF">2012-05-26T05:47:00Z</dcterms:modified>
</cp:coreProperties>
</file>