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54123" w:rsidP="00E54123">
      <w:pPr>
        <w:pStyle w:val="Title"/>
      </w:pPr>
      <w:bookmarkStart w:id="0" w:name="_GoBack"/>
      <w:bookmarkEnd w:id="0"/>
      <w:r>
        <w:fldChar w:fldCharType="begin"/>
      </w:r>
      <w:r>
        <w:instrText xml:space="preserve"> TITLE   \* MERGEFORMAT </w:instrText>
      </w:r>
      <w:r>
        <w:fldChar w:fldCharType="separate"/>
      </w:r>
      <w:r>
        <w:t>CPCPFS3020A Conduct basic functional testing of water-based fire-suppression systems</w:t>
      </w:r>
      <w:r>
        <w:fldChar w:fldCharType="end"/>
      </w:r>
    </w:p>
    <w:p w:rsidR="00E54123" w:rsidP="00E54123">
      <w:pPr>
        <w:pStyle w:val="Version"/>
        <w:sectPr w:rsidSect="00F44B2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44B26" w:rsidP="00F44B26">
      <w:pPr>
        <w:pStyle w:val="SuperHeading"/>
      </w:pPr>
      <w:r w:rsidRPr="00F44B26">
        <w:t>CPCPFS3020A Conduct basic functional testing of water-based fire-suppression systems</w:t>
      </w:r>
    </w:p>
    <w:p w:rsidR="00000000" w:rsidRPr="00F44B26" w:rsidP="00F44B26">
      <w:pPr>
        <w:pStyle w:val="Heading1"/>
      </w:pPr>
      <w:bookmarkStart w:id="1" w:name="O_269840"/>
      <w:bookmarkEnd w:id="1"/>
      <w:r w:rsidRPr="00F44B26">
        <w:t>Modification History</w:t>
      </w:r>
    </w:p>
    <w:p w:rsidR="00000000" w:rsidRPr="00F44B26" w:rsidP="00F44B26">
      <w:pPr>
        <w:pStyle w:val="BodyText"/>
      </w:pPr>
      <w:r w:rsidRPr="00F44B26">
        <w:t>Not Applicable</w:t>
      </w:r>
    </w:p>
    <w:p w:rsidR="00000000" w:rsidRPr="00F44B26" w:rsidP="00F44B26">
      <w:pPr>
        <w:pStyle w:val="AllowPageBreak"/>
      </w:pPr>
    </w:p>
    <w:p w:rsidR="00000000" w:rsidRPr="00F44B26" w:rsidP="00F44B26">
      <w:pPr>
        <w:pStyle w:val="Heading1"/>
      </w:pPr>
      <w:bookmarkStart w:id="2" w:name="O_199655"/>
      <w:bookmarkEnd w:id="2"/>
      <w:r w:rsidRPr="00F44B26">
        <w:t>Unit Descrip</w:t>
      </w:r>
      <w:r w:rsidRPr="00F44B26">
        <w:t>tor</w:t>
      </w:r>
    </w:p>
    <w:tbl>
      <w:tblPr>
        <w:tblW w:w="0" w:type="auto"/>
        <w:tblLayout w:type="fixed"/>
        <w:tblCellMar>
          <w:left w:w="62" w:type="dxa"/>
          <w:right w:w="62" w:type="dxa"/>
        </w:tblCellMar>
        <w:tblLook w:val="0000"/>
      </w:tblPr>
      <w:tblGrid>
        <w:gridCol w:w="2670"/>
        <w:gridCol w:w="5852"/>
      </w:tblGrid>
      <w:tr w:rsidTr="00E54123">
        <w:tblPrEx>
          <w:tblW w:w="0" w:type="auto"/>
          <w:tblLayout w:type="fixed"/>
          <w:tblCellMar>
            <w:left w:w="62" w:type="dxa"/>
            <w:right w:w="62" w:type="dxa"/>
          </w:tblCellMar>
          <w:tblLook w:val="0000"/>
        </w:tblPrEx>
        <w:tc>
          <w:tcPr>
            <w:tcW w:w="2670" w:type="dxa"/>
            <w:tcBorders>
              <w:top w:val="nil"/>
              <w:left w:val="nil"/>
              <w:bottom w:val="nil"/>
              <w:right w:val="nil"/>
            </w:tcBorders>
            <w:tcMar>
              <w:top w:w="0" w:type="dxa"/>
              <w:left w:w="62" w:type="dxa"/>
              <w:bottom w:w="0" w:type="dxa"/>
              <w:right w:w="62" w:type="dxa"/>
            </w:tcMar>
          </w:tcPr>
          <w:p w:rsidR="00000000" w:rsidP="00F44B26">
            <w:pPr>
              <w:pStyle w:val="BodyText"/>
              <w:rPr>
                <w:lang w:val="en-NZ"/>
              </w:rPr>
            </w:pPr>
            <w:r w:rsidRPr="00F44B26">
              <w:rPr>
                <w:rStyle w:val="SpecialBold"/>
              </w:rPr>
              <w:t>Unit descriptor</w:t>
            </w:r>
          </w:p>
        </w:tc>
        <w:tc>
          <w:tcPr>
            <w:tcW w:w="5852" w:type="dxa"/>
            <w:tcBorders>
              <w:top w:val="nil"/>
              <w:left w:val="nil"/>
              <w:bottom w:val="nil"/>
              <w:right w:val="nil"/>
            </w:tcBorders>
            <w:tcMar>
              <w:top w:w="0" w:type="dxa"/>
              <w:left w:w="62" w:type="dxa"/>
              <w:bottom w:w="0" w:type="dxa"/>
              <w:right w:w="62" w:type="dxa"/>
            </w:tcMar>
          </w:tcPr>
          <w:p w:rsidR="00000000" w:rsidRPr="00F44B26" w:rsidP="00F44B26">
            <w:pPr>
              <w:pStyle w:val="BodyText"/>
            </w:pPr>
            <w:r w:rsidRPr="00F44B26">
              <w:t>This unit of competency specifies the outcomes required to complete weekly, monthly, and six-monthly inspection and testing procedures to verify that water-based fire-suppression systems function as intended. The unit involves working s</w:t>
            </w:r>
            <w:r w:rsidRPr="00F44B26">
              <w:t>afely, isolating plant and interfaces, conducting compliance tests, visually inspecting, identifying non-compliance defects, fulfilling mandatory reporting requirements, and resetting water-based fire-suppression systems.</w:t>
            </w:r>
          </w:p>
          <w:p w:rsidR="00000000" w:rsidRPr="00F44B26" w:rsidP="00F44B26">
            <w:pPr>
              <w:pStyle w:val="BodyText"/>
            </w:pPr>
            <w:r w:rsidRPr="00F44B26">
              <w:t xml:space="preserve">The fire protection technician is </w:t>
            </w:r>
            <w:r w:rsidRPr="00F44B26">
              <w:t xml:space="preserve">not permitted to undertake any installation, replacement, maintenance and repair functions that are restricted to licensed trades or occupations (subject to relevant state or territory regulations). </w:t>
            </w:r>
          </w:p>
          <w:p w:rsidR="00000000" w:rsidRPr="00F44B26" w:rsidP="00F44B26">
            <w:pPr>
              <w:pStyle w:val="BodyText"/>
            </w:pPr>
            <w:r w:rsidRPr="00F44B26">
              <w:t>Different states and territories may have regulatory mec</w:t>
            </w:r>
            <w:r w:rsidRPr="00F44B26">
              <w:t>hanisms that apply to this unit. Candidates are advised to check for regulatory limitations.</w:t>
            </w:r>
          </w:p>
        </w:tc>
      </w:tr>
    </w:tbl>
    <w:p w:rsidR="00E54123" w:rsidP="00F44B26">
      <w:pPr>
        <w:pStyle w:val="BodyText"/>
      </w:pPr>
    </w:p>
    <w:p w:rsidR="00E54123" w:rsidP="00F44B26">
      <w:pPr>
        <w:pStyle w:val="BodyText"/>
      </w:pPr>
    </w:p>
    <w:p w:rsidR="00000000" w:rsidRPr="00F44B26" w:rsidP="00F44B26">
      <w:pPr>
        <w:pStyle w:val="Heading1"/>
      </w:pPr>
      <w:bookmarkStart w:id="3" w:name="O_199659"/>
      <w:bookmarkEnd w:id="3"/>
      <w:r w:rsidRPr="00F44B26">
        <w:t>Application of the Unit</w:t>
      </w:r>
    </w:p>
    <w:tbl>
      <w:tblPr>
        <w:tblW w:w="0" w:type="auto"/>
        <w:tblLayout w:type="fixed"/>
        <w:tblCellMar>
          <w:left w:w="62" w:type="dxa"/>
          <w:right w:w="62" w:type="dxa"/>
        </w:tblCellMar>
        <w:tblLook w:val="0000"/>
      </w:tblPr>
      <w:tblGrid>
        <w:gridCol w:w="2736"/>
        <w:gridCol w:w="5786"/>
      </w:tblGrid>
      <w:tr w:rsidTr="00E54123">
        <w:tblPrEx>
          <w:tblW w:w="0" w:type="auto"/>
          <w:tblLayout w:type="fixed"/>
          <w:tblCellMar>
            <w:left w:w="62" w:type="dxa"/>
            <w:right w:w="62" w:type="dxa"/>
          </w:tblCellMar>
          <w:tblLook w:val="0000"/>
        </w:tblPrEx>
        <w:tc>
          <w:tcPr>
            <w:tcW w:w="2736" w:type="dxa"/>
            <w:tcBorders>
              <w:top w:val="nil"/>
              <w:left w:val="nil"/>
              <w:bottom w:val="nil"/>
              <w:right w:val="nil"/>
            </w:tcBorders>
            <w:tcMar>
              <w:top w:w="0" w:type="dxa"/>
              <w:left w:w="62" w:type="dxa"/>
              <w:bottom w:w="0" w:type="dxa"/>
              <w:right w:w="62" w:type="dxa"/>
            </w:tcMar>
          </w:tcPr>
          <w:p w:rsidR="00000000" w:rsidP="00F44B26">
            <w:pPr>
              <w:pStyle w:val="BodyText"/>
              <w:rPr>
                <w:lang w:val="en-NZ"/>
              </w:rPr>
            </w:pPr>
            <w:r w:rsidRPr="00F44B26">
              <w:rPr>
                <w:rStyle w:val="SpecialBold"/>
              </w:rPr>
              <w:t>Application of the unit</w:t>
            </w:r>
          </w:p>
        </w:tc>
        <w:tc>
          <w:tcPr>
            <w:tcW w:w="5786" w:type="dxa"/>
            <w:tcBorders>
              <w:top w:val="nil"/>
              <w:left w:val="nil"/>
              <w:bottom w:val="nil"/>
              <w:right w:val="nil"/>
            </w:tcBorders>
            <w:tcMar>
              <w:top w:w="0" w:type="dxa"/>
              <w:left w:w="62" w:type="dxa"/>
              <w:bottom w:w="0" w:type="dxa"/>
              <w:right w:w="62" w:type="dxa"/>
            </w:tcMar>
          </w:tcPr>
          <w:p w:rsidR="00000000" w:rsidRPr="00F44B26" w:rsidP="00F44B26">
            <w:pPr>
              <w:pStyle w:val="BodyText"/>
            </w:pPr>
            <w:r w:rsidRPr="00F44B26">
              <w:t xml:space="preserve">This unit of competency supports fire protection technicians responsible for functional testing of water-based fire suppression systems. </w:t>
            </w:r>
          </w:p>
          <w:p w:rsidR="00000000" w:rsidRPr="00F44B26" w:rsidP="00F44B26">
            <w:pPr>
              <w:pStyle w:val="BodyText"/>
            </w:pPr>
            <w:r w:rsidRPr="00F44B26">
              <w:t>It does not apply to load or flow testing of water-based fire-suppression systems or pressure reducing or limiting val</w:t>
            </w:r>
            <w:r w:rsidRPr="00F44B26">
              <w:t>ves.</w:t>
            </w:r>
          </w:p>
          <w:p w:rsidR="00000000" w:rsidRPr="00F44B26" w:rsidP="00F44B26">
            <w:pPr>
              <w:pStyle w:val="BodyText"/>
            </w:pPr>
            <w:r w:rsidRPr="00F44B26">
              <w:t>Individuals operate within the scope of their defined roles and responsibilities and perform the functional tests as part of their work duties and according to work procedures and relevant Australian standards, to verify that equipment functions as in</w:t>
            </w:r>
            <w:r w:rsidRPr="00F44B26">
              <w:t>tended.</w:t>
            </w:r>
          </w:p>
          <w:p w:rsidR="00000000" w:rsidRPr="00F44B26" w:rsidP="00F44B26">
            <w:pPr>
              <w:pStyle w:val="BodyText"/>
            </w:pPr>
            <w:r w:rsidRPr="00F44B26">
              <w:t>The unit must be applied strictly according to relevant state or territory legislative and industry requirements.</w:t>
            </w:r>
          </w:p>
        </w:tc>
      </w:tr>
    </w:tbl>
    <w:p w:rsidR="00E54123" w:rsidP="00F44B26">
      <w:pPr>
        <w:pStyle w:val="BodyText"/>
      </w:pPr>
    </w:p>
    <w:p w:rsidR="00E54123" w:rsidP="00F44B26">
      <w:pPr>
        <w:pStyle w:val="BodyText"/>
      </w:pPr>
    </w:p>
    <w:p w:rsidR="00000000" w:rsidRPr="00F44B26" w:rsidP="00F44B26">
      <w:pPr>
        <w:pStyle w:val="Heading1"/>
      </w:pPr>
      <w:bookmarkStart w:id="4" w:name="O_278100"/>
      <w:bookmarkEnd w:id="4"/>
      <w:r w:rsidRPr="00F44B26">
        <w:t>Licensing/Regulatory Information</w:t>
      </w:r>
    </w:p>
    <w:p w:rsidR="00000000" w:rsidRPr="00F44B26" w:rsidP="00F44B26">
      <w:pPr>
        <w:pStyle w:val="BodyText"/>
      </w:pPr>
      <w:r w:rsidRPr="00F44B26">
        <w:t>Not Applicable</w:t>
      </w:r>
    </w:p>
    <w:p w:rsidR="00000000" w:rsidRPr="00F44B26" w:rsidP="00F44B26">
      <w:pPr>
        <w:pStyle w:val="AllowPageBreak"/>
      </w:pPr>
    </w:p>
    <w:p w:rsidR="00000000" w:rsidRPr="00F44B26" w:rsidP="00F44B26">
      <w:pPr>
        <w:pStyle w:val="Heading1"/>
      </w:pPr>
      <w:bookmarkStart w:id="5" w:name="O_199657"/>
      <w:bookmarkEnd w:id="5"/>
      <w:r w:rsidRPr="00F44B26">
        <w:t>Pre-Requisites</w:t>
      </w:r>
    </w:p>
    <w:tbl>
      <w:tblPr>
        <w:tblW w:w="0" w:type="auto"/>
        <w:tblLayout w:type="fixed"/>
        <w:tblCellMar>
          <w:left w:w="62" w:type="dxa"/>
          <w:right w:w="62" w:type="dxa"/>
        </w:tblCellMar>
        <w:tblLook w:val="0000"/>
      </w:tblPr>
      <w:tblGrid>
        <w:gridCol w:w="2636"/>
        <w:gridCol w:w="2417"/>
        <w:gridCol w:w="3469"/>
      </w:tblGrid>
      <w:tr w:rsidTr="00E54123">
        <w:tblPrEx>
          <w:tblW w:w="0" w:type="auto"/>
          <w:tblLayout w:type="fixed"/>
          <w:tblCellMar>
            <w:left w:w="62" w:type="dxa"/>
            <w:right w:w="62" w:type="dxa"/>
          </w:tblCellMar>
          <w:tblLook w:val="0000"/>
        </w:tblPrEx>
        <w:trPr>
          <w:tblHeader/>
        </w:trPr>
        <w:tc>
          <w:tcPr>
            <w:tcW w:w="2636" w:type="dxa"/>
            <w:vMerge w:val="restart"/>
            <w:tcBorders>
              <w:top w:val="nil"/>
              <w:left w:val="nil"/>
              <w:bottom w:val="nil"/>
              <w:right w:val="nil"/>
            </w:tcBorders>
            <w:tcMar>
              <w:top w:w="0" w:type="dxa"/>
              <w:left w:w="62" w:type="dxa"/>
              <w:bottom w:w="0" w:type="dxa"/>
              <w:right w:w="62" w:type="dxa"/>
            </w:tcMar>
          </w:tcPr>
          <w:p w:rsidR="00000000" w:rsidP="00F44B26">
            <w:pPr>
              <w:pStyle w:val="BodyText"/>
              <w:rPr>
                <w:lang w:val="en-NZ"/>
              </w:rPr>
            </w:pPr>
            <w:r w:rsidRPr="00F44B26">
              <w:rPr>
                <w:rStyle w:val="SpecialBold"/>
              </w:rPr>
              <w:t>Prerequisite units</w:t>
            </w:r>
          </w:p>
        </w:tc>
        <w:tc>
          <w:tcPr>
            <w:tcW w:w="5886" w:type="dxa"/>
            <w:gridSpan w:val="2"/>
            <w:tcBorders>
              <w:top w:val="nil"/>
              <w:left w:val="nil"/>
              <w:bottom w:val="nil"/>
              <w:right w:val="nil"/>
            </w:tcBorders>
            <w:tcMar>
              <w:top w:w="0" w:type="dxa"/>
              <w:left w:w="62" w:type="dxa"/>
              <w:bottom w:w="0" w:type="dxa"/>
              <w:right w:w="62" w:type="dxa"/>
            </w:tcMar>
          </w:tcPr>
          <w:p w:rsidR="00000000" w:rsidP="00F44B26">
            <w:pPr>
              <w:pStyle w:val="BodyText"/>
              <w:rPr>
                <w:lang w:val="en-NZ"/>
              </w:rPr>
            </w:pPr>
          </w:p>
        </w:tc>
      </w:tr>
      <w:tr w:rsidTr="00E54123">
        <w:tblPrEx>
          <w:tblW w:w="0" w:type="auto"/>
          <w:tblLayout w:type="fixed"/>
          <w:tblCellMar>
            <w:left w:w="62" w:type="dxa"/>
            <w:right w:w="62" w:type="dxa"/>
          </w:tblCellMar>
          <w:tblLook w:val="0000"/>
        </w:tblPrEx>
        <w:tc>
          <w:tcPr>
            <w:tcW w:w="263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7" w:type="dxa"/>
            <w:tcBorders>
              <w:top w:val="nil"/>
              <w:left w:val="nil"/>
              <w:bottom w:val="nil"/>
              <w:right w:val="nil"/>
            </w:tcBorders>
            <w:tcMar>
              <w:top w:w="0" w:type="dxa"/>
              <w:left w:w="62" w:type="dxa"/>
              <w:bottom w:w="0" w:type="dxa"/>
              <w:right w:w="62" w:type="dxa"/>
            </w:tcMar>
          </w:tcPr>
          <w:p w:rsidR="00000000" w:rsidP="00F44B26">
            <w:pPr>
              <w:pStyle w:val="BodyText"/>
              <w:rPr>
                <w:lang w:val="en-NZ"/>
              </w:rPr>
            </w:pPr>
            <w:r w:rsidRPr="00F44B26">
              <w:t>CPCPCM2023A</w:t>
            </w:r>
          </w:p>
        </w:tc>
        <w:tc>
          <w:tcPr>
            <w:tcW w:w="3469" w:type="dxa"/>
            <w:tcBorders>
              <w:top w:val="nil"/>
              <w:left w:val="nil"/>
              <w:bottom w:val="nil"/>
              <w:right w:val="nil"/>
            </w:tcBorders>
            <w:tcMar>
              <w:top w:w="0" w:type="dxa"/>
              <w:left w:w="62" w:type="dxa"/>
              <w:bottom w:w="0" w:type="dxa"/>
              <w:right w:w="62" w:type="dxa"/>
            </w:tcMar>
          </w:tcPr>
          <w:p w:rsidR="00000000" w:rsidRPr="00F44B26" w:rsidP="00F44B26">
            <w:pPr>
              <w:pStyle w:val="BodyText"/>
            </w:pPr>
            <w:r w:rsidRPr="00F44B26">
              <w:t>Carry out OHS requirements</w:t>
            </w:r>
          </w:p>
          <w:p w:rsidR="00000000" w:rsidP="00F44B26">
            <w:pPr>
              <w:pStyle w:val="BodyText"/>
              <w:rPr>
                <w:lang w:val="en-NZ"/>
              </w:rPr>
            </w:pPr>
            <w:r w:rsidRPr="00F44B26">
              <w:rPr>
                <w:rStyle w:val="SpecialBold"/>
              </w:rPr>
              <w:t>OR BOTH</w:t>
            </w:r>
            <w:r w:rsidRPr="00F44B26">
              <w:t>:</w:t>
            </w:r>
          </w:p>
        </w:tc>
      </w:tr>
      <w:tr w:rsidTr="00E54123">
        <w:tblPrEx>
          <w:tblW w:w="0" w:type="auto"/>
          <w:tblLayout w:type="fixed"/>
          <w:tblCellMar>
            <w:left w:w="62" w:type="dxa"/>
            <w:right w:w="62" w:type="dxa"/>
          </w:tblCellMar>
          <w:tblLook w:val="0000"/>
        </w:tblPrEx>
        <w:tc>
          <w:tcPr>
            <w:tcW w:w="263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7" w:type="dxa"/>
            <w:tcBorders>
              <w:top w:val="nil"/>
              <w:left w:val="nil"/>
              <w:bottom w:val="nil"/>
              <w:right w:val="nil"/>
            </w:tcBorders>
            <w:tcMar>
              <w:top w:w="0" w:type="dxa"/>
              <w:left w:w="62" w:type="dxa"/>
              <w:bottom w:w="0" w:type="dxa"/>
              <w:right w:w="62" w:type="dxa"/>
            </w:tcMar>
          </w:tcPr>
          <w:p w:rsidR="00000000" w:rsidP="00F44B26">
            <w:pPr>
              <w:pStyle w:val="BodyText"/>
              <w:rPr>
                <w:lang w:val="en-NZ"/>
              </w:rPr>
            </w:pPr>
            <w:r w:rsidRPr="00F44B26">
              <w:t>CPPCMN2002A</w:t>
            </w:r>
          </w:p>
        </w:tc>
        <w:tc>
          <w:tcPr>
            <w:tcW w:w="3469" w:type="dxa"/>
            <w:tcBorders>
              <w:top w:val="nil"/>
              <w:left w:val="nil"/>
              <w:bottom w:val="nil"/>
              <w:right w:val="nil"/>
            </w:tcBorders>
            <w:tcMar>
              <w:top w:w="0" w:type="dxa"/>
              <w:left w:w="62" w:type="dxa"/>
              <w:bottom w:w="0" w:type="dxa"/>
              <w:right w:w="62" w:type="dxa"/>
            </w:tcMar>
          </w:tcPr>
          <w:p w:rsidR="00000000" w:rsidP="00F44B26">
            <w:pPr>
              <w:pStyle w:val="BodyText"/>
              <w:rPr>
                <w:lang w:val="en-NZ"/>
              </w:rPr>
            </w:pPr>
            <w:r w:rsidRPr="00F44B26">
              <w:t>Participate in workplace safety arrangements</w:t>
            </w:r>
          </w:p>
        </w:tc>
      </w:tr>
      <w:tr w:rsidTr="00E54123">
        <w:tblPrEx>
          <w:tblW w:w="0" w:type="auto"/>
          <w:tblLayout w:type="fixed"/>
          <w:tblCellMar>
            <w:left w:w="62" w:type="dxa"/>
            <w:right w:w="62" w:type="dxa"/>
          </w:tblCellMar>
          <w:tblLook w:val="0000"/>
        </w:tblPrEx>
        <w:tc>
          <w:tcPr>
            <w:tcW w:w="263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7" w:type="dxa"/>
            <w:tcBorders>
              <w:top w:val="nil"/>
              <w:left w:val="nil"/>
              <w:bottom w:val="nil"/>
              <w:right w:val="nil"/>
            </w:tcBorders>
            <w:tcMar>
              <w:top w:w="0" w:type="dxa"/>
              <w:left w:w="62" w:type="dxa"/>
              <w:bottom w:w="0" w:type="dxa"/>
              <w:right w:w="62" w:type="dxa"/>
            </w:tcMar>
          </w:tcPr>
          <w:p w:rsidR="00000000" w:rsidRPr="00F44B26">
            <w:pPr>
              <w:pStyle w:val="BodyText"/>
              <w:keepNext w:val="0"/>
              <w:keepLines w:val="0"/>
              <w:contextualSpacing w:val="0"/>
            </w:pPr>
          </w:p>
        </w:tc>
        <w:tc>
          <w:tcPr>
            <w:tcW w:w="3469" w:type="dxa"/>
            <w:tcBorders>
              <w:top w:val="nil"/>
              <w:left w:val="nil"/>
              <w:bottom w:val="nil"/>
              <w:right w:val="nil"/>
            </w:tcBorders>
            <w:tcMar>
              <w:top w:w="0" w:type="dxa"/>
              <w:left w:w="62" w:type="dxa"/>
              <w:bottom w:w="0" w:type="dxa"/>
              <w:right w:w="62" w:type="dxa"/>
            </w:tcMar>
          </w:tcPr>
          <w:p w:rsidR="00000000" w:rsidP="00F44B26">
            <w:pPr>
              <w:pStyle w:val="BodyText"/>
              <w:rPr>
                <w:lang w:val="en-NZ"/>
              </w:rPr>
            </w:pPr>
            <w:r w:rsidRPr="00F44B26">
              <w:rPr>
                <w:rStyle w:val="SpecialBold"/>
              </w:rPr>
              <w:t>AND</w:t>
            </w:r>
          </w:p>
        </w:tc>
      </w:tr>
      <w:tr w:rsidTr="00E54123">
        <w:tblPrEx>
          <w:tblW w:w="0" w:type="auto"/>
          <w:tblLayout w:type="fixed"/>
          <w:tblCellMar>
            <w:left w:w="62" w:type="dxa"/>
            <w:right w:w="62" w:type="dxa"/>
          </w:tblCellMar>
          <w:tblLook w:val="0000"/>
        </w:tblPrEx>
        <w:tc>
          <w:tcPr>
            <w:tcW w:w="263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7" w:type="dxa"/>
            <w:tcBorders>
              <w:top w:val="nil"/>
              <w:left w:val="nil"/>
              <w:bottom w:val="nil"/>
              <w:right w:val="nil"/>
            </w:tcBorders>
            <w:tcMar>
              <w:top w:w="0" w:type="dxa"/>
              <w:left w:w="62" w:type="dxa"/>
              <w:bottom w:w="0" w:type="dxa"/>
              <w:right w:w="62" w:type="dxa"/>
            </w:tcMar>
          </w:tcPr>
          <w:p w:rsidR="00000000" w:rsidP="00F44B26">
            <w:pPr>
              <w:pStyle w:val="BodyText"/>
              <w:rPr>
                <w:lang w:val="en-NZ"/>
              </w:rPr>
            </w:pPr>
            <w:r w:rsidRPr="00F44B26">
              <w:t>CPPFES2006A</w:t>
            </w:r>
          </w:p>
        </w:tc>
        <w:tc>
          <w:tcPr>
            <w:tcW w:w="3469" w:type="dxa"/>
            <w:tcBorders>
              <w:top w:val="nil"/>
              <w:left w:val="nil"/>
              <w:bottom w:val="nil"/>
              <w:right w:val="nil"/>
            </w:tcBorders>
            <w:tcMar>
              <w:top w:w="0" w:type="dxa"/>
              <w:left w:w="62" w:type="dxa"/>
              <w:bottom w:w="0" w:type="dxa"/>
              <w:right w:w="62" w:type="dxa"/>
            </w:tcMar>
          </w:tcPr>
          <w:p w:rsidR="00000000" w:rsidRPr="00F44B26" w:rsidP="00F44B26">
            <w:pPr>
              <w:pStyle w:val="BodyText"/>
            </w:pPr>
            <w:r w:rsidRPr="00F44B26">
              <w:t>Prepare for installation and servicing operations</w:t>
            </w:r>
          </w:p>
        </w:tc>
      </w:tr>
    </w:tbl>
    <w:p w:rsidR="00E54123" w:rsidP="00F44B26">
      <w:pPr>
        <w:pStyle w:val="BodyText"/>
      </w:pPr>
    </w:p>
    <w:p w:rsidR="00E54123" w:rsidP="00F44B26">
      <w:pPr>
        <w:pStyle w:val="BodyText"/>
      </w:pPr>
    </w:p>
    <w:p w:rsidR="00000000" w:rsidRPr="00F44B26" w:rsidP="00F44B26">
      <w:pPr>
        <w:pStyle w:val="Heading1"/>
      </w:pPr>
      <w:bookmarkStart w:id="6" w:name="O_199656"/>
      <w:bookmarkEnd w:id="6"/>
      <w:r w:rsidRPr="00F44B26">
        <w:t>Employability Skills Information</w:t>
      </w:r>
    </w:p>
    <w:tbl>
      <w:tblPr>
        <w:tblW w:w="0" w:type="auto"/>
        <w:tblLayout w:type="fixed"/>
        <w:tblCellMar>
          <w:left w:w="62" w:type="dxa"/>
          <w:right w:w="62" w:type="dxa"/>
        </w:tblCellMar>
        <w:tblLook w:val="0000"/>
      </w:tblPr>
      <w:tblGrid>
        <w:gridCol w:w="2776"/>
        <w:gridCol w:w="5746"/>
      </w:tblGrid>
      <w:tr w:rsidTr="00E54123">
        <w:tblPrEx>
          <w:tblW w:w="0" w:type="auto"/>
          <w:tblLayout w:type="fixed"/>
          <w:tblCellMar>
            <w:left w:w="62" w:type="dxa"/>
            <w:right w:w="62" w:type="dxa"/>
          </w:tblCellMar>
          <w:tblLook w:val="0000"/>
        </w:tblPrEx>
        <w:trPr>
          <w:tblHeader/>
        </w:trPr>
        <w:tc>
          <w:tcPr>
            <w:tcW w:w="2776" w:type="dxa"/>
            <w:tcBorders>
              <w:top w:val="nil"/>
              <w:left w:val="nil"/>
              <w:bottom w:val="nil"/>
              <w:right w:val="nil"/>
            </w:tcBorders>
            <w:tcMar>
              <w:top w:w="0" w:type="dxa"/>
              <w:left w:w="62" w:type="dxa"/>
              <w:bottom w:w="0" w:type="dxa"/>
              <w:right w:w="62" w:type="dxa"/>
            </w:tcMar>
          </w:tcPr>
          <w:p w:rsidR="00000000" w:rsidP="00F44B26">
            <w:pPr>
              <w:pStyle w:val="BodyText"/>
              <w:rPr>
                <w:lang w:val="en-NZ"/>
              </w:rPr>
            </w:pPr>
            <w:r w:rsidRPr="00F44B26">
              <w:rPr>
                <w:rStyle w:val="SpecialBold"/>
              </w:rPr>
              <w:t>Employability skills</w:t>
            </w:r>
          </w:p>
        </w:tc>
        <w:tc>
          <w:tcPr>
            <w:tcW w:w="5746" w:type="dxa"/>
            <w:tcBorders>
              <w:top w:val="nil"/>
              <w:left w:val="nil"/>
              <w:bottom w:val="nil"/>
              <w:right w:val="nil"/>
            </w:tcBorders>
            <w:tcMar>
              <w:top w:w="0" w:type="dxa"/>
              <w:left w:w="62" w:type="dxa"/>
              <w:bottom w:w="0" w:type="dxa"/>
              <w:right w:w="62" w:type="dxa"/>
            </w:tcMar>
          </w:tcPr>
          <w:p w:rsidR="00000000" w:rsidRPr="00F44B26" w:rsidP="00F44B26">
            <w:pPr>
              <w:pStyle w:val="BodyText"/>
            </w:pPr>
            <w:r w:rsidRPr="00F44B26">
              <w:t>This unit contains employability skills.</w:t>
            </w:r>
          </w:p>
        </w:tc>
      </w:tr>
    </w:tbl>
    <w:p w:rsidR="00E54123" w:rsidP="00F44B26">
      <w:pPr>
        <w:pStyle w:val="BodyText"/>
      </w:pPr>
    </w:p>
    <w:p w:rsidR="00E54123" w:rsidP="00F44B26">
      <w:pPr>
        <w:pStyle w:val="BodyText"/>
      </w:pPr>
    </w:p>
    <w:p w:rsidR="00000000" w:rsidRPr="00F44B26" w:rsidP="00F44B26">
      <w:pPr>
        <w:pStyle w:val="Heading1"/>
      </w:pPr>
      <w:bookmarkStart w:id="7" w:name="O_287886"/>
      <w:bookmarkEnd w:id="7"/>
      <w:r w:rsidRPr="00F44B26">
        <w:t>Elements and Performance Criteria Pre-Content</w:t>
      </w:r>
    </w:p>
    <w:tbl>
      <w:tblPr>
        <w:tblW w:w="0" w:type="auto"/>
        <w:tblLayout w:type="fixed"/>
        <w:tblCellMar>
          <w:left w:w="62" w:type="dxa"/>
          <w:right w:w="62" w:type="dxa"/>
        </w:tblCellMar>
        <w:tblLook w:val="0000"/>
      </w:tblPr>
      <w:tblGrid>
        <w:gridCol w:w="2618"/>
        <w:gridCol w:w="5904"/>
      </w:tblGrid>
      <w:tr w:rsidTr="00E54123">
        <w:tblPrEx>
          <w:tblW w:w="0" w:type="auto"/>
          <w:tblLayout w:type="fixed"/>
          <w:tblCellMar>
            <w:left w:w="62" w:type="dxa"/>
            <w:right w:w="62" w:type="dxa"/>
          </w:tblCellMar>
          <w:tblLook w:val="0000"/>
        </w:tblPrEx>
        <w:tc>
          <w:tcPr>
            <w:tcW w:w="2618" w:type="dxa"/>
            <w:tcBorders>
              <w:top w:val="nil"/>
              <w:left w:val="nil"/>
              <w:bottom w:val="nil"/>
              <w:right w:val="nil"/>
            </w:tcBorders>
            <w:tcMar>
              <w:top w:w="0" w:type="dxa"/>
              <w:left w:w="62" w:type="dxa"/>
              <w:bottom w:w="0" w:type="dxa"/>
              <w:right w:w="62" w:type="dxa"/>
            </w:tcMar>
          </w:tcPr>
          <w:p w:rsidR="00000000" w:rsidP="00F44B26">
            <w:pPr>
              <w:pStyle w:val="BodyText"/>
              <w:rPr>
                <w:lang w:val="en-NZ"/>
              </w:rPr>
            </w:pPr>
            <w:r w:rsidRPr="00F44B26">
              <w:t>Elements describe the essential outcomes of a unit of competency.</w:t>
            </w:r>
          </w:p>
        </w:tc>
        <w:tc>
          <w:tcPr>
            <w:tcW w:w="5904" w:type="dxa"/>
            <w:tcBorders>
              <w:top w:val="nil"/>
              <w:left w:val="nil"/>
              <w:bottom w:val="nil"/>
              <w:right w:val="nil"/>
            </w:tcBorders>
            <w:tcMar>
              <w:top w:w="0" w:type="dxa"/>
              <w:left w:w="62" w:type="dxa"/>
              <w:bottom w:w="0" w:type="dxa"/>
              <w:right w:w="62" w:type="dxa"/>
            </w:tcMar>
          </w:tcPr>
          <w:p w:rsidR="00000000" w:rsidRPr="00F44B26" w:rsidP="00F44B26">
            <w:pPr>
              <w:pStyle w:val="BodyText"/>
            </w:pPr>
            <w:r w:rsidRPr="00F44B26">
              <w:t>Performance criteria describe the performance needed to demonstrate achievement of the element. Where bold italicised text is used, further information is detailed in the required skills and knowledge section and the range statement. Assessment of performa</w:t>
            </w:r>
            <w:r w:rsidRPr="00F44B26">
              <w:t>nce is to be consistent with the evidence guide.</w:t>
            </w:r>
          </w:p>
        </w:tc>
      </w:tr>
    </w:tbl>
    <w:p w:rsidR="00000000" w:rsidRPr="00F44B26" w:rsidP="00F44B26">
      <w:pPr>
        <w:pStyle w:val="BodyText"/>
      </w:pPr>
    </w:p>
    <w:p w:rsidR="00000000" w:rsidRPr="00F44B26" w:rsidP="00F44B26">
      <w:pPr>
        <w:pStyle w:val="AllowPageBreak"/>
      </w:pPr>
    </w:p>
    <w:p w:rsidR="00000000" w:rsidRPr="00F44B26" w:rsidP="00F44B26">
      <w:pPr>
        <w:pStyle w:val="Heading1"/>
      </w:pPr>
      <w:bookmarkStart w:id="8" w:name="O_234553"/>
      <w:bookmarkEnd w:id="8"/>
      <w:r w:rsidRPr="00F44B26">
        <w:t>Elements and Performance Criteria</w:t>
      </w:r>
    </w:p>
    <w:tbl>
      <w:tblPr>
        <w:tblW w:w="0" w:type="auto"/>
        <w:tblLayout w:type="fixed"/>
        <w:tblCellMar>
          <w:left w:w="62" w:type="dxa"/>
          <w:right w:w="62" w:type="dxa"/>
        </w:tblCellMar>
        <w:tblLook w:val="0000"/>
      </w:tblPr>
      <w:tblGrid>
        <w:gridCol w:w="2618"/>
        <w:gridCol w:w="5904"/>
      </w:tblGrid>
      <w:tr w:rsidTr="00E54123">
        <w:tblPrEx>
          <w:tblW w:w="0" w:type="auto"/>
          <w:tblLayout w:type="fixed"/>
          <w:tblCellMar>
            <w:left w:w="62" w:type="dxa"/>
            <w:right w:w="62" w:type="dxa"/>
          </w:tblCellMar>
          <w:tblLook w:val="0000"/>
        </w:tblPrEx>
        <w:trPr>
          <w:tblHeader/>
        </w:trPr>
        <w:tc>
          <w:tcPr>
            <w:tcW w:w="2618" w:type="dxa"/>
            <w:tcBorders>
              <w:top w:val="nil"/>
              <w:left w:val="nil"/>
              <w:bottom w:val="nil"/>
              <w:right w:val="nil"/>
            </w:tcBorders>
            <w:tcMar>
              <w:top w:w="0" w:type="dxa"/>
              <w:left w:w="62" w:type="dxa"/>
              <w:bottom w:w="0" w:type="dxa"/>
              <w:right w:w="62" w:type="dxa"/>
            </w:tcMar>
          </w:tcPr>
          <w:p w:rsidR="00000000" w:rsidRPr="00F44B26" w:rsidP="00F44B26">
            <w:pPr>
              <w:pStyle w:val="BodyText"/>
            </w:pPr>
            <w:r w:rsidRPr="00F44B26">
              <w:rPr>
                <w:rStyle w:val="SpecialBold"/>
              </w:rPr>
              <w:t>ELEMENT</w:t>
            </w:r>
          </w:p>
        </w:tc>
        <w:tc>
          <w:tcPr>
            <w:tcW w:w="5904" w:type="dxa"/>
            <w:tcBorders>
              <w:top w:val="nil"/>
              <w:left w:val="nil"/>
              <w:bottom w:val="nil"/>
              <w:right w:val="nil"/>
            </w:tcBorders>
            <w:tcMar>
              <w:top w:w="0" w:type="dxa"/>
              <w:left w:w="62" w:type="dxa"/>
              <w:bottom w:w="0" w:type="dxa"/>
              <w:right w:w="62" w:type="dxa"/>
            </w:tcMar>
          </w:tcPr>
          <w:p w:rsidR="00000000" w:rsidP="00F44B26">
            <w:pPr>
              <w:pStyle w:val="BodyText"/>
              <w:rPr>
                <w:lang w:val="en-NZ"/>
              </w:rPr>
            </w:pPr>
            <w:r w:rsidRPr="00F44B26">
              <w:rPr>
                <w:rStyle w:val="SpecialBold"/>
              </w:rPr>
              <w:t>PERFORMANCE CRITERIA</w:t>
            </w:r>
          </w:p>
        </w:tc>
      </w:tr>
      <w:tr w:rsidTr="00E54123">
        <w:tblPrEx>
          <w:tblW w:w="0" w:type="auto"/>
          <w:tblLayout w:type="fixed"/>
          <w:tblCellMar>
            <w:left w:w="62" w:type="dxa"/>
            <w:right w:w="62" w:type="dxa"/>
          </w:tblCellMar>
          <w:tblLook w:val="0000"/>
        </w:tblPrEx>
        <w:tc>
          <w:tcPr>
            <w:tcW w:w="2618" w:type="dxa"/>
            <w:tcBorders>
              <w:top w:val="nil"/>
              <w:left w:val="nil"/>
              <w:bottom w:val="nil"/>
              <w:right w:val="nil"/>
            </w:tcBorders>
            <w:tcMar>
              <w:top w:w="0" w:type="dxa"/>
              <w:left w:w="62" w:type="dxa"/>
              <w:bottom w:w="0" w:type="dxa"/>
              <w:right w:w="62" w:type="dxa"/>
            </w:tcMar>
          </w:tcPr>
          <w:p w:rsidR="00000000" w:rsidP="00F44B26">
            <w:pPr>
              <w:pStyle w:val="List"/>
              <w:rPr>
                <w:lang w:val="en-NZ"/>
              </w:rPr>
            </w:pPr>
            <w:r w:rsidRPr="00F44B26">
              <w:t>1.</w:t>
            </w:r>
            <w:r w:rsidRPr="00F44B26">
              <w:tab/>
              <w:t>Apply compliance requirements to service operations.</w:t>
            </w:r>
          </w:p>
        </w:tc>
        <w:tc>
          <w:tcPr>
            <w:tcW w:w="5904" w:type="dxa"/>
            <w:tcBorders>
              <w:top w:val="nil"/>
              <w:left w:val="nil"/>
              <w:bottom w:val="nil"/>
              <w:right w:val="nil"/>
            </w:tcBorders>
            <w:tcMar>
              <w:top w:w="0" w:type="dxa"/>
              <w:left w:w="62" w:type="dxa"/>
              <w:bottom w:w="0" w:type="dxa"/>
              <w:right w:w="62" w:type="dxa"/>
            </w:tcMar>
          </w:tcPr>
          <w:p w:rsidR="00000000" w:rsidRPr="00F44B26" w:rsidP="00F44B26">
            <w:pPr>
              <w:pStyle w:val="List2"/>
            </w:pPr>
            <w:r w:rsidRPr="00F44B26">
              <w:t>1.1.</w:t>
            </w:r>
            <w:r w:rsidRPr="00F44B26">
              <w:tab/>
            </w:r>
            <w:r w:rsidRPr="00F44B26">
              <w:rPr>
                <w:rStyle w:val="BoldandItalics"/>
              </w:rPr>
              <w:t>Legislative and industry requirements</w:t>
            </w:r>
            <w:r w:rsidRPr="00F44B26">
              <w:t xml:space="preserve"> are interpreted, </w:t>
            </w:r>
            <w:r w:rsidRPr="00F44B26">
              <w:t xml:space="preserve">confirmed and applied to </w:t>
            </w:r>
            <w:r w:rsidRPr="00F44B26">
              <w:rPr>
                <w:rStyle w:val="BoldandItalics"/>
              </w:rPr>
              <w:t>organisational requirements</w:t>
            </w:r>
            <w:r w:rsidRPr="00F44B26">
              <w:t>.</w:t>
            </w:r>
          </w:p>
          <w:p w:rsidR="00000000" w:rsidP="00F44B26">
            <w:pPr>
              <w:pStyle w:val="List2"/>
              <w:rPr>
                <w:lang w:val="en-NZ"/>
              </w:rPr>
            </w:pPr>
            <w:r w:rsidRPr="00F44B26">
              <w:t>1.2.</w:t>
            </w:r>
            <w:r w:rsidRPr="00F44B26">
              <w:tab/>
              <w:t>Preparations are made for the conduct of functional testing according to organisational requirements.</w:t>
            </w:r>
          </w:p>
        </w:tc>
      </w:tr>
      <w:tr w:rsidTr="00E54123">
        <w:tblPrEx>
          <w:tblW w:w="0" w:type="auto"/>
          <w:tblLayout w:type="fixed"/>
          <w:tblCellMar>
            <w:left w:w="62" w:type="dxa"/>
            <w:right w:w="62" w:type="dxa"/>
          </w:tblCellMar>
          <w:tblLook w:val="0000"/>
        </w:tblPrEx>
        <w:tc>
          <w:tcPr>
            <w:tcW w:w="2618" w:type="dxa"/>
            <w:tcBorders>
              <w:top w:val="nil"/>
              <w:left w:val="nil"/>
              <w:bottom w:val="nil"/>
              <w:right w:val="nil"/>
            </w:tcBorders>
            <w:tcMar>
              <w:top w:w="0" w:type="dxa"/>
              <w:left w:w="62" w:type="dxa"/>
              <w:bottom w:w="0" w:type="dxa"/>
              <w:right w:w="62" w:type="dxa"/>
            </w:tcMar>
          </w:tcPr>
          <w:p w:rsidR="00000000" w:rsidP="00F44B26">
            <w:pPr>
              <w:pStyle w:val="List"/>
              <w:rPr>
                <w:lang w:val="en-NZ"/>
              </w:rPr>
            </w:pPr>
            <w:r w:rsidRPr="00F44B26">
              <w:t>2.</w:t>
            </w:r>
            <w:r w:rsidRPr="00F44B26">
              <w:tab/>
              <w:t>Conduct inspections and record results.</w:t>
            </w:r>
          </w:p>
        </w:tc>
        <w:tc>
          <w:tcPr>
            <w:tcW w:w="5904" w:type="dxa"/>
            <w:tcBorders>
              <w:top w:val="nil"/>
              <w:left w:val="nil"/>
              <w:bottom w:val="nil"/>
              <w:right w:val="nil"/>
            </w:tcBorders>
            <w:tcMar>
              <w:top w:w="0" w:type="dxa"/>
              <w:left w:w="62" w:type="dxa"/>
              <w:bottom w:w="0" w:type="dxa"/>
              <w:right w:w="62" w:type="dxa"/>
            </w:tcMar>
          </w:tcPr>
          <w:p w:rsidR="00000000" w:rsidRPr="00F44B26" w:rsidP="00F44B26">
            <w:pPr>
              <w:pStyle w:val="List2"/>
            </w:pPr>
            <w:r w:rsidRPr="00F44B26">
              <w:t>2.1.</w:t>
            </w:r>
            <w:r w:rsidRPr="00F44B26">
              <w:tab/>
              <w:t>Workplace procedures are followed and risk con</w:t>
            </w:r>
            <w:r w:rsidRPr="00F44B26">
              <w:t xml:space="preserve">trol measures applied when inspecting </w:t>
            </w:r>
            <w:r w:rsidRPr="00F44B26">
              <w:rPr>
                <w:rStyle w:val="BoldandItalics"/>
              </w:rPr>
              <w:t>water</w:t>
            </w:r>
            <w:r w:rsidRPr="00F44B26">
              <w:t>-</w:t>
            </w:r>
            <w:r w:rsidRPr="00F44B26">
              <w:rPr>
                <w:rStyle w:val="BoldandItalics"/>
              </w:rPr>
              <w:t>based fire</w:t>
            </w:r>
            <w:r w:rsidRPr="00F44B26">
              <w:t>-</w:t>
            </w:r>
            <w:r w:rsidRPr="00F44B26">
              <w:rPr>
                <w:rStyle w:val="BoldandItalics"/>
              </w:rPr>
              <w:t>suppression systems</w:t>
            </w:r>
            <w:r w:rsidRPr="00F44B26">
              <w:t>.</w:t>
            </w:r>
          </w:p>
          <w:p w:rsidR="00000000" w:rsidRPr="00F44B26" w:rsidP="00F44B26">
            <w:pPr>
              <w:pStyle w:val="List2"/>
            </w:pPr>
            <w:r w:rsidRPr="00F44B26">
              <w:t>2.2.</w:t>
            </w:r>
            <w:r w:rsidRPr="00F44B26">
              <w:tab/>
            </w:r>
            <w:r w:rsidRPr="00F44B26">
              <w:rPr>
                <w:rStyle w:val="BoldandItalics"/>
              </w:rPr>
              <w:t>Key control valves</w:t>
            </w:r>
            <w:r w:rsidRPr="00F44B26">
              <w:t xml:space="preserve"> are identified and their functions determined with reference to manufacturer instructions to allow routine inspection activities according to legislative an</w:t>
            </w:r>
            <w:r w:rsidRPr="00F44B26">
              <w:t>d industry requirements.</w:t>
            </w:r>
          </w:p>
          <w:p w:rsidR="00000000" w:rsidRPr="00F44B26" w:rsidP="00F44B26">
            <w:pPr>
              <w:pStyle w:val="List2"/>
            </w:pPr>
            <w:r w:rsidRPr="00F44B26">
              <w:t>2.3.</w:t>
            </w:r>
            <w:r w:rsidRPr="00F44B26">
              <w:tab/>
              <w:t xml:space="preserve">Plant and other </w:t>
            </w:r>
            <w:r w:rsidRPr="00F44B26">
              <w:rPr>
                <w:rStyle w:val="BoldandItalics"/>
              </w:rPr>
              <w:t>system interfaces</w:t>
            </w:r>
            <w:r w:rsidRPr="00F44B26">
              <w:t xml:space="preserve"> that must be isolated to allow the inspection activities are identified.</w:t>
            </w:r>
          </w:p>
          <w:p w:rsidR="00000000" w:rsidRPr="00F44B26" w:rsidP="00F44B26">
            <w:pPr>
              <w:pStyle w:val="List2"/>
            </w:pPr>
            <w:r w:rsidRPr="00F44B26">
              <w:t>2.4.</w:t>
            </w:r>
            <w:r w:rsidRPr="00F44B26">
              <w:tab/>
              <w:t>Visual inspections are conducted as described in legislative and industry requirements.</w:t>
            </w:r>
          </w:p>
          <w:p w:rsidR="00000000" w:rsidRPr="00F44B26" w:rsidP="00F44B26">
            <w:pPr>
              <w:pStyle w:val="List2"/>
            </w:pPr>
            <w:r w:rsidRPr="00F44B26">
              <w:t>2.5.</w:t>
            </w:r>
            <w:r w:rsidRPr="00F44B26">
              <w:tab/>
              <w:t>Inspection results ar</w:t>
            </w:r>
            <w:r w:rsidRPr="00F44B26">
              <w:t>e recorded according to legislative and industry requirements.</w:t>
            </w:r>
          </w:p>
          <w:p w:rsidR="00000000" w:rsidP="00F44B26">
            <w:pPr>
              <w:pStyle w:val="List2"/>
              <w:rPr>
                <w:lang w:val="en-NZ"/>
              </w:rPr>
            </w:pPr>
            <w:r w:rsidRPr="00F44B26">
              <w:t>2.6.</w:t>
            </w:r>
            <w:r w:rsidRPr="00F44B26">
              <w:tab/>
            </w:r>
            <w:r w:rsidRPr="00F44B26">
              <w:rPr>
                <w:rStyle w:val="BoldandItalics"/>
              </w:rPr>
              <w:t>Sustainability principles and concepts</w:t>
            </w:r>
            <w:r w:rsidRPr="00F44B26">
              <w:t xml:space="preserve"> are applied to work preparation and application.</w:t>
            </w:r>
          </w:p>
        </w:tc>
      </w:tr>
      <w:tr w:rsidTr="00E54123">
        <w:tblPrEx>
          <w:tblW w:w="0" w:type="auto"/>
          <w:tblLayout w:type="fixed"/>
          <w:tblCellMar>
            <w:left w:w="62" w:type="dxa"/>
            <w:right w:w="62" w:type="dxa"/>
          </w:tblCellMar>
          <w:tblLook w:val="0000"/>
        </w:tblPrEx>
        <w:tc>
          <w:tcPr>
            <w:tcW w:w="2618" w:type="dxa"/>
            <w:tcBorders>
              <w:top w:val="nil"/>
              <w:left w:val="nil"/>
              <w:bottom w:val="nil"/>
              <w:right w:val="nil"/>
            </w:tcBorders>
            <w:tcMar>
              <w:top w:w="0" w:type="dxa"/>
              <w:left w:w="62" w:type="dxa"/>
              <w:bottom w:w="0" w:type="dxa"/>
              <w:right w:w="62" w:type="dxa"/>
            </w:tcMar>
          </w:tcPr>
          <w:p w:rsidR="00000000" w:rsidP="00F44B26">
            <w:pPr>
              <w:pStyle w:val="List"/>
              <w:rPr>
                <w:lang w:val="en-NZ"/>
              </w:rPr>
            </w:pPr>
            <w:r w:rsidRPr="00F44B26">
              <w:t>3.</w:t>
            </w:r>
            <w:r w:rsidRPr="00F44B26">
              <w:tab/>
              <w:t>Conduct testing and record results.</w:t>
            </w:r>
          </w:p>
        </w:tc>
        <w:tc>
          <w:tcPr>
            <w:tcW w:w="5904" w:type="dxa"/>
            <w:tcBorders>
              <w:top w:val="nil"/>
              <w:left w:val="nil"/>
              <w:bottom w:val="nil"/>
              <w:right w:val="nil"/>
            </w:tcBorders>
            <w:tcMar>
              <w:top w:w="0" w:type="dxa"/>
              <w:left w:w="62" w:type="dxa"/>
              <w:bottom w:w="0" w:type="dxa"/>
              <w:right w:w="62" w:type="dxa"/>
            </w:tcMar>
          </w:tcPr>
          <w:p w:rsidR="00000000" w:rsidRPr="00F44B26" w:rsidP="00F44B26">
            <w:pPr>
              <w:pStyle w:val="List2"/>
            </w:pPr>
            <w:r w:rsidRPr="00F44B26">
              <w:t>3.1.</w:t>
            </w:r>
            <w:r w:rsidRPr="00F44B26">
              <w:tab/>
              <w:t>Test methods are implemented according to legislative a</w:t>
            </w:r>
            <w:r w:rsidRPr="00F44B26">
              <w:t>nd industry requirements.</w:t>
            </w:r>
          </w:p>
          <w:p w:rsidR="00000000" w:rsidRPr="00F44B26" w:rsidP="00F44B26">
            <w:pPr>
              <w:pStyle w:val="List2"/>
            </w:pPr>
            <w:r w:rsidRPr="00F44B26">
              <w:t>3.2.</w:t>
            </w:r>
            <w:r w:rsidRPr="00F44B26">
              <w:tab/>
              <w:t xml:space="preserve">Routine </w:t>
            </w:r>
            <w:r w:rsidRPr="00F44B26">
              <w:rPr>
                <w:rStyle w:val="BoldandItalics"/>
              </w:rPr>
              <w:t>testing procedures</w:t>
            </w:r>
            <w:r w:rsidRPr="00F44B26">
              <w:t xml:space="preserve"> are conducted according to the required </w:t>
            </w:r>
            <w:r w:rsidRPr="00F44B26">
              <w:rPr>
                <w:rStyle w:val="BoldandItalics"/>
              </w:rPr>
              <w:t>frequency schedule</w:t>
            </w:r>
            <w:r w:rsidRPr="00F44B26">
              <w:t xml:space="preserve"> to verify the system functions as intended.</w:t>
            </w:r>
          </w:p>
          <w:p w:rsidR="00000000" w:rsidRPr="00F44B26" w:rsidP="00F44B26">
            <w:pPr>
              <w:pStyle w:val="List2"/>
            </w:pPr>
            <w:r w:rsidRPr="00F44B26">
              <w:t>3.3.</w:t>
            </w:r>
            <w:r w:rsidRPr="00F44B26">
              <w:tab/>
              <w:t xml:space="preserve">Test results are compared with legislative and industry requirements. </w:t>
            </w:r>
          </w:p>
          <w:p w:rsidR="00000000" w:rsidRPr="00F44B26" w:rsidP="00F44B26">
            <w:pPr>
              <w:pStyle w:val="List2"/>
            </w:pPr>
            <w:r w:rsidRPr="00F44B26">
              <w:t>3.4.</w:t>
            </w:r>
            <w:r w:rsidRPr="00F44B26">
              <w:tab/>
            </w:r>
            <w:r w:rsidRPr="00F44B26">
              <w:t>Results are documented according to legislative and industry requirements.</w:t>
            </w:r>
          </w:p>
          <w:p w:rsidR="00000000" w:rsidRPr="00F44B26" w:rsidP="00F44B26">
            <w:pPr>
              <w:pStyle w:val="List2"/>
            </w:pPr>
            <w:r w:rsidRPr="00F44B26">
              <w:t>3.5.</w:t>
            </w:r>
            <w:r w:rsidRPr="00F44B26">
              <w:tab/>
              <w:t>Report is prepared and forwarded to relevant persons for action according to legislative and industry requirements.</w:t>
            </w:r>
          </w:p>
          <w:p w:rsidR="00000000" w:rsidRPr="00F44B26" w:rsidP="00F44B26">
            <w:pPr>
              <w:pStyle w:val="List2"/>
            </w:pPr>
            <w:r w:rsidRPr="00F44B26">
              <w:t>3.6.</w:t>
            </w:r>
            <w:r w:rsidRPr="00F44B26">
              <w:tab/>
              <w:t>System is reinstated according to organisational requir</w:t>
            </w:r>
            <w:r w:rsidRPr="00F44B26">
              <w:t>ements.</w:t>
            </w:r>
          </w:p>
        </w:tc>
      </w:tr>
    </w:tbl>
    <w:p w:rsidR="00E54123" w:rsidP="00F44B26">
      <w:pPr>
        <w:pStyle w:val="BodyText"/>
      </w:pPr>
    </w:p>
    <w:p w:rsidR="00E54123" w:rsidP="00F44B26">
      <w:pPr>
        <w:pStyle w:val="BodyText"/>
      </w:pPr>
    </w:p>
    <w:p w:rsidR="00000000" w:rsidRPr="00F44B26" w:rsidP="00F44B26">
      <w:pPr>
        <w:pStyle w:val="Heading1"/>
      </w:pPr>
      <w:bookmarkStart w:id="9" w:name="O_258503"/>
      <w:bookmarkEnd w:id="9"/>
      <w:r w:rsidRPr="00F44B26">
        <w:t>Required Skills and Knowledge</w:t>
      </w:r>
    </w:p>
    <w:tbl>
      <w:tblPr>
        <w:tblW w:w="0" w:type="auto"/>
        <w:tblLayout w:type="fixed"/>
        <w:tblCellMar>
          <w:left w:w="62" w:type="dxa"/>
          <w:right w:w="62" w:type="dxa"/>
        </w:tblCellMar>
        <w:tblLook w:val="0000"/>
      </w:tblPr>
      <w:tblGrid>
        <w:gridCol w:w="8522"/>
      </w:tblGrid>
      <w:tr w:rsidTr="00E54123">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F44B26">
            <w:pPr>
              <w:pStyle w:val="BodyText"/>
              <w:rPr>
                <w:lang w:val="en-NZ"/>
              </w:rPr>
            </w:pPr>
            <w:r w:rsidRPr="00F44B26">
              <w:rPr>
                <w:rStyle w:val="SpecialBold"/>
              </w:rPr>
              <w:t>REQUIRED SKILLS AND KNOWLEDGE</w:t>
            </w:r>
          </w:p>
        </w:tc>
      </w:tr>
      <w:tr w:rsidTr="00E5412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44B26">
            <w:pPr>
              <w:pStyle w:val="BodyText"/>
              <w:rPr>
                <w:lang w:val="en-NZ"/>
              </w:rPr>
            </w:pPr>
            <w:r w:rsidRPr="00F44B26">
              <w:t>This section describes the skills and knowledge required for this unit.</w:t>
            </w:r>
          </w:p>
        </w:tc>
      </w:tr>
      <w:tr w:rsidTr="00E5412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44B26">
            <w:pPr>
              <w:pStyle w:val="BodyText"/>
              <w:rPr>
                <w:lang w:val="en-NZ"/>
              </w:rPr>
            </w:pPr>
            <w:r w:rsidRPr="00F44B26">
              <w:rPr>
                <w:rStyle w:val="SpecialBold"/>
              </w:rPr>
              <w:t>Required skills</w:t>
            </w:r>
          </w:p>
        </w:tc>
      </w:tr>
      <w:tr w:rsidTr="00E5412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44B26" w:rsidP="00F44B26">
            <w:pPr>
              <w:pStyle w:val="ListBullet"/>
            </w:pPr>
            <w:r w:rsidRPr="00F44B26">
              <w:t>customer service skills</w:t>
            </w:r>
          </w:p>
          <w:p w:rsidR="00000000" w:rsidRPr="00F44B26" w:rsidP="00F44B26">
            <w:pPr>
              <w:pStyle w:val="ListBullet"/>
            </w:pPr>
            <w:r w:rsidRPr="00F44B26">
              <w:t>language, literacy and numeracy skills to:</w:t>
            </w:r>
          </w:p>
          <w:p w:rsidR="00000000" w:rsidRPr="00F44B26" w:rsidP="00F44B26">
            <w:pPr>
              <w:pStyle w:val="ListBullet2"/>
            </w:pPr>
            <w:r w:rsidRPr="00F44B26">
              <w:t>communicate with others clearly and concisely, verbally and in writing</w:t>
            </w:r>
          </w:p>
          <w:p w:rsidR="00000000" w:rsidRPr="00F44B26" w:rsidP="00F44B26">
            <w:pPr>
              <w:pStyle w:val="ListBullet2"/>
            </w:pPr>
            <w:r w:rsidRPr="00F44B26">
              <w:t>record and report information neatly and legibly</w:t>
            </w:r>
          </w:p>
          <w:p w:rsidR="00000000" w:rsidRPr="00F44B26" w:rsidP="00F44B26">
            <w:pPr>
              <w:pStyle w:val="ListBullet2"/>
            </w:pPr>
            <w:r w:rsidRPr="00F44B26">
              <w:t>read and apply work instructions and specifications</w:t>
            </w:r>
          </w:p>
          <w:p w:rsidR="00000000" w:rsidRPr="00F44B26" w:rsidP="00F44B26">
            <w:pPr>
              <w:pStyle w:val="ListBullet2"/>
            </w:pPr>
            <w:r w:rsidRPr="00F44B26">
              <w:t>read and record measurements</w:t>
            </w:r>
          </w:p>
          <w:p w:rsidR="00000000" w:rsidRPr="00F44B26" w:rsidP="00F44B26">
            <w:pPr>
              <w:pStyle w:val="ListBullet"/>
            </w:pPr>
            <w:r w:rsidRPr="00F44B26">
              <w:t>planning and organising skills to:</w:t>
            </w:r>
          </w:p>
          <w:p w:rsidR="00000000" w:rsidRPr="00F44B26" w:rsidP="00F44B26">
            <w:pPr>
              <w:pStyle w:val="ListBullet2"/>
            </w:pPr>
            <w:r w:rsidRPr="00F44B26">
              <w:t>estimate time to complete activities</w:t>
            </w:r>
          </w:p>
          <w:p w:rsidR="00000000" w:rsidRPr="00F44B26" w:rsidP="00F44B26">
            <w:pPr>
              <w:pStyle w:val="ListBullet2"/>
            </w:pPr>
            <w:r w:rsidRPr="00F44B26">
              <w:t>prioritise tasks</w:t>
            </w:r>
          </w:p>
          <w:p w:rsidR="00000000" w:rsidRPr="00F44B26" w:rsidP="00F44B26">
            <w:pPr>
              <w:pStyle w:val="ListBullet"/>
            </w:pPr>
            <w:r w:rsidRPr="00F44B26">
              <w:t>interpersonal skills to relate to people from a range of social and cultural backgrounds</w:t>
            </w:r>
          </w:p>
          <w:p w:rsidR="00000000" w:rsidRPr="00F44B26" w:rsidP="00F44B26">
            <w:pPr>
              <w:pStyle w:val="ListBullet"/>
            </w:pPr>
            <w:r w:rsidRPr="00F44B26">
              <w:t>technical skills to:</w:t>
            </w:r>
          </w:p>
          <w:p w:rsidR="00000000" w:rsidRPr="00F44B26" w:rsidP="00F44B26">
            <w:pPr>
              <w:pStyle w:val="ListBullet2"/>
            </w:pPr>
            <w:r w:rsidRPr="00F44B26">
              <w:t xml:space="preserve">identify system components </w:t>
            </w:r>
          </w:p>
          <w:p w:rsidR="00000000" w:rsidRPr="00F44B26" w:rsidP="00F44B26">
            <w:pPr>
              <w:pStyle w:val="ListBullet2"/>
            </w:pPr>
            <w:r w:rsidRPr="00F44B26">
              <w:t>operate valves, switches an</w:t>
            </w:r>
            <w:r w:rsidRPr="00F44B26">
              <w:t>d levers to test system operation</w:t>
            </w:r>
          </w:p>
          <w:p w:rsidR="00000000" w:rsidP="00F44B26">
            <w:pPr>
              <w:pStyle w:val="ListBullet2"/>
              <w:rPr>
                <w:lang w:val="en-NZ"/>
              </w:rPr>
            </w:pPr>
            <w:r w:rsidRPr="00F44B26">
              <w:t>work safely when applying workplace housekeeping procedures</w:t>
            </w:r>
          </w:p>
        </w:tc>
      </w:tr>
      <w:tr w:rsidTr="00E5412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44B26">
            <w:pPr>
              <w:pStyle w:val="BodyText"/>
              <w:rPr>
                <w:lang w:val="en-NZ"/>
              </w:rPr>
            </w:pPr>
            <w:r w:rsidRPr="00F44B26">
              <w:rPr>
                <w:rStyle w:val="SpecialBold"/>
              </w:rPr>
              <w:t>Required knowledge</w:t>
            </w:r>
          </w:p>
        </w:tc>
      </w:tr>
      <w:tr w:rsidTr="00E5412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44B26" w:rsidP="00F44B26">
            <w:pPr>
              <w:pStyle w:val="ListBullet"/>
            </w:pPr>
            <w:r w:rsidRPr="00F44B26">
              <w:t>basic principles of operation and purpose of components of water-based fire suppression systems:</w:t>
            </w:r>
          </w:p>
          <w:p w:rsidR="00000000" w:rsidRPr="00F44B26" w:rsidP="00F44B26">
            <w:pPr>
              <w:pStyle w:val="ListBullet2"/>
            </w:pPr>
            <w:r w:rsidRPr="00F44B26">
              <w:t>accelerators and exhausters</w:t>
            </w:r>
          </w:p>
          <w:p w:rsidR="00000000" w:rsidRPr="00F44B26" w:rsidP="00F44B26">
            <w:pPr>
              <w:pStyle w:val="ListBullet2"/>
            </w:pPr>
            <w:r w:rsidRPr="00F44B26">
              <w:t>alarm 'dry' (i.e. deluge) control valve assembly components</w:t>
            </w:r>
          </w:p>
          <w:p w:rsidR="00000000" w:rsidRPr="00F44B26" w:rsidP="00F44B26">
            <w:pPr>
              <w:pStyle w:val="ListBullet2"/>
            </w:pPr>
            <w:r w:rsidRPr="00F44B26">
              <w:t>alarm 'wet' control valve assembly components</w:t>
            </w:r>
          </w:p>
          <w:p w:rsidR="00000000" w:rsidRPr="00F44B26" w:rsidP="00F44B26">
            <w:pPr>
              <w:pStyle w:val="ListBullet2"/>
            </w:pPr>
            <w:r w:rsidRPr="00F44B26">
              <w:t>batteries</w:t>
            </w:r>
          </w:p>
          <w:p w:rsidR="00000000" w:rsidRPr="00F44B26" w:rsidP="00F44B26">
            <w:pPr>
              <w:pStyle w:val="ListBullet2"/>
            </w:pPr>
            <w:r w:rsidRPr="00F44B26">
              <w:t>circulation and system pressure relief valves</w:t>
            </w:r>
          </w:p>
          <w:p w:rsidR="00000000" w:rsidRPr="00F44B26" w:rsidP="00F44B26">
            <w:pPr>
              <w:pStyle w:val="ListBullet2"/>
            </w:pPr>
            <w:r w:rsidRPr="00F44B26">
              <w:t xml:space="preserve">isolation and control valves </w:t>
            </w:r>
          </w:p>
          <w:p w:rsidR="00000000" w:rsidRPr="00F44B26" w:rsidP="00F44B26">
            <w:pPr>
              <w:pStyle w:val="ListBullet2"/>
            </w:pPr>
            <w:r w:rsidRPr="00F44B26">
              <w:t>pressure and flow switches</w:t>
            </w:r>
          </w:p>
          <w:p w:rsidR="00000000" w:rsidRPr="00F44B26" w:rsidP="00F44B26">
            <w:pPr>
              <w:pStyle w:val="ListBullet2"/>
            </w:pPr>
            <w:r w:rsidRPr="00F44B26">
              <w:t>pressure gauges</w:t>
            </w:r>
          </w:p>
          <w:p w:rsidR="00000000" w:rsidRPr="00F44B26" w:rsidP="00F44B26">
            <w:pPr>
              <w:pStyle w:val="ListBullet2"/>
            </w:pPr>
            <w:r w:rsidRPr="00F44B26">
              <w:t xml:space="preserve">pump controllers and </w:t>
            </w:r>
            <w:r w:rsidRPr="00F44B26">
              <w:t>ancillary equipment for control and indication</w:t>
            </w:r>
          </w:p>
          <w:p w:rsidR="00000000" w:rsidRPr="00F44B26" w:rsidP="00F44B26">
            <w:pPr>
              <w:pStyle w:val="ListBullet2"/>
            </w:pPr>
            <w:r w:rsidRPr="00F44B26">
              <w:t>pumpsets</w:t>
            </w:r>
          </w:p>
          <w:p w:rsidR="00000000" w:rsidRPr="00F44B26" w:rsidP="00F44B26">
            <w:pPr>
              <w:pStyle w:val="ListBullet2"/>
            </w:pPr>
            <w:r w:rsidRPr="00F44B26">
              <w:t>retard chambers</w:t>
            </w:r>
          </w:p>
          <w:p w:rsidR="00000000" w:rsidRPr="00F44B26" w:rsidP="00F44B26">
            <w:pPr>
              <w:pStyle w:val="ListBullet2"/>
            </w:pPr>
            <w:r w:rsidRPr="00F44B26">
              <w:t>solenoid valves</w:t>
            </w:r>
          </w:p>
          <w:p w:rsidR="00000000" w:rsidRPr="00F44B26" w:rsidP="00F44B26">
            <w:pPr>
              <w:pStyle w:val="ListBullet2"/>
            </w:pPr>
            <w:r w:rsidRPr="00F44B26">
              <w:t>sprinkler heads</w:t>
            </w:r>
          </w:p>
          <w:p w:rsidR="00000000" w:rsidRPr="00F44B26" w:rsidP="00F44B26">
            <w:pPr>
              <w:pStyle w:val="ListBullet2"/>
            </w:pPr>
            <w:r w:rsidRPr="00F44B26">
              <w:t>system block plans</w:t>
            </w:r>
          </w:p>
          <w:p w:rsidR="00000000" w:rsidRPr="00F44B26" w:rsidP="00F44B26">
            <w:pPr>
              <w:pStyle w:val="ListBullet2"/>
            </w:pPr>
            <w:r w:rsidRPr="00F44B26">
              <w:t>system pressure gauge schedules</w:t>
            </w:r>
          </w:p>
          <w:p w:rsidR="00000000" w:rsidRPr="00F44B26" w:rsidP="00F44B26">
            <w:pPr>
              <w:pStyle w:val="ListBullet2"/>
            </w:pPr>
            <w:r w:rsidRPr="00F44B26">
              <w:t>water motor alarm gong</w:t>
            </w:r>
          </w:p>
          <w:p w:rsidR="00000000" w:rsidRPr="00F44B26" w:rsidP="00F44B26">
            <w:pPr>
              <w:pStyle w:val="ListBullet2"/>
            </w:pPr>
            <w:r w:rsidRPr="00F44B26">
              <w:t>water supply tanks: atmospheric, pressure and suction with priming tanks</w:t>
            </w:r>
          </w:p>
          <w:p w:rsidR="00000000" w:rsidRPr="00F44B26" w:rsidP="00F44B26">
            <w:pPr>
              <w:pStyle w:val="ListBullet"/>
            </w:pPr>
            <w:r w:rsidRPr="00F44B26">
              <w:t>general operation of water-based systems</w:t>
            </w:r>
          </w:p>
          <w:p w:rsidR="00000000" w:rsidRPr="00F44B26" w:rsidP="00F44B26">
            <w:pPr>
              <w:pStyle w:val="ListBullet"/>
            </w:pPr>
            <w:r w:rsidRPr="00F44B26">
              <w:t>general operation of a gauge</w:t>
            </w:r>
          </w:p>
          <w:p w:rsidR="00000000" w:rsidRPr="00F44B26" w:rsidP="00F44B26">
            <w:pPr>
              <w:pStyle w:val="ListBullet"/>
            </w:pPr>
            <w:r w:rsidRPr="00F44B26">
              <w:t>key features of legislation, regulations and codes applicable to inspecting and testing water-based fire-suppression systems</w:t>
            </w:r>
          </w:p>
          <w:p w:rsidR="00000000" w:rsidRPr="00F44B26" w:rsidP="00F44B26">
            <w:pPr>
              <w:pStyle w:val="ListBullet"/>
            </w:pPr>
            <w:r w:rsidRPr="00F44B26">
              <w:t>metric and imperial pressure gauge readings</w:t>
            </w:r>
          </w:p>
          <w:p w:rsidR="00000000" w:rsidRPr="00F44B26" w:rsidP="00F44B26">
            <w:pPr>
              <w:pStyle w:val="ListBullet"/>
            </w:pPr>
            <w:r w:rsidRPr="00F44B26">
              <w:t>systems and compo</w:t>
            </w:r>
            <w:r w:rsidRPr="00F44B26">
              <w:t>nents:</w:t>
            </w:r>
          </w:p>
          <w:p w:rsidR="00000000" w:rsidRPr="00F44B26" w:rsidP="00F44B26">
            <w:pPr>
              <w:pStyle w:val="ListBullet2"/>
            </w:pPr>
            <w:r w:rsidRPr="00F44B26">
              <w:t>air compressors fitted to systems</w:t>
            </w:r>
          </w:p>
          <w:p w:rsidR="00000000" w:rsidRPr="00F44B26" w:rsidP="00F44B26">
            <w:pPr>
              <w:pStyle w:val="ListBullet2"/>
            </w:pPr>
            <w:r w:rsidRPr="00F44B26">
              <w:t>circulation and system pressure relief valves</w:t>
            </w:r>
          </w:p>
          <w:p w:rsidR="00000000" w:rsidRPr="00F44B26" w:rsidP="00F44B26">
            <w:pPr>
              <w:pStyle w:val="ListBullet2"/>
            </w:pPr>
            <w:r w:rsidRPr="00F44B26">
              <w:t>controls on the pumpset controller panel:</w:t>
            </w:r>
          </w:p>
          <w:p w:rsidR="00000000" w:rsidRPr="00F44B26" w:rsidP="00F44B26">
            <w:pPr>
              <w:pStyle w:val="ListBullet3"/>
            </w:pPr>
            <w:r w:rsidRPr="00F44B26">
              <w:t>fuel gauges</w:t>
            </w:r>
          </w:p>
          <w:p w:rsidR="00000000" w:rsidRPr="00F44B26" w:rsidP="00F44B26">
            <w:pPr>
              <w:pStyle w:val="ListBullet3"/>
            </w:pPr>
            <w:r w:rsidRPr="00F44B26">
              <w:t>indicators</w:t>
            </w:r>
          </w:p>
          <w:p w:rsidR="00000000" w:rsidRPr="00F44B26" w:rsidP="00F44B26">
            <w:pPr>
              <w:pStyle w:val="ListBullet3"/>
            </w:pPr>
            <w:r w:rsidRPr="00F44B26">
              <w:t>main isolating switch</w:t>
            </w:r>
          </w:p>
          <w:p w:rsidR="00000000" w:rsidRPr="00F44B26" w:rsidP="00F44B26">
            <w:pPr>
              <w:pStyle w:val="ListBullet2"/>
            </w:pPr>
            <w:r w:rsidRPr="00F44B26">
              <w:t>flow switches and associated testing equipment</w:t>
            </w:r>
          </w:p>
          <w:p w:rsidR="00000000" w:rsidRPr="00F44B26" w:rsidP="00F44B26">
            <w:pPr>
              <w:pStyle w:val="ListBullet2"/>
            </w:pPr>
            <w:r w:rsidRPr="00F44B26">
              <w:t>isolating valves associated with water-based fire-suppression system</w:t>
            </w:r>
          </w:p>
          <w:p w:rsidR="00000000" w:rsidRPr="00F44B26" w:rsidP="00F44B26">
            <w:pPr>
              <w:pStyle w:val="ListBullet2"/>
            </w:pPr>
            <w:r w:rsidRPr="00F44B26">
              <w:t>main water supply underground key-operated valve location</w:t>
            </w:r>
          </w:p>
          <w:p w:rsidR="00000000" w:rsidRPr="00F44B26" w:rsidP="00F44B26">
            <w:pPr>
              <w:pStyle w:val="ListBullet2"/>
            </w:pPr>
            <w:r w:rsidRPr="00F44B26">
              <w:t>pressure gauges</w:t>
            </w:r>
          </w:p>
          <w:p w:rsidR="00000000" w:rsidRPr="00F44B26" w:rsidP="00F44B26">
            <w:pPr>
              <w:pStyle w:val="ListBullet2"/>
            </w:pPr>
            <w:r w:rsidRPr="00F44B26">
              <w:t>pumpsets associated with water-based fire-suppression system</w:t>
            </w:r>
          </w:p>
          <w:p w:rsidR="00000000" w:rsidRPr="00F44B26" w:rsidP="00F44B26">
            <w:pPr>
              <w:pStyle w:val="ListBullet2"/>
            </w:pPr>
            <w:r w:rsidRPr="00F44B26">
              <w:t>pump starting switches</w:t>
            </w:r>
          </w:p>
          <w:p w:rsidR="00000000" w:rsidRPr="00F44B26" w:rsidP="00F44B26">
            <w:pPr>
              <w:pStyle w:val="ListBullet2"/>
            </w:pPr>
            <w:r w:rsidRPr="00F44B26">
              <w:t>suction inlet strainers or sc</w:t>
            </w:r>
            <w:r w:rsidRPr="00F44B26">
              <w:t>reen on a static water supply for the water-based fire-suppression system</w:t>
            </w:r>
          </w:p>
          <w:p w:rsidR="00000000" w:rsidRPr="00F44B26" w:rsidP="00F44B26">
            <w:pPr>
              <w:pStyle w:val="ListBullet2"/>
            </w:pPr>
            <w:r w:rsidRPr="00F44B26">
              <w:t>system block plan requirements for design details of systems installed since 1972</w:t>
            </w:r>
          </w:p>
          <w:p w:rsidR="00000000" w:rsidRPr="00F44B26" w:rsidP="00F44B26">
            <w:pPr>
              <w:pStyle w:val="ListBullet2"/>
            </w:pPr>
            <w:r w:rsidRPr="00F44B26">
              <w:t>system main alarm bell and/or alarm strobe indicating building entry point for emergency personnel</w:t>
            </w:r>
          </w:p>
          <w:p w:rsidR="00000000" w:rsidRPr="00F44B26" w:rsidP="00F44B26">
            <w:pPr>
              <w:pStyle w:val="ListBullet2"/>
            </w:pPr>
            <w:r w:rsidRPr="00F44B26">
              <w:t>s</w:t>
            </w:r>
            <w:r w:rsidRPr="00F44B26">
              <w:t>ystem pressure gauge schedules, where required</w:t>
            </w:r>
          </w:p>
          <w:p w:rsidR="00000000" w:rsidRPr="00F44B26" w:rsidP="00F44B26">
            <w:pPr>
              <w:pStyle w:val="ListBullet2"/>
            </w:pPr>
            <w:r w:rsidRPr="00F44B26">
              <w:t>system pressure maintenance or jacking pumps</w:t>
            </w:r>
          </w:p>
          <w:p w:rsidR="00000000" w:rsidRPr="00F44B26" w:rsidP="00F44B26">
            <w:pPr>
              <w:pStyle w:val="ListBullet2"/>
            </w:pPr>
            <w:r w:rsidRPr="00F44B26">
              <w:t>water-based fire-suppression system control and alarm valves and ancillary equipment for control and alarm operation indication/interface</w:t>
            </w:r>
          </w:p>
          <w:p w:rsidR="00000000" w:rsidRPr="00F44B26" w:rsidP="00F44B26">
            <w:pPr>
              <w:pStyle w:val="ListBullet2"/>
            </w:pPr>
            <w:r w:rsidRPr="00F44B26">
              <w:t>water supply tanks, water level indicators and automatic inflow valves</w:t>
            </w:r>
          </w:p>
          <w:p w:rsidR="00000000" w:rsidRPr="00F44B26" w:rsidP="00F44B26">
            <w:pPr>
              <w:pStyle w:val="ListBullet"/>
            </w:pPr>
            <w:r w:rsidRPr="00F44B26">
              <w:t>terminology used in relation to water-based fire-suppression system</w:t>
            </w:r>
          </w:p>
          <w:p w:rsidR="00000000" w:rsidRPr="00F44B26" w:rsidP="00F44B26">
            <w:pPr>
              <w:pStyle w:val="ListBullet"/>
            </w:pPr>
            <w:r w:rsidRPr="00F44B26">
              <w:t>water supply tanks:</w:t>
            </w:r>
          </w:p>
          <w:p w:rsidR="00000000" w:rsidRPr="00F44B26" w:rsidP="00F44B26">
            <w:pPr>
              <w:pStyle w:val="ListBullet2"/>
            </w:pPr>
            <w:r w:rsidRPr="00F44B26">
              <w:t>atmospheric</w:t>
            </w:r>
          </w:p>
          <w:p w:rsidR="00000000" w:rsidRPr="00F44B26" w:rsidP="00F44B26">
            <w:pPr>
              <w:pStyle w:val="ListBullet2"/>
            </w:pPr>
            <w:r w:rsidRPr="00F44B26">
              <w:t>pressure</w:t>
            </w:r>
          </w:p>
          <w:p w:rsidR="00000000" w:rsidRPr="00F44B26" w:rsidP="00F44B26">
            <w:pPr>
              <w:pStyle w:val="ListBullet2"/>
            </w:pPr>
            <w:r w:rsidRPr="00F44B26">
              <w:t>suction with priming tanks</w:t>
            </w:r>
          </w:p>
          <w:p w:rsidR="00000000" w:rsidRPr="00F44B26" w:rsidP="00F44B26">
            <w:pPr>
              <w:pStyle w:val="ListBullet"/>
            </w:pPr>
            <w:r w:rsidRPr="00F44B26">
              <w:t xml:space="preserve">water-based systems applications, as defined in </w:t>
            </w:r>
            <w:r w:rsidRPr="00F44B26">
              <w:t>AS 2118 Automatic fire sprinkler systems</w:t>
            </w:r>
          </w:p>
        </w:tc>
      </w:tr>
    </w:tbl>
    <w:p w:rsidR="00E54123" w:rsidP="00F44B26">
      <w:pPr>
        <w:pStyle w:val="BodyText"/>
      </w:pPr>
    </w:p>
    <w:p w:rsidR="00E54123" w:rsidP="00F44B26">
      <w:pPr>
        <w:pStyle w:val="BodyText"/>
      </w:pPr>
    </w:p>
    <w:p w:rsidR="00000000" w:rsidRPr="00F44B26" w:rsidP="00F44B26">
      <w:pPr>
        <w:pStyle w:val="AllowPageBreak"/>
      </w:pPr>
    </w:p>
    <w:p w:rsidR="00000000" w:rsidRPr="00F44B26" w:rsidP="00F44B26">
      <w:pPr>
        <w:pStyle w:val="Heading1"/>
      </w:pPr>
      <w:bookmarkStart w:id="10" w:name="O_242537"/>
      <w:bookmarkEnd w:id="10"/>
      <w:r w:rsidRPr="00F44B26">
        <w:t>Evidence Guide</w:t>
      </w:r>
    </w:p>
    <w:tbl>
      <w:tblPr>
        <w:tblW w:w="0" w:type="auto"/>
        <w:tblLayout w:type="fixed"/>
        <w:tblCellMar>
          <w:left w:w="62" w:type="dxa"/>
          <w:right w:w="62" w:type="dxa"/>
        </w:tblCellMar>
        <w:tblLook w:val="0000"/>
      </w:tblPr>
      <w:tblGrid>
        <w:gridCol w:w="2583"/>
        <w:gridCol w:w="5939"/>
      </w:tblGrid>
      <w:tr w:rsidTr="00E54123">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F44B26">
            <w:pPr>
              <w:pStyle w:val="BodyText"/>
              <w:rPr>
                <w:lang w:val="en-NZ"/>
              </w:rPr>
            </w:pPr>
            <w:r w:rsidRPr="00F44B26">
              <w:rPr>
                <w:rStyle w:val="SpecialBold"/>
              </w:rPr>
              <w:t>EVIDENCE GUIDE</w:t>
            </w:r>
          </w:p>
        </w:tc>
      </w:tr>
      <w:tr w:rsidTr="00E54123">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F44B26">
            <w:pPr>
              <w:pStyle w:val="BodyText"/>
              <w:rPr>
                <w:lang w:val="en-NZ"/>
              </w:rPr>
            </w:pPr>
            <w:r w:rsidRPr="00F44B26">
              <w:t xml:space="preserve">The evidence guide provides advice on assessment and must be read in conjunction with the performance criteria, required skills and knowledge, </w:t>
            </w:r>
            <w:r w:rsidRPr="00F44B26">
              <w:t>range statement and the Assessment Guidelines for the Training Package.</w:t>
            </w:r>
          </w:p>
        </w:tc>
      </w:tr>
      <w:tr w:rsidTr="00E54123">
        <w:tblPrEx>
          <w:tblW w:w="0" w:type="auto"/>
          <w:tblLayout w:type="fixed"/>
          <w:tblCellMar>
            <w:left w:w="62" w:type="dxa"/>
            <w:right w:w="62" w:type="dxa"/>
          </w:tblCellMar>
          <w:tblLook w:val="0000"/>
        </w:tblPrEx>
        <w:tc>
          <w:tcPr>
            <w:tcW w:w="2583" w:type="dxa"/>
            <w:tcBorders>
              <w:top w:val="nil"/>
              <w:left w:val="nil"/>
              <w:bottom w:val="nil"/>
              <w:right w:val="nil"/>
            </w:tcBorders>
            <w:tcMar>
              <w:top w:w="0" w:type="dxa"/>
              <w:left w:w="62" w:type="dxa"/>
              <w:bottom w:w="0" w:type="dxa"/>
              <w:right w:w="62" w:type="dxa"/>
            </w:tcMar>
          </w:tcPr>
          <w:p w:rsidR="00000000" w:rsidP="00F44B26">
            <w:pPr>
              <w:pStyle w:val="BodyText"/>
              <w:rPr>
                <w:lang w:val="en-NZ"/>
              </w:rPr>
            </w:pPr>
            <w:r w:rsidRPr="00F44B26">
              <w:rPr>
                <w:rStyle w:val="SpecialBold"/>
              </w:rPr>
              <w:t>Overview of assessment</w:t>
            </w:r>
          </w:p>
        </w:tc>
        <w:tc>
          <w:tcPr>
            <w:tcW w:w="5939" w:type="dxa"/>
            <w:tcBorders>
              <w:top w:val="nil"/>
              <w:left w:val="nil"/>
              <w:bottom w:val="nil"/>
              <w:right w:val="nil"/>
            </w:tcBorders>
            <w:tcMar>
              <w:top w:w="0" w:type="dxa"/>
              <w:left w:w="62" w:type="dxa"/>
              <w:bottom w:w="0" w:type="dxa"/>
              <w:right w:w="62" w:type="dxa"/>
            </w:tcMar>
          </w:tcPr>
          <w:p w:rsidR="00000000" w:rsidRPr="00F44B26" w:rsidP="00F44B26">
            <w:pPr>
              <w:pStyle w:val="BodyText"/>
            </w:pPr>
            <w:r w:rsidRPr="00F44B26">
              <w:t>This unit of competency could be assessed by observation of practical demonstration of basic functional testing of a range of water-based fire-suppression syst</w:t>
            </w:r>
            <w:r w:rsidRPr="00F44B26">
              <w:t xml:space="preserve">ems. </w:t>
            </w:r>
          </w:p>
          <w:p w:rsidR="00000000" w:rsidP="00F44B26">
            <w:pPr>
              <w:pStyle w:val="BodyText"/>
              <w:rPr>
                <w:lang w:val="en-NZ"/>
              </w:rPr>
            </w:pPr>
            <w:r w:rsidRPr="00F44B26">
              <w:t>If all relevant aspects of evidence cannot be demonstrated in a work environment, the remainder should be assessed through realistic simulations, projects, or oral questioning on case study scenarios.</w:t>
            </w:r>
          </w:p>
        </w:tc>
      </w:tr>
      <w:tr w:rsidTr="00E54123">
        <w:tblPrEx>
          <w:tblW w:w="0" w:type="auto"/>
          <w:tblLayout w:type="fixed"/>
          <w:tblCellMar>
            <w:left w:w="62" w:type="dxa"/>
            <w:right w:w="62" w:type="dxa"/>
          </w:tblCellMar>
          <w:tblLook w:val="0000"/>
        </w:tblPrEx>
        <w:tc>
          <w:tcPr>
            <w:tcW w:w="2583" w:type="dxa"/>
            <w:tcBorders>
              <w:top w:val="nil"/>
              <w:left w:val="nil"/>
              <w:bottom w:val="nil"/>
              <w:right w:val="nil"/>
            </w:tcBorders>
            <w:tcMar>
              <w:top w:w="0" w:type="dxa"/>
              <w:left w:w="62" w:type="dxa"/>
              <w:bottom w:w="0" w:type="dxa"/>
              <w:right w:w="62" w:type="dxa"/>
            </w:tcMar>
          </w:tcPr>
          <w:p w:rsidR="00000000" w:rsidP="00F44B26">
            <w:pPr>
              <w:pStyle w:val="BodyText"/>
              <w:rPr>
                <w:lang w:val="en-NZ"/>
              </w:rPr>
            </w:pPr>
            <w:r w:rsidRPr="00F44B26">
              <w:rPr>
                <w:rStyle w:val="SpecialBold"/>
              </w:rPr>
              <w:t>Critical aspects for assessment and evidence req</w:t>
            </w:r>
            <w:r w:rsidRPr="00F44B26">
              <w:rPr>
                <w:rStyle w:val="SpecialBold"/>
              </w:rPr>
              <w:t>uired to demonstrate competency in this unit</w:t>
            </w:r>
          </w:p>
        </w:tc>
        <w:tc>
          <w:tcPr>
            <w:tcW w:w="5939" w:type="dxa"/>
            <w:tcBorders>
              <w:top w:val="nil"/>
              <w:left w:val="nil"/>
              <w:bottom w:val="nil"/>
              <w:right w:val="nil"/>
            </w:tcBorders>
            <w:tcMar>
              <w:top w:w="0" w:type="dxa"/>
              <w:left w:w="62" w:type="dxa"/>
              <w:bottom w:w="0" w:type="dxa"/>
              <w:right w:w="62" w:type="dxa"/>
            </w:tcMar>
          </w:tcPr>
          <w:p w:rsidR="00000000" w:rsidRPr="00F44B26" w:rsidP="00F44B26">
            <w:pPr>
              <w:pStyle w:val="BodyText"/>
            </w:pPr>
            <w:r w:rsidRPr="00F44B26">
              <w:t>A person who demonstrates competency in this unit must be able to provide evidence of the required skills and knowledge specified in this unit.</w:t>
            </w:r>
          </w:p>
          <w:p w:rsidR="00000000" w:rsidRPr="00F44B26" w:rsidP="00F44B26">
            <w:pPr>
              <w:pStyle w:val="BodyText"/>
            </w:pPr>
            <w:r w:rsidRPr="00F44B26">
              <w:t>In particular the person should demonstrate the ability to:</w:t>
            </w:r>
          </w:p>
          <w:p w:rsidR="00000000" w:rsidRPr="00F44B26" w:rsidP="00F44B26">
            <w:pPr>
              <w:pStyle w:val="ListBullet"/>
            </w:pPr>
            <w:r w:rsidRPr="00F44B26">
              <w:t>apply s</w:t>
            </w:r>
            <w:r w:rsidRPr="00F44B26">
              <w:t>ustainability principles and concepts when conducting basic functional testing of water-based fire-suppression systems</w:t>
            </w:r>
          </w:p>
          <w:p w:rsidR="00000000" w:rsidRPr="00F44B26" w:rsidP="00F44B26">
            <w:pPr>
              <w:pStyle w:val="ListBullet"/>
            </w:pPr>
            <w:r w:rsidRPr="00F44B26">
              <w:t>apply safety requirements throughout the work sequence, including electrical safety, personal protective clothing and equipment</w:t>
            </w:r>
          </w:p>
          <w:p w:rsidR="00000000" w:rsidRPr="00F44B26" w:rsidP="00F44B26">
            <w:pPr>
              <w:pStyle w:val="ListBullet"/>
            </w:pPr>
            <w:r w:rsidRPr="00F44B26">
              <w:t>complete tasks according to the relevant Australian standard</w:t>
            </w:r>
          </w:p>
          <w:p w:rsidR="00000000" w:rsidRPr="00F44B26" w:rsidP="00F44B26">
            <w:pPr>
              <w:pStyle w:val="ListBullet"/>
            </w:pPr>
            <w:r w:rsidRPr="00F44B26">
              <w:t>conduct inspection and testing tasks specified in the weekly, monthly and six-monthly frequency schedule</w:t>
            </w:r>
          </w:p>
          <w:p w:rsidR="00000000" w:rsidRPr="00F44B26" w:rsidP="00F44B26">
            <w:pPr>
              <w:pStyle w:val="ListBullet"/>
            </w:pPr>
            <w:r w:rsidRPr="00F44B26">
              <w:t>perform functional testing of the following water-based fire-suppression systems:</w:t>
            </w:r>
          </w:p>
          <w:p w:rsidR="00000000" w:rsidRPr="00F44B26" w:rsidP="00F44B26">
            <w:pPr>
              <w:pStyle w:val="ListBullet2"/>
            </w:pPr>
            <w:r w:rsidRPr="00F44B26">
              <w:t>alterna</w:t>
            </w:r>
            <w:r w:rsidRPr="00F44B26">
              <w:t>te wet or general systems with no pumpset system</w:t>
            </w:r>
          </w:p>
          <w:p w:rsidR="00000000" w:rsidRPr="00F44B26" w:rsidP="00F44B26">
            <w:pPr>
              <w:pStyle w:val="ListBullet2"/>
            </w:pPr>
            <w:r w:rsidRPr="00F44B26">
              <w:t>alternate wet or general systems with pumpset system and tank</w:t>
            </w:r>
          </w:p>
          <w:p w:rsidR="00000000" w:rsidRPr="00F44B26" w:rsidP="00F44B26">
            <w:pPr>
              <w:pStyle w:val="ListBullet2"/>
            </w:pPr>
            <w:r w:rsidRPr="00F44B26">
              <w:t>residential or domestic systems</w:t>
            </w:r>
          </w:p>
          <w:p w:rsidR="00000000" w:rsidRPr="00F44B26" w:rsidP="00F44B26">
            <w:pPr>
              <w:pStyle w:val="ListBullet2"/>
            </w:pPr>
            <w:r w:rsidRPr="00F44B26">
              <w:t>combined sprinkler and hydrant systems</w:t>
            </w:r>
          </w:p>
          <w:p w:rsidR="00000000" w:rsidRPr="00F44B26" w:rsidP="00F44B26">
            <w:pPr>
              <w:pStyle w:val="ListBullet2"/>
            </w:pPr>
            <w:r w:rsidRPr="00F44B26">
              <w:t>deluge systems</w:t>
            </w:r>
          </w:p>
          <w:p w:rsidR="00000000" w:rsidP="00F44B26">
            <w:pPr>
              <w:pStyle w:val="ListBullet2"/>
              <w:rPr>
                <w:lang w:val="en-NZ"/>
              </w:rPr>
            </w:pPr>
            <w:r w:rsidRPr="00F44B26">
              <w:t>pre-action or recycle systems.</w:t>
            </w:r>
          </w:p>
        </w:tc>
      </w:tr>
      <w:tr w:rsidTr="00E54123">
        <w:tblPrEx>
          <w:tblW w:w="0" w:type="auto"/>
          <w:tblLayout w:type="fixed"/>
          <w:tblCellMar>
            <w:left w:w="62" w:type="dxa"/>
            <w:right w:w="62" w:type="dxa"/>
          </w:tblCellMar>
          <w:tblLook w:val="0000"/>
        </w:tblPrEx>
        <w:tc>
          <w:tcPr>
            <w:tcW w:w="2583" w:type="dxa"/>
            <w:tcBorders>
              <w:top w:val="nil"/>
              <w:left w:val="nil"/>
              <w:bottom w:val="nil"/>
              <w:right w:val="nil"/>
            </w:tcBorders>
            <w:tcMar>
              <w:top w:w="0" w:type="dxa"/>
              <w:left w:w="62" w:type="dxa"/>
              <w:bottom w:w="0" w:type="dxa"/>
              <w:right w:w="62" w:type="dxa"/>
            </w:tcMar>
          </w:tcPr>
          <w:p w:rsidR="00000000" w:rsidP="00F44B26">
            <w:pPr>
              <w:pStyle w:val="BodyText"/>
              <w:rPr>
                <w:lang w:val="en-NZ"/>
              </w:rPr>
            </w:pPr>
            <w:r w:rsidRPr="00F44B26">
              <w:rPr>
                <w:rStyle w:val="SpecialBold"/>
              </w:rPr>
              <w:t>Context of and specific res</w:t>
            </w:r>
            <w:r w:rsidRPr="00F44B26">
              <w:rPr>
                <w:rStyle w:val="SpecialBold"/>
              </w:rPr>
              <w:t>ources for assessment</w:t>
            </w:r>
          </w:p>
        </w:tc>
        <w:tc>
          <w:tcPr>
            <w:tcW w:w="5939" w:type="dxa"/>
            <w:tcBorders>
              <w:top w:val="nil"/>
              <w:left w:val="nil"/>
              <w:bottom w:val="nil"/>
              <w:right w:val="nil"/>
            </w:tcBorders>
            <w:tcMar>
              <w:top w:w="0" w:type="dxa"/>
              <w:left w:w="62" w:type="dxa"/>
              <w:bottom w:w="0" w:type="dxa"/>
              <w:right w:w="62" w:type="dxa"/>
            </w:tcMar>
          </w:tcPr>
          <w:p w:rsidR="00000000" w:rsidRPr="00F44B26" w:rsidP="00F44B26">
            <w:pPr>
              <w:pStyle w:val="BodyText"/>
            </w:pPr>
            <w:r w:rsidRPr="00F44B26">
              <w:t>Assessment of essential underpinning knowledge may be conducted in an off-site context. It is to comply with relevant regulatory or Australian standards' requirements.</w:t>
            </w:r>
          </w:p>
          <w:p w:rsidR="00000000" w:rsidRPr="00F44B26" w:rsidP="00F44B26">
            <w:pPr>
              <w:pStyle w:val="BodyText"/>
            </w:pPr>
            <w:r w:rsidRPr="00F44B26">
              <w:t>Resource implications for assessment include:</w:t>
            </w:r>
          </w:p>
          <w:p w:rsidR="00000000" w:rsidRPr="00F44B26" w:rsidP="00F44B26">
            <w:pPr>
              <w:pStyle w:val="ListBullet"/>
            </w:pPr>
            <w:r w:rsidRPr="00F44B26">
              <w:t>adequate water supply and draining or recycling arrangements to operate water-based fire-suppression systems</w:t>
            </w:r>
          </w:p>
          <w:p w:rsidR="00000000" w:rsidRPr="00F44B26" w:rsidP="00F44B26">
            <w:pPr>
              <w:pStyle w:val="ListBullet"/>
            </w:pPr>
            <w:r w:rsidRPr="00F44B26">
              <w:t>operational water-based fire-suppression systems</w:t>
            </w:r>
          </w:p>
          <w:p w:rsidR="00000000" w:rsidP="00F44B26">
            <w:pPr>
              <w:pStyle w:val="ListBullet"/>
              <w:rPr>
                <w:lang w:val="en-NZ"/>
              </w:rPr>
            </w:pPr>
            <w:r w:rsidRPr="00F44B26">
              <w:t xml:space="preserve">pictures and cut-away sections of control assemblies and valves to show operation. </w:t>
            </w:r>
          </w:p>
        </w:tc>
      </w:tr>
      <w:tr w:rsidTr="00E54123">
        <w:tblPrEx>
          <w:tblW w:w="0" w:type="auto"/>
          <w:tblLayout w:type="fixed"/>
          <w:tblCellMar>
            <w:left w:w="62" w:type="dxa"/>
            <w:right w:w="62" w:type="dxa"/>
          </w:tblCellMar>
          <w:tblLook w:val="0000"/>
        </w:tblPrEx>
        <w:tc>
          <w:tcPr>
            <w:tcW w:w="2583" w:type="dxa"/>
            <w:tcBorders>
              <w:top w:val="nil"/>
              <w:left w:val="nil"/>
              <w:bottom w:val="nil"/>
              <w:right w:val="nil"/>
            </w:tcBorders>
            <w:tcMar>
              <w:top w:w="0" w:type="dxa"/>
              <w:left w:w="62" w:type="dxa"/>
              <w:bottom w:w="0" w:type="dxa"/>
              <w:right w:w="62" w:type="dxa"/>
            </w:tcMar>
          </w:tcPr>
          <w:p w:rsidR="00000000" w:rsidP="00F44B26">
            <w:pPr>
              <w:pStyle w:val="BodyText"/>
              <w:rPr>
                <w:lang w:val="en-NZ"/>
              </w:rPr>
            </w:pPr>
            <w:r w:rsidRPr="00F44B26">
              <w:rPr>
                <w:rStyle w:val="SpecialBold"/>
              </w:rPr>
              <w:t>Method of ass</w:t>
            </w:r>
            <w:r w:rsidRPr="00F44B26">
              <w:rPr>
                <w:rStyle w:val="SpecialBold"/>
              </w:rPr>
              <w:t>essment</w:t>
            </w:r>
          </w:p>
        </w:tc>
        <w:tc>
          <w:tcPr>
            <w:tcW w:w="5939" w:type="dxa"/>
            <w:tcBorders>
              <w:top w:val="nil"/>
              <w:left w:val="nil"/>
              <w:bottom w:val="nil"/>
              <w:right w:val="nil"/>
            </w:tcBorders>
            <w:tcMar>
              <w:top w:w="0" w:type="dxa"/>
              <w:left w:w="62" w:type="dxa"/>
              <w:bottom w:w="0" w:type="dxa"/>
              <w:right w:w="62" w:type="dxa"/>
            </w:tcMar>
          </w:tcPr>
          <w:p w:rsidR="00000000" w:rsidRPr="00F44B26" w:rsidP="00F44B26">
            <w:pPr>
              <w:pStyle w:val="BodyText"/>
            </w:pPr>
            <w:r w:rsidRPr="00F44B26">
              <w:t>Assessment methods must:</w:t>
            </w:r>
          </w:p>
          <w:p w:rsidR="00000000" w:rsidRPr="00F44B26" w:rsidP="00F44B26">
            <w:pPr>
              <w:pStyle w:val="ListBullet"/>
            </w:pPr>
            <w:r w:rsidRPr="00F44B26">
              <w:t>satisfy the endorsed Assessment Guidelines of the Property Services Training Package</w:t>
            </w:r>
          </w:p>
          <w:p w:rsidR="00000000" w:rsidRPr="00F44B26" w:rsidP="00F44B26">
            <w:pPr>
              <w:pStyle w:val="ListBullet"/>
            </w:pPr>
            <w:r w:rsidRPr="00F44B26">
              <w:t>include direct observation of tasks in real or simulated work conditions, with questioning to confirm the ability to consistently identify</w:t>
            </w:r>
            <w:r w:rsidRPr="00F44B26">
              <w:t xml:space="preserve"> and correctly interpret the essential underpinning knowledge required for practical application</w:t>
            </w:r>
          </w:p>
          <w:p w:rsidR="00000000" w:rsidRPr="00F44B26" w:rsidP="00F44B26">
            <w:pPr>
              <w:pStyle w:val="ListBullet"/>
            </w:pPr>
            <w:r w:rsidRPr="00F44B26">
              <w:t>reinforce the integration of employability skills with workplace tasks and job roles</w:t>
            </w:r>
          </w:p>
          <w:p w:rsidR="00000000" w:rsidP="00F44B26">
            <w:pPr>
              <w:pStyle w:val="ListBullet"/>
              <w:rPr>
                <w:lang w:val="en-NZ"/>
              </w:rPr>
            </w:pPr>
            <w:r w:rsidRPr="00F44B26">
              <w:t>confirm that competency is verified and able to be transferred to other ci</w:t>
            </w:r>
            <w:r w:rsidRPr="00F44B26">
              <w:t>rcumstances and environments.</w:t>
            </w:r>
          </w:p>
        </w:tc>
      </w:tr>
      <w:tr w:rsidTr="00E54123">
        <w:tblPrEx>
          <w:tblW w:w="0" w:type="auto"/>
          <w:tblLayout w:type="fixed"/>
          <w:tblCellMar>
            <w:left w:w="62" w:type="dxa"/>
            <w:right w:w="62" w:type="dxa"/>
          </w:tblCellMar>
          <w:tblLook w:val="0000"/>
        </w:tblPrEx>
        <w:tc>
          <w:tcPr>
            <w:tcW w:w="2583" w:type="dxa"/>
            <w:tcBorders>
              <w:top w:val="nil"/>
              <w:left w:val="nil"/>
              <w:bottom w:val="nil"/>
              <w:right w:val="nil"/>
            </w:tcBorders>
            <w:tcMar>
              <w:top w:w="0" w:type="dxa"/>
              <w:left w:w="62" w:type="dxa"/>
              <w:bottom w:w="0" w:type="dxa"/>
              <w:right w:w="62" w:type="dxa"/>
            </w:tcMar>
          </w:tcPr>
          <w:p w:rsidR="00000000" w:rsidP="00F44B26">
            <w:pPr>
              <w:pStyle w:val="BodyText"/>
              <w:rPr>
                <w:lang w:val="en-NZ"/>
              </w:rPr>
            </w:pPr>
            <w:r w:rsidRPr="00F44B26">
              <w:rPr>
                <w:rStyle w:val="SpecialBold"/>
              </w:rPr>
              <w:t>Guidance information for assessment</w:t>
            </w:r>
          </w:p>
        </w:tc>
        <w:tc>
          <w:tcPr>
            <w:tcW w:w="5939" w:type="dxa"/>
            <w:tcBorders>
              <w:top w:val="nil"/>
              <w:left w:val="nil"/>
              <w:bottom w:val="nil"/>
              <w:right w:val="nil"/>
            </w:tcBorders>
            <w:tcMar>
              <w:top w:w="0" w:type="dxa"/>
              <w:left w:w="62" w:type="dxa"/>
              <w:bottom w:w="0" w:type="dxa"/>
              <w:right w:w="62" w:type="dxa"/>
            </w:tcMar>
          </w:tcPr>
          <w:p w:rsidR="00000000" w:rsidRPr="00F44B26" w:rsidP="00F44B26">
            <w:pPr>
              <w:pStyle w:val="BodyText"/>
            </w:pPr>
            <w:r w:rsidRPr="00F44B26">
              <w:t>Reasonable adjustments for people with disabilities must be made to assessment processes where required. This could include access to modified equipment and other physical resources, and th</w:t>
            </w:r>
            <w:r w:rsidRPr="00F44B26">
              <w:t>e provision of appropriate assessment support.</w:t>
            </w:r>
          </w:p>
          <w:p w:rsidR="00000000" w:rsidRPr="00F44B26" w:rsidP="00F44B26">
            <w:pPr>
              <w:pStyle w:val="BodyText"/>
            </w:pPr>
            <w:r w:rsidRPr="00F44B26">
              <w:t>Assessment processes and techniques should as far as is practical take into account the language, literacy and numeracy capacity of the candidate in relation to the competency being assessed.</w:t>
            </w:r>
          </w:p>
          <w:p w:rsidR="00000000" w:rsidRPr="00F44B26" w:rsidP="00F44B26">
            <w:pPr>
              <w:pStyle w:val="BodyText"/>
            </w:pPr>
            <w:r w:rsidRPr="00F44B26">
              <w:t>This unit could b</w:t>
            </w:r>
            <w:r w:rsidRPr="00F44B26">
              <w:t>e assessed on its own or in combination with other units relevant to the job function, for example:</w:t>
            </w:r>
          </w:p>
          <w:p w:rsidR="00000000" w:rsidRPr="00F44B26" w:rsidP="00F44B26">
            <w:pPr>
              <w:pStyle w:val="ListBullet"/>
            </w:pPr>
            <w:r w:rsidRPr="00F44B26">
              <w:t>CPCPFS3021A Inspect and test fire pumpsets</w:t>
            </w:r>
          </w:p>
          <w:p w:rsidR="00000000" w:rsidRPr="00F44B26" w:rsidP="00F44B26">
            <w:pPr>
              <w:pStyle w:val="ListBullet"/>
            </w:pPr>
            <w:r w:rsidRPr="00F44B26">
              <w:t>CPCPFS3022A Conduct annual functional testing of complex water-based fire-suppression systems</w:t>
            </w:r>
          </w:p>
          <w:p w:rsidR="00000000" w:rsidRPr="00F44B26" w:rsidP="00F44B26">
            <w:pPr>
              <w:pStyle w:val="ListBullet"/>
            </w:pPr>
            <w:r w:rsidRPr="00F44B26">
              <w:t>CPCPFS3023A Conduct functional water flow testing.</w:t>
            </w:r>
          </w:p>
        </w:tc>
      </w:tr>
    </w:tbl>
    <w:p w:rsidR="00E54123" w:rsidP="00F44B26">
      <w:pPr>
        <w:pStyle w:val="BodyText"/>
      </w:pPr>
    </w:p>
    <w:p w:rsidR="00E54123" w:rsidP="00F44B26">
      <w:pPr>
        <w:pStyle w:val="BodyText"/>
      </w:pPr>
    </w:p>
    <w:p w:rsidR="00000000" w:rsidRPr="00F44B26" w:rsidP="00F44B26">
      <w:pPr>
        <w:pStyle w:val="Heading1"/>
      </w:pPr>
      <w:bookmarkStart w:id="11" w:name="O_250520"/>
      <w:bookmarkEnd w:id="11"/>
      <w:r w:rsidRPr="00F44B26">
        <w:t>Range Statement</w:t>
      </w:r>
    </w:p>
    <w:tbl>
      <w:tblPr>
        <w:tblW w:w="0" w:type="auto"/>
        <w:tblLayout w:type="fixed"/>
        <w:tblCellMar>
          <w:left w:w="62" w:type="dxa"/>
          <w:right w:w="62" w:type="dxa"/>
        </w:tblCellMar>
        <w:tblLook w:val="0000"/>
      </w:tblPr>
      <w:tblGrid>
        <w:gridCol w:w="2579"/>
        <w:gridCol w:w="5943"/>
      </w:tblGrid>
      <w:tr w:rsidTr="00E54123">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F44B26">
            <w:pPr>
              <w:pStyle w:val="BodyText"/>
              <w:rPr>
                <w:lang w:val="en-NZ"/>
              </w:rPr>
            </w:pPr>
            <w:r w:rsidRPr="00F44B26">
              <w:rPr>
                <w:rStyle w:val="SpecialBold"/>
              </w:rPr>
              <w:t>RANGE STATEMENT</w:t>
            </w:r>
          </w:p>
        </w:tc>
      </w:tr>
      <w:tr w:rsidTr="00E54123">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F44B26">
            <w:pPr>
              <w:pStyle w:val="BodyText"/>
              <w:rPr>
                <w:lang w:val="en-NZ"/>
              </w:rPr>
            </w:pPr>
            <w:r w:rsidRPr="00F44B26">
              <w:t>The range statement relates to the unit of competency as a whole. It allows for different work environments and situations that may affect performanc</w:t>
            </w:r>
            <w:r w:rsidRPr="00F44B26">
              <w:t>e. Bold italicised wording, if used in the performance criteria, is detailed below. Essential operating conditions that may be present with training and assessment (depending on the work situation, needs of the candidate, accessibility of the item, and loc</w:t>
            </w:r>
            <w:r w:rsidRPr="00F44B26">
              <w:t>al industry and regional contexts) may also be included.</w:t>
            </w:r>
          </w:p>
        </w:tc>
      </w:tr>
      <w:tr w:rsidTr="00E54123">
        <w:tblPrEx>
          <w:tblW w:w="0" w:type="auto"/>
          <w:tblLayout w:type="fixed"/>
          <w:tblCellMar>
            <w:left w:w="62" w:type="dxa"/>
            <w:right w:w="62" w:type="dxa"/>
          </w:tblCellMar>
          <w:tblLook w:val="0000"/>
        </w:tblPrEx>
        <w:tc>
          <w:tcPr>
            <w:tcW w:w="2579" w:type="dxa"/>
            <w:tcBorders>
              <w:top w:val="nil"/>
              <w:left w:val="nil"/>
              <w:bottom w:val="nil"/>
              <w:right w:val="nil"/>
            </w:tcBorders>
            <w:tcMar>
              <w:top w:w="0" w:type="dxa"/>
              <w:left w:w="62" w:type="dxa"/>
              <w:bottom w:w="0" w:type="dxa"/>
              <w:right w:w="62" w:type="dxa"/>
            </w:tcMar>
          </w:tcPr>
          <w:p w:rsidR="00000000" w:rsidP="00F44B26">
            <w:pPr>
              <w:pStyle w:val="BodyText"/>
              <w:rPr>
                <w:lang w:val="en-NZ"/>
              </w:rPr>
            </w:pPr>
            <w:r w:rsidRPr="00F44B26">
              <w:rPr>
                <w:rStyle w:val="BoldandItalics"/>
              </w:rPr>
              <w:t>Legislative and industry requirements</w:t>
            </w:r>
            <w:r w:rsidRPr="00F44B26">
              <w:t xml:space="preserve"> may include:</w:t>
            </w:r>
          </w:p>
        </w:tc>
        <w:tc>
          <w:tcPr>
            <w:tcW w:w="5943" w:type="dxa"/>
            <w:tcBorders>
              <w:top w:val="nil"/>
              <w:left w:val="nil"/>
              <w:bottom w:val="nil"/>
              <w:right w:val="nil"/>
            </w:tcBorders>
            <w:tcMar>
              <w:top w:w="0" w:type="dxa"/>
              <w:left w:w="62" w:type="dxa"/>
              <w:bottom w:w="0" w:type="dxa"/>
              <w:right w:w="62" w:type="dxa"/>
            </w:tcMar>
          </w:tcPr>
          <w:p w:rsidR="00000000" w:rsidRPr="00F44B26" w:rsidP="00F44B26">
            <w:pPr>
              <w:pStyle w:val="ListBullet"/>
            </w:pPr>
            <w:r w:rsidRPr="00F44B26">
              <w:t>dangerous goods regulations</w:t>
            </w:r>
          </w:p>
          <w:p w:rsidR="00000000" w:rsidRPr="00F44B26" w:rsidP="00F44B26">
            <w:pPr>
              <w:pStyle w:val="ListBullet"/>
            </w:pPr>
            <w:r w:rsidRPr="00F44B26">
              <w:t>licensing arrangements</w:t>
            </w:r>
          </w:p>
          <w:p w:rsidR="00000000" w:rsidRPr="00F44B26" w:rsidP="00F44B26">
            <w:pPr>
              <w:pStyle w:val="ListBullet"/>
            </w:pPr>
            <w:r w:rsidRPr="00F44B26">
              <w:t>environmental regulations</w:t>
            </w:r>
          </w:p>
          <w:p w:rsidR="00000000" w:rsidRPr="00F44B26" w:rsidP="00F44B26">
            <w:pPr>
              <w:pStyle w:val="ListBullet"/>
            </w:pPr>
            <w:r w:rsidRPr="00F44B26">
              <w:t>OHS legislation, regulations and codes</w:t>
            </w:r>
          </w:p>
          <w:p w:rsidR="00000000" w:rsidRPr="00F44B26" w:rsidP="00F44B26">
            <w:pPr>
              <w:pStyle w:val="ListBullet"/>
            </w:pPr>
            <w:r w:rsidRPr="00F44B26">
              <w:t>relevant commonwealth and state or territory building Acts, regulations and codes, such as Building Code of Australia (BCA)</w:t>
            </w:r>
          </w:p>
          <w:p w:rsidR="00000000" w:rsidRPr="00F44B26" w:rsidP="00F44B26">
            <w:pPr>
              <w:pStyle w:val="ListBullet"/>
            </w:pPr>
            <w:r w:rsidRPr="00F44B26">
              <w:t>relevant Australian standards, such as:</w:t>
            </w:r>
          </w:p>
          <w:p w:rsidR="00000000" w:rsidRPr="00F44B26" w:rsidP="00F44B26">
            <w:pPr>
              <w:pStyle w:val="ListBullet2"/>
            </w:pPr>
            <w:r w:rsidRPr="00F44B26">
              <w:t>AS 1851 Maintenance of fire protection systems and equipment</w:t>
            </w:r>
          </w:p>
          <w:p w:rsidR="00000000" w:rsidRPr="00F44B26" w:rsidP="00F44B26">
            <w:pPr>
              <w:pStyle w:val="ListBullet2"/>
            </w:pPr>
            <w:r w:rsidRPr="00F44B26">
              <w:t>note: Australian standards are</w:t>
            </w:r>
            <w:r w:rsidRPr="00F44B26">
              <w:t xml:space="preserve"> frequently revised and users must always check for currency and amendments</w:t>
            </w:r>
          </w:p>
          <w:p w:rsidR="00000000" w:rsidRPr="00F44B26" w:rsidP="00F44B26">
            <w:pPr>
              <w:pStyle w:val="ListBullet"/>
            </w:pPr>
            <w:r w:rsidRPr="00F44B26">
              <w:t>other relevant legislation relating to fire suppression equipment, including:</w:t>
            </w:r>
          </w:p>
          <w:p w:rsidR="00000000" w:rsidRPr="00F44B26" w:rsidP="00F44B26">
            <w:pPr>
              <w:pStyle w:val="ListBullet2"/>
            </w:pPr>
            <w:r w:rsidRPr="00F44B26">
              <w:t>international shipping codes</w:t>
            </w:r>
          </w:p>
          <w:p w:rsidR="00000000" w:rsidRPr="00F44B26" w:rsidP="00F44B26">
            <w:pPr>
              <w:pStyle w:val="ListBullet2"/>
            </w:pPr>
            <w:r w:rsidRPr="00F44B26">
              <w:t>marine codes for different Australian states</w:t>
            </w:r>
          </w:p>
          <w:p w:rsidR="00000000" w:rsidP="00F44B26">
            <w:pPr>
              <w:pStyle w:val="ListBullet2"/>
              <w:rPr>
                <w:lang w:val="en-NZ"/>
              </w:rPr>
            </w:pPr>
            <w:r w:rsidRPr="00F44B26">
              <w:t>requirements of Australian petroleum industry.</w:t>
            </w:r>
          </w:p>
        </w:tc>
      </w:tr>
      <w:tr w:rsidTr="00E54123">
        <w:tblPrEx>
          <w:tblW w:w="0" w:type="auto"/>
          <w:tblLayout w:type="fixed"/>
          <w:tblCellMar>
            <w:left w:w="62" w:type="dxa"/>
            <w:right w:w="62" w:type="dxa"/>
          </w:tblCellMar>
          <w:tblLook w:val="0000"/>
        </w:tblPrEx>
        <w:tc>
          <w:tcPr>
            <w:tcW w:w="2579" w:type="dxa"/>
            <w:tcBorders>
              <w:top w:val="nil"/>
              <w:left w:val="nil"/>
              <w:bottom w:val="nil"/>
              <w:right w:val="nil"/>
            </w:tcBorders>
            <w:tcMar>
              <w:top w:w="0" w:type="dxa"/>
              <w:left w:w="62" w:type="dxa"/>
              <w:bottom w:w="0" w:type="dxa"/>
              <w:right w:w="62" w:type="dxa"/>
            </w:tcMar>
          </w:tcPr>
          <w:p w:rsidR="00000000" w:rsidP="00F44B26">
            <w:pPr>
              <w:pStyle w:val="BodyText"/>
              <w:rPr>
                <w:lang w:val="en-NZ"/>
              </w:rPr>
            </w:pPr>
            <w:r w:rsidRPr="00F44B26">
              <w:rPr>
                <w:rStyle w:val="BoldandItalics"/>
              </w:rPr>
              <w:t>Organisational requirements</w:t>
            </w:r>
            <w:r w:rsidRPr="00F44B26">
              <w:t xml:space="preserve"> may be located in quality assurance and procedures manuals and may include:</w:t>
            </w:r>
          </w:p>
        </w:tc>
        <w:tc>
          <w:tcPr>
            <w:tcW w:w="5943" w:type="dxa"/>
            <w:tcBorders>
              <w:top w:val="nil"/>
              <w:left w:val="nil"/>
              <w:bottom w:val="nil"/>
              <w:right w:val="nil"/>
            </w:tcBorders>
            <w:tcMar>
              <w:top w:w="0" w:type="dxa"/>
              <w:left w:w="62" w:type="dxa"/>
              <w:bottom w:w="0" w:type="dxa"/>
              <w:right w:w="62" w:type="dxa"/>
            </w:tcMar>
          </w:tcPr>
          <w:p w:rsidR="00000000" w:rsidRPr="00F44B26" w:rsidP="00F44B26">
            <w:pPr>
              <w:pStyle w:val="ListBullet"/>
            </w:pPr>
            <w:r w:rsidRPr="00F44B26">
              <w:t>client-specific contractual requirements</w:t>
            </w:r>
          </w:p>
          <w:p w:rsidR="00000000" w:rsidRPr="00F44B26" w:rsidP="00F44B26">
            <w:pPr>
              <w:pStyle w:val="ListBullet"/>
            </w:pPr>
            <w:r w:rsidRPr="00F44B26">
              <w:t>documentation and information systems and processes</w:t>
            </w:r>
          </w:p>
          <w:p w:rsidR="00000000" w:rsidRPr="00F44B26" w:rsidP="00F44B26">
            <w:pPr>
              <w:pStyle w:val="ListBullet"/>
            </w:pPr>
            <w:r w:rsidRPr="00F44B26">
              <w:t>legal and o</w:t>
            </w:r>
            <w:r w:rsidRPr="00F44B26">
              <w:t>rganisational policies and guidelines, including personnel practices and guidelines outlining work roles, responsibilities and delegations</w:t>
            </w:r>
          </w:p>
          <w:p w:rsidR="00000000" w:rsidRPr="00F44B26" w:rsidP="00F44B26">
            <w:pPr>
              <w:pStyle w:val="ListBullet"/>
            </w:pPr>
            <w:r w:rsidRPr="00F44B26">
              <w:t>legislation relevant to service operation</w:t>
            </w:r>
          </w:p>
          <w:p w:rsidR="00000000" w:rsidP="00F44B26">
            <w:pPr>
              <w:pStyle w:val="ListBullet"/>
              <w:rPr>
                <w:lang w:val="en-NZ"/>
              </w:rPr>
            </w:pPr>
            <w:r w:rsidRPr="00F44B26">
              <w:t>use of electronic job scheduling and communication devices.</w:t>
            </w:r>
          </w:p>
        </w:tc>
      </w:tr>
      <w:tr w:rsidTr="00E54123">
        <w:tblPrEx>
          <w:tblW w:w="0" w:type="auto"/>
          <w:tblLayout w:type="fixed"/>
          <w:tblCellMar>
            <w:left w:w="62" w:type="dxa"/>
            <w:right w:w="62" w:type="dxa"/>
          </w:tblCellMar>
          <w:tblLook w:val="0000"/>
        </w:tblPrEx>
        <w:tc>
          <w:tcPr>
            <w:tcW w:w="2579" w:type="dxa"/>
            <w:tcBorders>
              <w:top w:val="nil"/>
              <w:left w:val="nil"/>
              <w:bottom w:val="nil"/>
              <w:right w:val="nil"/>
            </w:tcBorders>
            <w:tcMar>
              <w:top w:w="0" w:type="dxa"/>
              <w:left w:w="62" w:type="dxa"/>
              <w:bottom w:w="0" w:type="dxa"/>
              <w:right w:w="62" w:type="dxa"/>
            </w:tcMar>
          </w:tcPr>
          <w:p w:rsidR="00000000" w:rsidP="00F44B26">
            <w:pPr>
              <w:pStyle w:val="BodyText"/>
              <w:rPr>
                <w:lang w:val="en-NZ"/>
              </w:rPr>
            </w:pPr>
            <w:r w:rsidRPr="00F44B26">
              <w:rPr>
                <w:rStyle w:val="BoldandItalics"/>
              </w:rPr>
              <w:t>Water</w:t>
            </w:r>
            <w:r w:rsidRPr="00F44B26">
              <w:t>-</w:t>
            </w:r>
            <w:r w:rsidRPr="00F44B26">
              <w:rPr>
                <w:rStyle w:val="BoldandItalics"/>
              </w:rPr>
              <w:t>based fire</w:t>
            </w:r>
            <w:r w:rsidRPr="00F44B26">
              <w:t>-</w:t>
            </w:r>
            <w:r w:rsidRPr="00F44B26">
              <w:rPr>
                <w:rStyle w:val="BoldandItalics"/>
              </w:rPr>
              <w:t>suppression systems</w:t>
            </w:r>
            <w:r w:rsidRPr="00F44B26">
              <w:t xml:space="preserve"> are defined in AS 2118 Automatic fire sprinkler systems, and include:</w:t>
            </w:r>
          </w:p>
        </w:tc>
        <w:tc>
          <w:tcPr>
            <w:tcW w:w="5943" w:type="dxa"/>
            <w:tcBorders>
              <w:top w:val="nil"/>
              <w:left w:val="nil"/>
              <w:bottom w:val="nil"/>
              <w:right w:val="nil"/>
            </w:tcBorders>
            <w:tcMar>
              <w:top w:w="0" w:type="dxa"/>
              <w:left w:w="62" w:type="dxa"/>
              <w:bottom w:w="0" w:type="dxa"/>
              <w:right w:w="62" w:type="dxa"/>
            </w:tcMar>
          </w:tcPr>
          <w:p w:rsidR="00000000" w:rsidRPr="00F44B26" w:rsidP="00F44B26">
            <w:pPr>
              <w:pStyle w:val="ListBullet"/>
            </w:pPr>
            <w:r w:rsidRPr="00F44B26">
              <w:t>alternate wet or dry systems</w:t>
            </w:r>
          </w:p>
          <w:p w:rsidR="00000000" w:rsidRPr="00F44B26" w:rsidP="00F44B26">
            <w:pPr>
              <w:pStyle w:val="ListBullet"/>
            </w:pPr>
            <w:r w:rsidRPr="00F44B26">
              <w:t>combined sprinkler or hydrant systems</w:t>
            </w:r>
          </w:p>
          <w:p w:rsidR="00000000" w:rsidRPr="00F44B26" w:rsidP="00F44B26">
            <w:pPr>
              <w:pStyle w:val="ListBullet"/>
            </w:pPr>
            <w:r w:rsidRPr="00F44B26">
              <w:t>deluge systems</w:t>
            </w:r>
          </w:p>
          <w:p w:rsidR="00000000" w:rsidRPr="00F44B26" w:rsidP="00F44B26">
            <w:pPr>
              <w:pStyle w:val="ListBullet"/>
            </w:pPr>
            <w:r w:rsidRPr="00F44B26">
              <w:t>dry systems</w:t>
            </w:r>
          </w:p>
          <w:p w:rsidR="00000000" w:rsidRPr="00F44B26" w:rsidP="00F44B26">
            <w:pPr>
              <w:pStyle w:val="ListBullet"/>
            </w:pPr>
            <w:r w:rsidRPr="00F44B26">
              <w:t>pre-action or recycle systems</w:t>
            </w:r>
          </w:p>
          <w:p w:rsidR="00000000" w:rsidRPr="00F44B26" w:rsidP="00F44B26">
            <w:pPr>
              <w:pStyle w:val="ListBullet"/>
            </w:pPr>
            <w:r w:rsidRPr="00F44B26">
              <w:t>residential and domestic system</w:t>
            </w:r>
            <w:r w:rsidRPr="00F44B26">
              <w:t>s</w:t>
            </w:r>
          </w:p>
          <w:p w:rsidR="00000000" w:rsidRPr="00F44B26" w:rsidP="00F44B26">
            <w:pPr>
              <w:pStyle w:val="ListBullet"/>
            </w:pPr>
            <w:r w:rsidRPr="00F44B26">
              <w:t>tail-end systems</w:t>
            </w:r>
          </w:p>
          <w:p w:rsidR="00000000" w:rsidP="00F44B26">
            <w:pPr>
              <w:pStyle w:val="ListBullet"/>
              <w:rPr>
                <w:lang w:val="en-NZ"/>
              </w:rPr>
            </w:pPr>
            <w:r w:rsidRPr="00F44B26">
              <w:t>wet and general systems.</w:t>
            </w:r>
          </w:p>
        </w:tc>
      </w:tr>
      <w:tr w:rsidTr="00E54123">
        <w:tblPrEx>
          <w:tblW w:w="0" w:type="auto"/>
          <w:tblLayout w:type="fixed"/>
          <w:tblCellMar>
            <w:left w:w="62" w:type="dxa"/>
            <w:right w:w="62" w:type="dxa"/>
          </w:tblCellMar>
          <w:tblLook w:val="0000"/>
        </w:tblPrEx>
        <w:tc>
          <w:tcPr>
            <w:tcW w:w="2579" w:type="dxa"/>
            <w:tcBorders>
              <w:top w:val="nil"/>
              <w:left w:val="nil"/>
              <w:bottom w:val="nil"/>
              <w:right w:val="nil"/>
            </w:tcBorders>
            <w:tcMar>
              <w:top w:w="0" w:type="dxa"/>
              <w:left w:w="62" w:type="dxa"/>
              <w:bottom w:w="0" w:type="dxa"/>
              <w:right w:w="62" w:type="dxa"/>
            </w:tcMar>
          </w:tcPr>
          <w:p w:rsidR="00000000" w:rsidP="00F44B26">
            <w:pPr>
              <w:pStyle w:val="BodyText"/>
              <w:rPr>
                <w:lang w:val="en-NZ"/>
              </w:rPr>
            </w:pPr>
            <w:r w:rsidRPr="00F44B26">
              <w:rPr>
                <w:rStyle w:val="BoldandItalics"/>
              </w:rPr>
              <w:t>Key control valves</w:t>
            </w:r>
            <w:r w:rsidRPr="00F44B26">
              <w:t xml:space="preserve"> may include those:</w:t>
            </w:r>
          </w:p>
        </w:tc>
        <w:tc>
          <w:tcPr>
            <w:tcW w:w="5943" w:type="dxa"/>
            <w:tcBorders>
              <w:top w:val="nil"/>
              <w:left w:val="nil"/>
              <w:bottom w:val="nil"/>
              <w:right w:val="nil"/>
            </w:tcBorders>
            <w:tcMar>
              <w:top w:w="0" w:type="dxa"/>
              <w:left w:w="62" w:type="dxa"/>
              <w:bottom w:w="0" w:type="dxa"/>
              <w:right w:w="62" w:type="dxa"/>
            </w:tcMar>
          </w:tcPr>
          <w:p w:rsidR="00000000" w:rsidRPr="00F44B26" w:rsidP="00F44B26">
            <w:pPr>
              <w:pStyle w:val="ListBullet"/>
            </w:pPr>
            <w:r w:rsidRPr="00F44B26">
              <w:t>specified in AS 2118 Automatic fire sprinkler systems</w:t>
            </w:r>
          </w:p>
          <w:p w:rsidR="00000000" w:rsidRPr="00F44B26" w:rsidP="00F44B26">
            <w:pPr>
              <w:pStyle w:val="ListBullet"/>
            </w:pPr>
            <w:r w:rsidRPr="00F44B26">
              <w:t>installed in:</w:t>
            </w:r>
          </w:p>
          <w:p w:rsidR="00000000" w:rsidRPr="00F44B26" w:rsidP="00F44B26">
            <w:pPr>
              <w:pStyle w:val="ListBullet2"/>
            </w:pPr>
            <w:r w:rsidRPr="00F44B26">
              <w:t>associated control valve trim</w:t>
            </w:r>
          </w:p>
          <w:p w:rsidR="00000000" w:rsidP="00F44B26">
            <w:pPr>
              <w:pStyle w:val="ListBullet2"/>
              <w:rPr>
                <w:lang w:val="en-NZ"/>
              </w:rPr>
            </w:pPr>
            <w:r w:rsidRPr="00F44B26">
              <w:t>activation small bore pipework to the alarm and control valve assembly.</w:t>
            </w:r>
          </w:p>
        </w:tc>
      </w:tr>
      <w:tr w:rsidTr="00E54123">
        <w:tblPrEx>
          <w:tblW w:w="0" w:type="auto"/>
          <w:tblLayout w:type="fixed"/>
          <w:tblCellMar>
            <w:left w:w="62" w:type="dxa"/>
            <w:right w:w="62" w:type="dxa"/>
          </w:tblCellMar>
          <w:tblLook w:val="0000"/>
        </w:tblPrEx>
        <w:tc>
          <w:tcPr>
            <w:tcW w:w="2579" w:type="dxa"/>
            <w:tcBorders>
              <w:top w:val="nil"/>
              <w:left w:val="nil"/>
              <w:bottom w:val="nil"/>
              <w:right w:val="nil"/>
            </w:tcBorders>
            <w:tcMar>
              <w:top w:w="0" w:type="dxa"/>
              <w:left w:w="62" w:type="dxa"/>
              <w:bottom w:w="0" w:type="dxa"/>
              <w:right w:w="62" w:type="dxa"/>
            </w:tcMar>
          </w:tcPr>
          <w:p w:rsidR="00000000" w:rsidP="00F44B26">
            <w:pPr>
              <w:pStyle w:val="BodyText"/>
              <w:rPr>
                <w:lang w:val="en-NZ"/>
              </w:rPr>
            </w:pPr>
            <w:r w:rsidRPr="00F44B26">
              <w:rPr>
                <w:rStyle w:val="BoldandItalics"/>
              </w:rPr>
              <w:t>System interfaces</w:t>
            </w:r>
            <w:r w:rsidRPr="00F44B26">
              <w:t xml:space="preserve"> may include:</w:t>
            </w:r>
          </w:p>
        </w:tc>
        <w:tc>
          <w:tcPr>
            <w:tcW w:w="5943" w:type="dxa"/>
            <w:tcBorders>
              <w:top w:val="nil"/>
              <w:left w:val="nil"/>
              <w:bottom w:val="nil"/>
              <w:right w:val="nil"/>
            </w:tcBorders>
            <w:tcMar>
              <w:top w:w="0" w:type="dxa"/>
              <w:left w:w="62" w:type="dxa"/>
              <w:bottom w:w="0" w:type="dxa"/>
              <w:right w:w="62" w:type="dxa"/>
            </w:tcMar>
          </w:tcPr>
          <w:p w:rsidR="00000000" w:rsidRPr="00F44B26" w:rsidP="00F44B26">
            <w:pPr>
              <w:pStyle w:val="ListBullet"/>
            </w:pPr>
            <w:r w:rsidRPr="00F44B26">
              <w:t xml:space="preserve">components, such as: </w:t>
            </w:r>
          </w:p>
          <w:p w:rsidR="00000000" w:rsidRPr="00F44B26" w:rsidP="00F44B26">
            <w:pPr>
              <w:pStyle w:val="ListBullet2"/>
            </w:pPr>
            <w:r w:rsidRPr="00F44B26">
              <w:t>flow switches</w:t>
            </w:r>
          </w:p>
          <w:p w:rsidR="00000000" w:rsidRPr="00F44B26" w:rsidP="00F44B26">
            <w:pPr>
              <w:pStyle w:val="ListBullet2"/>
            </w:pPr>
            <w:r w:rsidRPr="00F44B26">
              <w:t>pressure switches</w:t>
            </w:r>
          </w:p>
          <w:p w:rsidR="00000000" w:rsidRPr="00F44B26" w:rsidP="00F44B26">
            <w:pPr>
              <w:pStyle w:val="ListBullet2"/>
            </w:pPr>
            <w:r w:rsidRPr="00F44B26">
              <w:t>tamper switches</w:t>
            </w:r>
          </w:p>
          <w:p w:rsidR="00000000" w:rsidRPr="00F44B26" w:rsidP="00F44B26">
            <w:pPr>
              <w:pStyle w:val="ListBullet2"/>
            </w:pPr>
            <w:r w:rsidRPr="00F44B26">
              <w:t>valve positioning switches</w:t>
            </w:r>
          </w:p>
          <w:p w:rsidR="00000000" w:rsidRPr="00F44B26" w:rsidP="00F44B26">
            <w:pPr>
              <w:pStyle w:val="ListBullet"/>
            </w:pPr>
            <w:r w:rsidRPr="00F44B26">
              <w:t xml:space="preserve">devices that operate signals between the water-based fire-suppression system and other services, such as: </w:t>
            </w:r>
          </w:p>
          <w:p w:rsidR="00000000" w:rsidRPr="00F44B26" w:rsidP="00F44B26">
            <w:pPr>
              <w:pStyle w:val="ListBullet2"/>
            </w:pPr>
            <w:r w:rsidRPr="00F44B26">
              <w:t>building heating, v</w:t>
            </w:r>
            <w:r w:rsidRPr="00F44B26">
              <w:t>entilation and cooling (HVAC) services</w:t>
            </w:r>
          </w:p>
          <w:p w:rsidR="00000000" w:rsidRPr="00F44B26" w:rsidP="00F44B26">
            <w:pPr>
              <w:pStyle w:val="ListBullet2"/>
            </w:pPr>
            <w:r w:rsidRPr="00F44B26">
              <w:t>fire brigade monitoring providers</w:t>
            </w:r>
          </w:p>
          <w:p w:rsidR="00000000" w:rsidRPr="00F44B26" w:rsidP="00F44B26">
            <w:pPr>
              <w:pStyle w:val="ListBullet2"/>
            </w:pPr>
            <w:r w:rsidRPr="00F44B26">
              <w:t>other life safety systems, such as:</w:t>
            </w:r>
          </w:p>
          <w:p w:rsidR="00000000" w:rsidRPr="00F44B26" w:rsidP="00F44B26">
            <w:pPr>
              <w:pStyle w:val="ListBullet3"/>
            </w:pPr>
            <w:r w:rsidRPr="00F44B26">
              <w:t>warning systems</w:t>
            </w:r>
          </w:p>
          <w:p w:rsidR="00000000" w:rsidP="00F44B26">
            <w:pPr>
              <w:pStyle w:val="ListBullet3"/>
              <w:rPr>
                <w:lang w:val="en-NZ"/>
              </w:rPr>
            </w:pPr>
            <w:r w:rsidRPr="00F44B26">
              <w:t>fire indicator panel (FIP).</w:t>
            </w:r>
          </w:p>
        </w:tc>
      </w:tr>
      <w:tr w:rsidTr="00E54123">
        <w:tblPrEx>
          <w:tblW w:w="0" w:type="auto"/>
          <w:tblLayout w:type="fixed"/>
          <w:tblCellMar>
            <w:left w:w="62" w:type="dxa"/>
            <w:right w:w="62" w:type="dxa"/>
          </w:tblCellMar>
          <w:tblLook w:val="0000"/>
        </w:tblPrEx>
        <w:tc>
          <w:tcPr>
            <w:tcW w:w="2579" w:type="dxa"/>
            <w:tcBorders>
              <w:top w:val="nil"/>
              <w:left w:val="nil"/>
              <w:bottom w:val="nil"/>
              <w:right w:val="nil"/>
            </w:tcBorders>
            <w:tcMar>
              <w:top w:w="0" w:type="dxa"/>
              <w:left w:w="62" w:type="dxa"/>
              <w:bottom w:w="0" w:type="dxa"/>
              <w:right w:w="62" w:type="dxa"/>
            </w:tcMar>
          </w:tcPr>
          <w:p w:rsidR="00000000" w:rsidP="00F44B26">
            <w:pPr>
              <w:pStyle w:val="BodyText"/>
              <w:rPr>
                <w:lang w:val="en-NZ"/>
              </w:rPr>
            </w:pPr>
            <w:r w:rsidRPr="00F44B26">
              <w:rPr>
                <w:rStyle w:val="BoldandItalics"/>
              </w:rPr>
              <w:t>Sustainability principles and concepts</w:t>
            </w:r>
            <w:r w:rsidRPr="00F44B26">
              <w:t>:</w:t>
            </w:r>
          </w:p>
        </w:tc>
        <w:tc>
          <w:tcPr>
            <w:tcW w:w="5943" w:type="dxa"/>
            <w:tcBorders>
              <w:top w:val="nil"/>
              <w:left w:val="nil"/>
              <w:bottom w:val="nil"/>
              <w:right w:val="nil"/>
            </w:tcBorders>
            <w:tcMar>
              <w:top w:w="0" w:type="dxa"/>
              <w:left w:w="62" w:type="dxa"/>
              <w:bottom w:w="0" w:type="dxa"/>
              <w:right w:w="62" w:type="dxa"/>
            </w:tcMar>
          </w:tcPr>
          <w:p w:rsidR="00000000" w:rsidRPr="00F44B26" w:rsidP="00F44B26">
            <w:pPr>
              <w:pStyle w:val="ListBullet"/>
            </w:pPr>
            <w:r w:rsidRPr="00F44B26">
              <w:t>cover the social, economic and environmental use of resources to meet current and future needs</w:t>
            </w:r>
          </w:p>
          <w:p w:rsidR="00000000" w:rsidRPr="00F44B26" w:rsidP="00F44B26">
            <w:pPr>
              <w:pStyle w:val="ListBullet"/>
            </w:pPr>
            <w:r w:rsidRPr="00F44B26">
              <w:t>may include:</w:t>
            </w:r>
          </w:p>
          <w:p w:rsidR="00000000" w:rsidRPr="00F44B26" w:rsidP="00F44B26">
            <w:pPr>
              <w:pStyle w:val="ListBullet3"/>
            </w:pPr>
            <w:r w:rsidRPr="00F44B26">
              <w:t>efficient use of material</w:t>
            </w:r>
          </w:p>
          <w:p w:rsidR="00000000" w:rsidRPr="00F44B26" w:rsidP="00F44B26">
            <w:pPr>
              <w:pStyle w:val="ListBullet3"/>
            </w:pPr>
            <w:r w:rsidRPr="00F44B26">
              <w:t>efficient energy and water use</w:t>
            </w:r>
          </w:p>
          <w:p w:rsidR="00000000" w:rsidP="00F44B26">
            <w:pPr>
              <w:pStyle w:val="ListBullet3"/>
              <w:rPr>
                <w:lang w:val="en-NZ"/>
              </w:rPr>
            </w:pPr>
            <w:r w:rsidRPr="00F44B26">
              <w:t>rain harvesting and disposal.</w:t>
            </w:r>
          </w:p>
        </w:tc>
      </w:tr>
      <w:tr w:rsidTr="00E54123">
        <w:tblPrEx>
          <w:tblW w:w="0" w:type="auto"/>
          <w:tblLayout w:type="fixed"/>
          <w:tblCellMar>
            <w:left w:w="62" w:type="dxa"/>
            <w:right w:w="62" w:type="dxa"/>
          </w:tblCellMar>
          <w:tblLook w:val="0000"/>
        </w:tblPrEx>
        <w:tc>
          <w:tcPr>
            <w:tcW w:w="2579" w:type="dxa"/>
            <w:tcBorders>
              <w:top w:val="nil"/>
              <w:left w:val="nil"/>
              <w:bottom w:val="nil"/>
              <w:right w:val="nil"/>
            </w:tcBorders>
            <w:tcMar>
              <w:top w:w="0" w:type="dxa"/>
              <w:left w:w="62" w:type="dxa"/>
              <w:bottom w:w="0" w:type="dxa"/>
              <w:right w:w="62" w:type="dxa"/>
            </w:tcMar>
          </w:tcPr>
          <w:p w:rsidR="00000000" w:rsidP="00F44B26">
            <w:pPr>
              <w:pStyle w:val="BodyText"/>
              <w:rPr>
                <w:lang w:val="en-NZ"/>
              </w:rPr>
            </w:pPr>
            <w:r w:rsidRPr="00F44B26">
              <w:rPr>
                <w:rStyle w:val="BoldandItalics"/>
              </w:rPr>
              <w:t>Testing procedures</w:t>
            </w:r>
            <w:r w:rsidRPr="00F44B26">
              <w:t xml:space="preserve"> may include:</w:t>
            </w:r>
          </w:p>
        </w:tc>
        <w:tc>
          <w:tcPr>
            <w:tcW w:w="5943" w:type="dxa"/>
            <w:tcBorders>
              <w:top w:val="nil"/>
              <w:left w:val="nil"/>
              <w:bottom w:val="nil"/>
              <w:right w:val="nil"/>
            </w:tcBorders>
            <w:tcMar>
              <w:top w:w="0" w:type="dxa"/>
              <w:left w:w="62" w:type="dxa"/>
              <w:bottom w:w="0" w:type="dxa"/>
              <w:right w:w="62" w:type="dxa"/>
            </w:tcMar>
          </w:tcPr>
          <w:p w:rsidR="00000000" w:rsidRPr="00F44B26" w:rsidP="00F44B26">
            <w:pPr>
              <w:pStyle w:val="ListBullet"/>
            </w:pPr>
            <w:r w:rsidRPr="00F44B26">
              <w:t>organisational procedures f</w:t>
            </w:r>
            <w:r w:rsidRPr="00F44B26">
              <w:t>or conducting testing activities according to AS 1851 Maintenance of fire protection systems and equipment, including procedures for:</w:t>
            </w:r>
          </w:p>
          <w:p w:rsidR="00000000" w:rsidRPr="00F44B26" w:rsidP="00F44B26">
            <w:pPr>
              <w:pStyle w:val="ListBullet2"/>
            </w:pPr>
            <w:r w:rsidRPr="00F44B26">
              <w:t>checking desiccant condition (air dryer or crystals, water separator bowl) and cleaning or replacing as required</w:t>
            </w:r>
          </w:p>
          <w:p w:rsidR="00000000" w:rsidP="00F44B26">
            <w:pPr>
              <w:pStyle w:val="ListBullet2"/>
              <w:rPr>
                <w:lang w:val="en-NZ"/>
              </w:rPr>
            </w:pPr>
            <w:r w:rsidRPr="00F44B26">
              <w:t>checking oil level and visually assessing condition of oil on air compressor.</w:t>
            </w:r>
          </w:p>
        </w:tc>
      </w:tr>
      <w:tr w:rsidTr="00E54123">
        <w:tblPrEx>
          <w:tblW w:w="0" w:type="auto"/>
          <w:tblLayout w:type="fixed"/>
          <w:tblCellMar>
            <w:left w:w="62" w:type="dxa"/>
            <w:right w:w="62" w:type="dxa"/>
          </w:tblCellMar>
          <w:tblLook w:val="0000"/>
        </w:tblPrEx>
        <w:tc>
          <w:tcPr>
            <w:tcW w:w="2579" w:type="dxa"/>
            <w:tcBorders>
              <w:top w:val="nil"/>
              <w:left w:val="nil"/>
              <w:bottom w:val="nil"/>
              <w:right w:val="nil"/>
            </w:tcBorders>
            <w:tcMar>
              <w:top w:w="0" w:type="dxa"/>
              <w:left w:w="62" w:type="dxa"/>
              <w:bottom w:w="0" w:type="dxa"/>
              <w:right w:w="62" w:type="dxa"/>
            </w:tcMar>
          </w:tcPr>
          <w:p w:rsidR="00000000" w:rsidP="00F44B26">
            <w:pPr>
              <w:pStyle w:val="BodyText"/>
              <w:rPr>
                <w:lang w:val="en-NZ"/>
              </w:rPr>
            </w:pPr>
            <w:r w:rsidRPr="00F44B26">
              <w:rPr>
                <w:rStyle w:val="BoldandItalics"/>
              </w:rPr>
              <w:t>Frequency schedules</w:t>
            </w:r>
            <w:r w:rsidRPr="00F44B26">
              <w:t xml:space="preserve"> may include:</w:t>
            </w:r>
          </w:p>
        </w:tc>
        <w:tc>
          <w:tcPr>
            <w:tcW w:w="5943" w:type="dxa"/>
            <w:tcBorders>
              <w:top w:val="nil"/>
              <w:left w:val="nil"/>
              <w:bottom w:val="nil"/>
              <w:right w:val="nil"/>
            </w:tcBorders>
            <w:tcMar>
              <w:top w:w="0" w:type="dxa"/>
              <w:left w:w="62" w:type="dxa"/>
              <w:bottom w:w="0" w:type="dxa"/>
              <w:right w:w="62" w:type="dxa"/>
            </w:tcMar>
          </w:tcPr>
          <w:p w:rsidR="00000000" w:rsidRPr="00F44B26" w:rsidP="00F44B26">
            <w:pPr>
              <w:pStyle w:val="ListBullet"/>
            </w:pPr>
            <w:r w:rsidRPr="00F44B26">
              <w:t>schedules of work conducted at regular frequencies as defined in AS 1851 (general section) that relate to the work scope for weekly, monthly, an</w:t>
            </w:r>
            <w:r w:rsidRPr="00F44B26">
              <w:t>d six-monthly inspection and testing schedules.</w:t>
            </w:r>
          </w:p>
        </w:tc>
      </w:tr>
    </w:tbl>
    <w:p w:rsidR="00E54123" w:rsidP="00F44B26">
      <w:pPr>
        <w:pStyle w:val="BodyText"/>
      </w:pPr>
    </w:p>
    <w:p w:rsidR="00E54123" w:rsidP="00F44B26">
      <w:pPr>
        <w:pStyle w:val="BodyText"/>
      </w:pPr>
    </w:p>
    <w:p w:rsidR="00000000" w:rsidRPr="00F44B26" w:rsidP="00F44B26">
      <w:pPr>
        <w:pStyle w:val="Heading1"/>
      </w:pPr>
      <w:bookmarkStart w:id="12" w:name="O_199661"/>
      <w:bookmarkEnd w:id="12"/>
      <w:r w:rsidRPr="00F44B26">
        <w:t>Unit Sector(s)</w:t>
      </w:r>
    </w:p>
    <w:tbl>
      <w:tblPr>
        <w:tblW w:w="0" w:type="auto"/>
        <w:tblLayout w:type="fixed"/>
        <w:tblCellMar>
          <w:left w:w="62" w:type="dxa"/>
          <w:right w:w="62" w:type="dxa"/>
        </w:tblCellMar>
        <w:tblLook w:val="0000"/>
      </w:tblPr>
      <w:tblGrid>
        <w:gridCol w:w="2649"/>
        <w:gridCol w:w="5873"/>
      </w:tblGrid>
      <w:tr w:rsidTr="00E54123">
        <w:tblPrEx>
          <w:tblW w:w="0" w:type="auto"/>
          <w:tblLayout w:type="fixed"/>
          <w:tblCellMar>
            <w:left w:w="62" w:type="dxa"/>
            <w:right w:w="62" w:type="dxa"/>
          </w:tblCellMar>
          <w:tblLook w:val="0000"/>
        </w:tblPrEx>
        <w:trPr>
          <w:tblHeader/>
        </w:trPr>
        <w:tc>
          <w:tcPr>
            <w:tcW w:w="2649" w:type="dxa"/>
            <w:tcBorders>
              <w:top w:val="nil"/>
              <w:left w:val="nil"/>
              <w:bottom w:val="nil"/>
              <w:right w:val="nil"/>
            </w:tcBorders>
            <w:tcMar>
              <w:top w:w="0" w:type="dxa"/>
              <w:left w:w="62" w:type="dxa"/>
              <w:bottom w:w="0" w:type="dxa"/>
              <w:right w:w="62" w:type="dxa"/>
            </w:tcMar>
          </w:tcPr>
          <w:p w:rsidR="00000000" w:rsidP="00F44B26">
            <w:pPr>
              <w:pStyle w:val="BodyText"/>
              <w:rPr>
                <w:lang w:val="en-NZ"/>
              </w:rPr>
            </w:pPr>
            <w:r w:rsidRPr="00F44B26">
              <w:rPr>
                <w:rStyle w:val="SpecialBold"/>
              </w:rPr>
              <w:t>Unit sector</w:t>
            </w:r>
          </w:p>
        </w:tc>
        <w:tc>
          <w:tcPr>
            <w:tcW w:w="5873" w:type="dxa"/>
            <w:tcBorders>
              <w:top w:val="nil"/>
              <w:left w:val="nil"/>
              <w:bottom w:val="nil"/>
              <w:right w:val="nil"/>
            </w:tcBorders>
            <w:tcMar>
              <w:top w:w="0" w:type="dxa"/>
              <w:left w:w="62" w:type="dxa"/>
              <w:bottom w:w="0" w:type="dxa"/>
              <w:right w:w="62" w:type="dxa"/>
            </w:tcMar>
          </w:tcPr>
          <w:p w:rsidR="00000000" w:rsidRPr="00F44B26" w:rsidP="00F44B26">
            <w:pPr>
              <w:pStyle w:val="BodyText"/>
            </w:pPr>
            <w:r w:rsidRPr="00F44B26">
              <w:t>Plumbing and services</w:t>
            </w:r>
          </w:p>
        </w:tc>
      </w:tr>
    </w:tbl>
    <w:p w:rsidR="00E54123" w:rsidP="00F44B26">
      <w:pPr>
        <w:pStyle w:val="BodyText"/>
      </w:pPr>
    </w:p>
    <w:p w:rsidR="00E54123" w:rsidP="00F44B26">
      <w:pPr>
        <w:pStyle w:val="BodyText"/>
      </w:pPr>
    </w:p>
    <w:p w:rsidR="00000000" w:rsidRPr="00F44B26" w:rsidP="00F44B26">
      <w:pPr>
        <w:pStyle w:val="Heading1"/>
      </w:pPr>
      <w:bookmarkStart w:id="13" w:name="O_199658"/>
      <w:bookmarkEnd w:id="13"/>
      <w:r w:rsidRPr="00F44B26">
        <w:t>Co-requisite units</w:t>
      </w:r>
    </w:p>
    <w:tbl>
      <w:tblPr>
        <w:tblW w:w="0" w:type="auto"/>
        <w:tblLayout w:type="fixed"/>
        <w:tblCellMar>
          <w:left w:w="62" w:type="dxa"/>
          <w:right w:w="62" w:type="dxa"/>
        </w:tblCellMar>
        <w:tblLook w:val="0000"/>
      </w:tblPr>
      <w:tblGrid>
        <w:gridCol w:w="2670"/>
        <w:gridCol w:w="1747"/>
        <w:gridCol w:w="4105"/>
      </w:tblGrid>
      <w:tr w:rsidTr="00E54123">
        <w:tblPrEx>
          <w:tblW w:w="0" w:type="auto"/>
          <w:tblLayout w:type="fixed"/>
          <w:tblCellMar>
            <w:left w:w="62" w:type="dxa"/>
            <w:right w:w="62" w:type="dxa"/>
          </w:tblCellMar>
          <w:tblLook w:val="0000"/>
        </w:tblPrEx>
        <w:trPr>
          <w:tblHeader/>
        </w:trPr>
        <w:tc>
          <w:tcPr>
            <w:tcW w:w="2670" w:type="dxa"/>
            <w:vMerge w:val="restart"/>
            <w:tcBorders>
              <w:top w:val="nil"/>
              <w:left w:val="nil"/>
              <w:bottom w:val="nil"/>
              <w:right w:val="nil"/>
            </w:tcBorders>
            <w:tcMar>
              <w:top w:w="0" w:type="dxa"/>
              <w:left w:w="62" w:type="dxa"/>
              <w:bottom w:w="0" w:type="dxa"/>
              <w:right w:w="62" w:type="dxa"/>
            </w:tcMar>
          </w:tcPr>
          <w:p w:rsidR="00000000" w:rsidP="00F44B26">
            <w:pPr>
              <w:pStyle w:val="BodyText"/>
              <w:rPr>
                <w:lang w:val="en-NZ"/>
              </w:rPr>
            </w:pPr>
            <w:r w:rsidRPr="00F44B26">
              <w:rPr>
                <w:rStyle w:val="SpecialBold"/>
              </w:rPr>
              <w:t>Co-requisite units</w:t>
            </w:r>
          </w:p>
        </w:tc>
        <w:tc>
          <w:tcPr>
            <w:tcW w:w="5852" w:type="dxa"/>
            <w:gridSpan w:val="2"/>
            <w:tcBorders>
              <w:top w:val="nil"/>
              <w:left w:val="nil"/>
              <w:bottom w:val="nil"/>
              <w:right w:val="nil"/>
            </w:tcBorders>
            <w:tcMar>
              <w:top w:w="0" w:type="dxa"/>
              <w:left w:w="62" w:type="dxa"/>
              <w:bottom w:w="0" w:type="dxa"/>
              <w:right w:w="62" w:type="dxa"/>
            </w:tcMar>
          </w:tcPr>
          <w:p w:rsidR="00000000" w:rsidP="00F44B26">
            <w:pPr>
              <w:pStyle w:val="BodyText"/>
              <w:rPr>
                <w:lang w:val="en-NZ"/>
              </w:rPr>
            </w:pPr>
          </w:p>
        </w:tc>
      </w:tr>
      <w:tr w:rsidTr="00E54123">
        <w:tblPrEx>
          <w:tblW w:w="0" w:type="auto"/>
          <w:tblLayout w:type="fixed"/>
          <w:tblCellMar>
            <w:left w:w="62" w:type="dxa"/>
            <w:right w:w="62" w:type="dxa"/>
          </w:tblCellMar>
          <w:tblLook w:val="0000"/>
        </w:tblPrEx>
        <w:tc>
          <w:tcPr>
            <w:tcW w:w="267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05" w:type="dxa"/>
            <w:tcBorders>
              <w:top w:val="nil"/>
              <w:left w:val="nil"/>
              <w:bottom w:val="nil"/>
              <w:right w:val="nil"/>
            </w:tcBorders>
            <w:tcMar>
              <w:top w:w="0" w:type="dxa"/>
              <w:left w:w="62" w:type="dxa"/>
              <w:bottom w:w="0" w:type="dxa"/>
              <w:right w:w="62" w:type="dxa"/>
            </w:tcMar>
          </w:tcPr>
          <w:p w:rsidR="00000000" w:rsidRPr="00F44B26" w:rsidP="00F44B26">
            <w:pPr>
              <w:pStyle w:val="BodyText"/>
            </w:pPr>
          </w:p>
        </w:tc>
      </w:tr>
    </w:tbl>
    <w:p w:rsidR="00E54123" w:rsidP="00F44B26">
      <w:pPr>
        <w:pStyle w:val="BodyText"/>
      </w:pPr>
    </w:p>
    <w:p w:rsidR="00E54123" w:rsidP="00F44B26">
      <w:pPr>
        <w:pStyle w:val="BodyText"/>
      </w:pPr>
    </w:p>
    <w:p w:rsidR="00000000" w:rsidRPr="00F44B26" w:rsidP="00F44B26">
      <w:pPr>
        <w:pStyle w:val="Heading1"/>
      </w:pPr>
      <w:bookmarkStart w:id="14" w:name="O_199660"/>
      <w:bookmarkEnd w:id="14"/>
      <w:r w:rsidRPr="00F44B26">
        <w:t>Competency field</w:t>
      </w:r>
    </w:p>
    <w:tbl>
      <w:tblPr>
        <w:tblW w:w="0" w:type="auto"/>
        <w:tblLayout w:type="fixed"/>
        <w:tblCellMar>
          <w:left w:w="62" w:type="dxa"/>
          <w:right w:w="62" w:type="dxa"/>
        </w:tblCellMar>
        <w:tblLook w:val="0000"/>
      </w:tblPr>
      <w:tblGrid>
        <w:gridCol w:w="2761"/>
        <w:gridCol w:w="5761"/>
      </w:tblGrid>
      <w:tr w:rsidTr="00E54123">
        <w:tblPrEx>
          <w:tblW w:w="0" w:type="auto"/>
          <w:tblLayout w:type="fixed"/>
          <w:tblCellMar>
            <w:left w:w="62" w:type="dxa"/>
            <w:right w:w="62" w:type="dxa"/>
          </w:tblCellMar>
          <w:tblLook w:val="0000"/>
        </w:tblPrEx>
        <w:trPr>
          <w:tblHeader/>
        </w:trPr>
        <w:tc>
          <w:tcPr>
            <w:tcW w:w="2761" w:type="dxa"/>
            <w:tcBorders>
              <w:top w:val="nil"/>
              <w:left w:val="nil"/>
              <w:bottom w:val="nil"/>
              <w:right w:val="nil"/>
            </w:tcBorders>
            <w:tcMar>
              <w:top w:w="0" w:type="dxa"/>
              <w:left w:w="62" w:type="dxa"/>
              <w:bottom w:w="0" w:type="dxa"/>
              <w:right w:w="62" w:type="dxa"/>
            </w:tcMar>
          </w:tcPr>
          <w:p w:rsidR="00000000" w:rsidP="00F44B26">
            <w:pPr>
              <w:pStyle w:val="BodyText"/>
              <w:rPr>
                <w:lang w:val="en-NZ"/>
              </w:rPr>
            </w:pPr>
            <w:r w:rsidRPr="00F44B26">
              <w:rPr>
                <w:rStyle w:val="SpecialBold"/>
              </w:rPr>
              <w:t>Competency field</w:t>
            </w:r>
          </w:p>
        </w:tc>
        <w:tc>
          <w:tcPr>
            <w:tcW w:w="5761" w:type="dxa"/>
            <w:tcBorders>
              <w:top w:val="nil"/>
              <w:left w:val="nil"/>
              <w:bottom w:val="nil"/>
              <w:right w:val="nil"/>
            </w:tcBorders>
            <w:tcMar>
              <w:top w:w="0" w:type="dxa"/>
              <w:left w:w="62" w:type="dxa"/>
              <w:bottom w:w="0" w:type="dxa"/>
              <w:right w:w="62" w:type="dxa"/>
            </w:tcMar>
          </w:tcPr>
          <w:p w:rsidR="00000000" w:rsidRPr="00F44B26" w:rsidP="00F44B26">
            <w:pPr>
              <w:pStyle w:val="BodyText"/>
            </w:pPr>
          </w:p>
        </w:tc>
      </w:tr>
    </w:tbl>
    <w:p w:rsidR="00E54123" w:rsidP="00F44B26">
      <w:pPr>
        <w:pStyle w:val="BodyText"/>
      </w:pPr>
    </w:p>
    <w:p w:rsidR="00E54123" w:rsidP="00F44B26">
      <w:pPr>
        <w:pStyle w:val="BodyText"/>
      </w:pPr>
    </w:p>
    <w:p w:rsidR="00000000" w:rsidRPr="00F44B26" w:rsidP="00F44B26"/>
    <w:sectPr w:rsidSect="00F44B2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B2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54123" w:rsidP="00E5412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B2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4123" w:rsidP="00F44B2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E54123" w:rsidP="00F44B2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E54123" w:rsidP="00F44B2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B2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B26" w:rsidRPr="00E54123" w:rsidP="00E5412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B2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4123" w:rsidRPr="002D2AF8" w:rsidP="00F44B26">
    <w:pPr>
      <w:pStyle w:val="Header"/>
      <w:framePr w:wrap="around"/>
    </w:pPr>
    <w:r>
      <w:fldChar w:fldCharType="begin"/>
    </w:r>
    <w:r>
      <w:instrText xml:space="preserve"> TITLE   \* MERGEFORMAT </w:instrText>
    </w:r>
    <w:r>
      <w:fldChar w:fldCharType="separate"/>
    </w:r>
    <w:r>
      <w:t>CPCPFS3020A Conduct basic functional testing of water-based fire-suppression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E54123" w:rsidP="00F44B2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8885E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3FE7A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E2AB7A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4B2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44B26"/>
    <w:pPr>
      <w:spacing w:before="360" w:after="60"/>
      <w:outlineLvl w:val="0"/>
    </w:pPr>
    <w:rPr>
      <w:sz w:val="32"/>
    </w:rPr>
  </w:style>
  <w:style w:type="paragraph" w:styleId="Heading2">
    <w:name w:val="heading 2"/>
    <w:basedOn w:val="HeadingBase"/>
    <w:next w:val="BodyText"/>
    <w:link w:val="Heading2Char"/>
    <w:qFormat/>
    <w:rsid w:val="00F44B26"/>
    <w:pPr>
      <w:keepLines/>
      <w:spacing w:before="240" w:after="120"/>
      <w:outlineLvl w:val="1"/>
    </w:pPr>
    <w:rPr>
      <w:sz w:val="28"/>
      <w:szCs w:val="40"/>
    </w:rPr>
  </w:style>
  <w:style w:type="paragraph" w:styleId="Heading3">
    <w:name w:val="heading 3"/>
    <w:basedOn w:val="HeadingBase"/>
    <w:next w:val="BodyText"/>
    <w:link w:val="Heading3Char"/>
    <w:qFormat/>
    <w:rsid w:val="00F44B26"/>
    <w:pPr>
      <w:spacing w:before="180" w:after="120"/>
      <w:outlineLvl w:val="2"/>
    </w:pPr>
    <w:rPr>
      <w:spacing w:val="-10"/>
      <w:kern w:val="32"/>
    </w:rPr>
  </w:style>
  <w:style w:type="paragraph" w:styleId="Heading4">
    <w:name w:val="heading 4"/>
    <w:basedOn w:val="HeadingBase"/>
    <w:next w:val="BodyText"/>
    <w:link w:val="Heading4Char"/>
    <w:qFormat/>
    <w:rsid w:val="00F44B26"/>
    <w:pPr>
      <w:spacing w:before="160" w:after="120"/>
      <w:outlineLvl w:val="3"/>
    </w:pPr>
    <w:rPr>
      <w:sz w:val="22"/>
    </w:rPr>
  </w:style>
  <w:style w:type="paragraph" w:styleId="Heading5">
    <w:name w:val="heading 5"/>
    <w:basedOn w:val="HeadingBase"/>
    <w:next w:val="Normal"/>
    <w:link w:val="Heading5Char"/>
    <w:qFormat/>
    <w:rsid w:val="00F44B26"/>
    <w:pPr>
      <w:spacing w:before="80"/>
      <w:outlineLvl w:val="4"/>
    </w:pPr>
    <w:rPr>
      <w:color w:val="918585"/>
      <w:sz w:val="20"/>
    </w:rPr>
  </w:style>
  <w:style w:type="paragraph" w:styleId="Heading6">
    <w:name w:val="heading 6"/>
    <w:basedOn w:val="HeadingBase"/>
    <w:next w:val="Normal"/>
    <w:link w:val="Heading6Char"/>
    <w:qFormat/>
    <w:rsid w:val="00F44B26"/>
    <w:pPr>
      <w:spacing w:before="60"/>
      <w:outlineLvl w:val="5"/>
    </w:pPr>
    <w:rPr>
      <w:color w:val="918585"/>
      <w:sz w:val="20"/>
    </w:rPr>
  </w:style>
  <w:style w:type="paragraph" w:styleId="Heading7">
    <w:name w:val="heading 7"/>
    <w:basedOn w:val="Normal"/>
    <w:next w:val="Normal"/>
    <w:link w:val="Heading7Char"/>
    <w:qFormat/>
    <w:rsid w:val="00F44B26"/>
    <w:pPr>
      <w:ind w:left="720"/>
      <w:outlineLvl w:val="6"/>
    </w:pPr>
    <w:rPr>
      <w:i/>
    </w:rPr>
  </w:style>
  <w:style w:type="paragraph" w:styleId="Heading8">
    <w:name w:val="heading 8"/>
    <w:basedOn w:val="Normal"/>
    <w:next w:val="Normal"/>
    <w:link w:val="Heading8Char"/>
    <w:qFormat/>
    <w:rsid w:val="00F44B26"/>
    <w:pPr>
      <w:ind w:left="720"/>
      <w:outlineLvl w:val="7"/>
    </w:pPr>
    <w:rPr>
      <w:i/>
    </w:rPr>
  </w:style>
  <w:style w:type="paragraph" w:styleId="Heading9">
    <w:name w:val="heading 9"/>
    <w:basedOn w:val="Normal"/>
    <w:next w:val="Normal"/>
    <w:link w:val="Heading9Char"/>
    <w:qFormat/>
    <w:rsid w:val="00F44B26"/>
    <w:pPr>
      <w:ind w:left="720"/>
      <w:outlineLvl w:val="8"/>
    </w:pPr>
    <w:rPr>
      <w:i/>
    </w:rPr>
  </w:style>
  <w:style w:type="character" w:default="1" w:styleId="DefaultParagraphFont">
    <w:name w:val="Default Paragraph Font"/>
    <w:uiPriority w:val="1"/>
    <w:unhideWhenUsed/>
    <w:rsid w:val="00F44B2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44B26"/>
  </w:style>
  <w:style w:type="character" w:customStyle="1" w:styleId="Heading1Char">
    <w:name w:val="Heading 1 Char"/>
    <w:basedOn w:val="DefaultParagraphFont"/>
    <w:link w:val="Heading1"/>
    <w:rsid w:val="00F44B26"/>
    <w:rPr>
      <w:rFonts w:ascii="Times New Roman" w:eastAsia="Times New Roman" w:hAnsi="Times New Roman" w:cs="Times New Roman"/>
      <w:b/>
      <w:sz w:val="32"/>
      <w:szCs w:val="20"/>
      <w:lang w:eastAsia="en-US"/>
    </w:rPr>
  </w:style>
  <w:style w:type="paragraph" w:styleId="BodyText">
    <w:name w:val="Body Text"/>
    <w:basedOn w:val="Normal"/>
    <w:link w:val="BodyTextChar"/>
    <w:rsid w:val="00F44B2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44B26"/>
    <w:rPr>
      <w:rFonts w:ascii="Times New Roman" w:eastAsia="Times New Roman" w:hAnsi="Times New Roman" w:cs="Times New Roman"/>
      <w:sz w:val="24"/>
      <w:lang w:eastAsia="en-US"/>
    </w:rPr>
  </w:style>
  <w:style w:type="paragraph" w:styleId="Footer">
    <w:name w:val="footer"/>
    <w:basedOn w:val="Normal"/>
    <w:link w:val="FooterChar"/>
    <w:rsid w:val="00F44B2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44B26"/>
    <w:rPr>
      <w:rFonts w:ascii="Times New Roman" w:eastAsia="Times New Roman" w:hAnsi="Times New Roman" w:cs="Times New Roman"/>
      <w:sz w:val="16"/>
      <w:lang w:eastAsia="en-US"/>
    </w:rPr>
  </w:style>
  <w:style w:type="paragraph" w:styleId="List">
    <w:name w:val="List"/>
    <w:basedOn w:val="BodyText"/>
    <w:next w:val="BodyText"/>
    <w:rsid w:val="00F44B26"/>
    <w:pPr>
      <w:tabs>
        <w:tab w:val="left" w:pos="340"/>
      </w:tabs>
      <w:spacing w:before="60" w:after="60"/>
      <w:ind w:left="340" w:hanging="340"/>
    </w:pPr>
  </w:style>
  <w:style w:type="paragraph" w:styleId="ListBullet">
    <w:name w:val="List Bullet"/>
    <w:basedOn w:val="List"/>
    <w:rsid w:val="00F44B26"/>
    <w:pPr>
      <w:numPr>
        <w:numId w:val="14"/>
      </w:numPr>
      <w:tabs>
        <w:tab w:val="clear" w:pos="340"/>
      </w:tabs>
      <w:spacing w:before="40" w:after="40"/>
    </w:pPr>
  </w:style>
  <w:style w:type="character" w:customStyle="1" w:styleId="SpecialBold">
    <w:name w:val="Special Bold"/>
    <w:basedOn w:val="DefaultParagraphFont"/>
    <w:rsid w:val="00F44B26"/>
    <w:rPr>
      <w:b/>
      <w:spacing w:val="0"/>
    </w:rPr>
  </w:style>
  <w:style w:type="paragraph" w:styleId="ListBullet2">
    <w:name w:val="List Bullet 2"/>
    <w:basedOn w:val="List2"/>
    <w:rsid w:val="00F44B26"/>
    <w:pPr>
      <w:numPr>
        <w:numId w:val="15"/>
      </w:numPr>
      <w:tabs>
        <w:tab w:val="clear" w:pos="680"/>
      </w:tabs>
    </w:pPr>
  </w:style>
  <w:style w:type="paragraph" w:customStyle="1" w:styleId="SuperHeading">
    <w:name w:val="SuperHeading"/>
    <w:basedOn w:val="Normal"/>
    <w:rsid w:val="00F44B26"/>
    <w:pPr>
      <w:spacing w:before="240" w:after="120"/>
      <w:outlineLvl w:val="0"/>
    </w:pPr>
    <w:rPr>
      <w:rFonts w:ascii="Times New Roman" w:hAnsi="Times New Roman"/>
      <w:b/>
      <w:sz w:val="28"/>
    </w:rPr>
  </w:style>
  <w:style w:type="paragraph" w:customStyle="1" w:styleId="AllowPageBreak">
    <w:name w:val="AllowPageBreak"/>
    <w:rsid w:val="00F44B2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44B26"/>
    <w:pPr>
      <w:tabs>
        <w:tab w:val="left" w:pos="680"/>
      </w:tabs>
      <w:spacing w:before="60" w:after="60"/>
      <w:ind w:left="680" w:hanging="340"/>
    </w:pPr>
  </w:style>
  <w:style w:type="paragraph" w:styleId="ListBullet3">
    <w:name w:val="List Bullet 3"/>
    <w:basedOn w:val="List3"/>
    <w:rsid w:val="00F44B26"/>
    <w:pPr>
      <w:numPr>
        <w:numId w:val="3"/>
      </w:numPr>
      <w:tabs>
        <w:tab w:val="clear" w:pos="1021"/>
      </w:tabs>
      <w:ind w:left="1037" w:hanging="357"/>
    </w:pPr>
  </w:style>
  <w:style w:type="character" w:customStyle="1" w:styleId="BoldandItalics">
    <w:name w:val="Bold and Italics"/>
    <w:qFormat/>
    <w:rsid w:val="00F44B26"/>
    <w:rPr>
      <w:b/>
      <w:i/>
      <w:u w:val="none"/>
    </w:rPr>
  </w:style>
  <w:style w:type="character" w:customStyle="1" w:styleId="Heading2Char">
    <w:name w:val="Heading 2 Char"/>
    <w:basedOn w:val="DefaultParagraphFont"/>
    <w:link w:val="Heading2"/>
    <w:rsid w:val="00F44B2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44B2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44B2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44B2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44B2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44B2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44B2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44B26"/>
    <w:rPr>
      <w:rFonts w:ascii="Courier New" w:eastAsia="Times New Roman" w:hAnsi="Courier New" w:cs="Times New Roman"/>
      <w:i/>
      <w:szCs w:val="20"/>
      <w:lang w:eastAsia="en-US"/>
    </w:rPr>
  </w:style>
  <w:style w:type="paragraph" w:customStyle="1" w:styleId="HeadingBase">
    <w:name w:val="Heading Base"/>
    <w:rsid w:val="00F44B2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44B26"/>
    <w:pPr>
      <w:tabs>
        <w:tab w:val="right" w:leader="dot" w:pos="9072"/>
      </w:tabs>
      <w:ind w:left="567"/>
    </w:pPr>
    <w:rPr>
      <w:szCs w:val="22"/>
    </w:rPr>
  </w:style>
  <w:style w:type="paragraph" w:customStyle="1" w:styleId="TOCBase">
    <w:name w:val="TOC Base"/>
    <w:rsid w:val="00F44B2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44B26"/>
    <w:pPr>
      <w:tabs>
        <w:tab w:val="right" w:leader="dot" w:pos="9072"/>
      </w:tabs>
      <w:spacing w:before="40" w:after="40"/>
      <w:ind w:left="284"/>
    </w:pPr>
    <w:rPr>
      <w:rFonts w:ascii="Times New Roman" w:hAnsi="Times New Roman"/>
    </w:rPr>
  </w:style>
  <w:style w:type="paragraph" w:styleId="TOC1">
    <w:name w:val="toc 1"/>
    <w:basedOn w:val="TOCBase"/>
    <w:next w:val="Normal"/>
    <w:rsid w:val="00F44B2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44B26"/>
    <w:pPr>
      <w:spacing w:before="5040"/>
      <w:jc w:val="center"/>
    </w:pPr>
    <w:rPr>
      <w:sz w:val="48"/>
      <w:szCs w:val="72"/>
      <w:lang w:val="en-US"/>
    </w:rPr>
  </w:style>
  <w:style w:type="character" w:customStyle="1" w:styleId="TitleChar">
    <w:name w:val="Title Char"/>
    <w:basedOn w:val="DefaultParagraphFont"/>
    <w:link w:val="Title"/>
    <w:rsid w:val="00F44B2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44B26"/>
    <w:pPr>
      <w:tabs>
        <w:tab w:val="left" w:pos="3600"/>
        <w:tab w:val="left" w:pos="3958"/>
      </w:tabs>
    </w:pPr>
  </w:style>
  <w:style w:type="paragraph" w:customStyle="1" w:styleId="Note">
    <w:name w:val="Note"/>
    <w:basedOn w:val="BodyText"/>
    <w:rsid w:val="00F44B2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44B26"/>
    <w:pPr>
      <w:framePr w:wrap="auto" w:hAnchor="text" w:y="6049"/>
    </w:pPr>
    <w:rPr>
      <w:color w:val="000000"/>
      <w:sz w:val="40"/>
    </w:rPr>
  </w:style>
  <w:style w:type="paragraph" w:customStyle="1" w:styleId="TOCTitle">
    <w:name w:val="TOCTitle"/>
    <w:basedOn w:val="Heading1"/>
    <w:rsid w:val="00F44B26"/>
    <w:pPr>
      <w:spacing w:after="240"/>
      <w:jc w:val="center"/>
      <w:outlineLvl w:val="9"/>
    </w:pPr>
    <w:rPr>
      <w:caps/>
    </w:rPr>
  </w:style>
  <w:style w:type="paragraph" w:customStyle="1" w:styleId="Version">
    <w:name w:val="Version"/>
    <w:rsid w:val="00F44B2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44B26"/>
    <w:pPr>
      <w:keepNext w:val="0"/>
      <w:tabs>
        <w:tab w:val="right" w:pos="4176"/>
      </w:tabs>
      <w:ind w:left="198" w:hanging="198"/>
    </w:pPr>
    <w:rPr>
      <w:rFonts w:ascii="Garamond" w:hAnsi="Garamond"/>
    </w:rPr>
  </w:style>
  <w:style w:type="paragraph" w:styleId="IndexHeading">
    <w:name w:val="index heading"/>
    <w:basedOn w:val="Normal"/>
    <w:next w:val="Index1"/>
    <w:semiHidden/>
    <w:rsid w:val="00F44B26"/>
    <w:pPr>
      <w:spacing w:before="120" w:after="120"/>
    </w:pPr>
    <w:rPr>
      <w:rFonts w:ascii="Arial" w:hAnsi="Arial"/>
      <w:b/>
      <w:color w:val="918585"/>
      <w:sz w:val="24"/>
    </w:rPr>
  </w:style>
  <w:style w:type="paragraph" w:styleId="Header">
    <w:name w:val="header"/>
    <w:basedOn w:val="Normal"/>
    <w:link w:val="HeaderChar"/>
    <w:rsid w:val="00F44B2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44B26"/>
    <w:rPr>
      <w:rFonts w:ascii="Times New Roman" w:eastAsia="Times New Roman" w:hAnsi="Times New Roman" w:cs="Times New Roman"/>
      <w:sz w:val="16"/>
      <w:szCs w:val="20"/>
      <w:lang w:val="en-GB" w:eastAsia="en-US"/>
    </w:rPr>
  </w:style>
  <w:style w:type="paragraph" w:customStyle="1" w:styleId="Chapter">
    <w:name w:val="Chapter"/>
    <w:basedOn w:val="Normal"/>
    <w:rsid w:val="00F44B26"/>
    <w:pPr>
      <w:spacing w:before="240"/>
    </w:pPr>
    <w:rPr>
      <w:rFonts w:ascii="Times New Roman" w:hAnsi="Times New Roman"/>
      <w:smallCaps/>
      <w:spacing w:val="80"/>
      <w:sz w:val="28"/>
    </w:rPr>
  </w:style>
  <w:style w:type="paragraph" w:customStyle="1" w:styleId="InChapter">
    <w:name w:val="InChapter"/>
    <w:basedOn w:val="Heading3"/>
    <w:rsid w:val="00F44B26"/>
    <w:pPr>
      <w:spacing w:after="240"/>
      <w:outlineLvl w:val="9"/>
    </w:pPr>
    <w:rPr>
      <w:noProof/>
    </w:rPr>
  </w:style>
  <w:style w:type="paragraph" w:styleId="Index2">
    <w:name w:val="index 2"/>
    <w:basedOn w:val="Normal"/>
    <w:next w:val="Normal"/>
    <w:semiHidden/>
    <w:rsid w:val="00F44B26"/>
    <w:pPr>
      <w:tabs>
        <w:tab w:val="right" w:pos="4176"/>
      </w:tabs>
      <w:ind w:left="568" w:hanging="284"/>
    </w:pPr>
    <w:rPr>
      <w:rFonts w:ascii="Garamond" w:hAnsi="Garamond"/>
    </w:rPr>
  </w:style>
  <w:style w:type="paragraph" w:customStyle="1" w:styleId="Byline">
    <w:name w:val="Byline"/>
    <w:rsid w:val="00F44B2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44B26"/>
    <w:pPr>
      <w:tabs>
        <w:tab w:val="clear" w:pos="3600"/>
        <w:tab w:val="clear" w:pos="3958"/>
      </w:tabs>
      <w:jc w:val="right"/>
    </w:pPr>
  </w:style>
  <w:style w:type="character" w:styleId="Emphasis">
    <w:name w:val="Emphasis"/>
    <w:basedOn w:val="DefaultParagraphFont"/>
    <w:qFormat/>
    <w:rsid w:val="00F44B26"/>
    <w:rPr>
      <w:i/>
    </w:rPr>
  </w:style>
  <w:style w:type="paragraph" w:styleId="Caption">
    <w:name w:val="caption"/>
    <w:basedOn w:val="BodyText"/>
    <w:next w:val="Normal"/>
    <w:qFormat/>
    <w:rsid w:val="00F44B26"/>
    <w:pPr>
      <w:framePr w:w="2268" w:hSpace="181" w:vSpace="181" w:wrap="around" w:vAnchor="text" w:hAnchor="page" w:x="1135" w:y="285" w:anchorLock="1"/>
    </w:pPr>
    <w:rPr>
      <w:i/>
    </w:rPr>
  </w:style>
  <w:style w:type="paragraph" w:customStyle="1" w:styleId="MiniTOCTitle">
    <w:name w:val="MiniTOCTitle"/>
    <w:basedOn w:val="Heading4"/>
    <w:rsid w:val="00F44B26"/>
    <w:pPr>
      <w:spacing w:before="240"/>
      <w:outlineLvl w:val="9"/>
    </w:pPr>
    <w:rPr>
      <w:noProof/>
      <w:sz w:val="24"/>
    </w:rPr>
  </w:style>
  <w:style w:type="paragraph" w:customStyle="1" w:styleId="MiniTOCItem">
    <w:name w:val="MiniTOCItem"/>
    <w:basedOn w:val="ListBullet"/>
    <w:rsid w:val="00F44B26"/>
    <w:pPr>
      <w:numPr>
        <w:numId w:val="0"/>
      </w:numPr>
      <w:tabs>
        <w:tab w:val="right" w:leader="dot" w:pos="6521"/>
      </w:tabs>
      <w:spacing w:before="0" w:after="0"/>
    </w:pPr>
  </w:style>
  <w:style w:type="paragraph" w:customStyle="1" w:styleId="TOFTitle">
    <w:name w:val="TOFTitle"/>
    <w:basedOn w:val="TOCTitle"/>
    <w:rsid w:val="00F44B26"/>
  </w:style>
  <w:style w:type="paragraph" w:styleId="TableofFigures">
    <w:name w:val="table of figures"/>
    <w:basedOn w:val="Normal"/>
    <w:next w:val="Normal"/>
    <w:semiHidden/>
    <w:rsid w:val="00F44B26"/>
    <w:pPr>
      <w:tabs>
        <w:tab w:val="right" w:leader="dot" w:pos="9072"/>
      </w:tabs>
      <w:ind w:left="970" w:hanging="403"/>
    </w:pPr>
    <w:rPr>
      <w:rFonts w:ascii="Times New Roman" w:hAnsi="Times New Roman"/>
      <w:b/>
    </w:rPr>
  </w:style>
  <w:style w:type="paragraph" w:styleId="ListNumber">
    <w:name w:val="List Number"/>
    <w:basedOn w:val="List"/>
    <w:rsid w:val="00F44B26"/>
    <w:pPr>
      <w:numPr>
        <w:numId w:val="12"/>
      </w:numPr>
    </w:pPr>
  </w:style>
  <w:style w:type="character" w:customStyle="1" w:styleId="WingdingSymbols">
    <w:name w:val="Wingding Symbols"/>
    <w:rsid w:val="00F44B26"/>
    <w:rPr>
      <w:rFonts w:ascii="Wingdings" w:hAnsi="Wingdings"/>
    </w:rPr>
  </w:style>
  <w:style w:type="paragraph" w:customStyle="1" w:styleId="TableHeading">
    <w:name w:val="Table Heading"/>
    <w:basedOn w:val="HeadingBase"/>
    <w:rsid w:val="00F44B26"/>
    <w:pPr>
      <w:keepLines/>
      <w:pBdr>
        <w:bottom w:val="single" w:sz="6" w:space="1" w:color="918585"/>
      </w:pBdr>
      <w:spacing w:before="240"/>
    </w:pPr>
  </w:style>
  <w:style w:type="character" w:customStyle="1" w:styleId="HotSpot">
    <w:name w:val="HotSpot"/>
    <w:rsid w:val="00F44B26"/>
    <w:rPr>
      <w:color w:val="0033CC"/>
      <w:u w:val="none"/>
    </w:rPr>
  </w:style>
  <w:style w:type="paragraph" w:customStyle="1" w:styleId="BodyTextRight">
    <w:name w:val="Body Text Right"/>
    <w:basedOn w:val="BodyText"/>
    <w:rsid w:val="00F44B26"/>
    <w:pPr>
      <w:spacing w:before="0" w:after="0"/>
      <w:jc w:val="right"/>
    </w:pPr>
  </w:style>
  <w:style w:type="paragraph" w:styleId="Index3">
    <w:name w:val="index 3"/>
    <w:basedOn w:val="ListNumber2"/>
    <w:next w:val="Normal"/>
    <w:semiHidden/>
    <w:rsid w:val="00F44B26"/>
    <w:pPr>
      <w:numPr>
        <w:numId w:val="0"/>
      </w:numPr>
      <w:tabs>
        <w:tab w:val="right" w:leader="dot" w:pos="4176"/>
      </w:tabs>
    </w:pPr>
  </w:style>
  <w:style w:type="paragraph" w:styleId="ListNumber2">
    <w:name w:val="List Number 2"/>
    <w:basedOn w:val="List2"/>
    <w:rsid w:val="00F44B26"/>
    <w:pPr>
      <w:numPr>
        <w:numId w:val="11"/>
      </w:numPr>
      <w:tabs>
        <w:tab w:val="clear" w:pos="1060"/>
      </w:tabs>
    </w:pPr>
  </w:style>
  <w:style w:type="paragraph" w:customStyle="1" w:styleId="MarginNote">
    <w:name w:val="Margin Note"/>
    <w:basedOn w:val="BodyText"/>
    <w:rsid w:val="00F44B2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44B2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44B2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44B26"/>
    <w:rPr>
      <w:sz w:val="32"/>
    </w:rPr>
  </w:style>
  <w:style w:type="paragraph" w:customStyle="1" w:styleId="HeadingProcedure">
    <w:name w:val="Heading Procedure"/>
    <w:basedOn w:val="HeadingBase"/>
    <w:next w:val="Normal"/>
    <w:rsid w:val="00F44B26"/>
    <w:pPr>
      <w:tabs>
        <w:tab w:val="left" w:pos="0"/>
      </w:tabs>
      <w:spacing w:before="120" w:after="60"/>
    </w:pPr>
    <w:rPr>
      <w:i/>
      <w:color w:val="918585"/>
      <w:sz w:val="22"/>
    </w:rPr>
  </w:style>
  <w:style w:type="paragraph" w:customStyle="1" w:styleId="TableBodyText">
    <w:name w:val="Table Body Text"/>
    <w:basedOn w:val="BodyText"/>
    <w:rsid w:val="00F44B26"/>
    <w:pPr>
      <w:spacing w:before="60" w:after="60"/>
    </w:pPr>
  </w:style>
  <w:style w:type="paragraph" w:styleId="ListContinue">
    <w:name w:val="List Continue"/>
    <w:basedOn w:val="List"/>
    <w:rsid w:val="00F44B26"/>
    <w:pPr>
      <w:ind w:firstLine="0"/>
    </w:pPr>
  </w:style>
  <w:style w:type="paragraph" w:customStyle="1" w:styleId="ListNote">
    <w:name w:val="List Note"/>
    <w:basedOn w:val="List"/>
    <w:rsid w:val="00F44B26"/>
    <w:pPr>
      <w:pBdr>
        <w:top w:val="single" w:sz="6" w:space="2" w:color="918585"/>
        <w:bottom w:val="single" w:sz="6" w:space="2" w:color="918585"/>
      </w:pBdr>
      <w:tabs>
        <w:tab w:val="left" w:pos="1021"/>
      </w:tabs>
      <w:ind w:firstLine="0"/>
    </w:pPr>
  </w:style>
  <w:style w:type="paragraph" w:customStyle="1" w:styleId="Warning">
    <w:name w:val="Warning"/>
    <w:basedOn w:val="BodyText"/>
    <w:rsid w:val="00F44B26"/>
    <w:pPr>
      <w:shd w:val="clear" w:color="auto" w:fill="D9D9D9"/>
      <w:tabs>
        <w:tab w:val="left" w:pos="992"/>
      </w:tabs>
      <w:ind w:left="119" w:right="119"/>
    </w:pPr>
    <w:rPr>
      <w:sz w:val="20"/>
    </w:rPr>
  </w:style>
  <w:style w:type="paragraph" w:customStyle="1" w:styleId="MarginIcons">
    <w:name w:val="Margin Icons"/>
    <w:basedOn w:val="BodyText"/>
    <w:rsid w:val="00F44B2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44B26"/>
    <w:rPr>
      <w:rFonts w:ascii="Courier New" w:hAnsi="Courier New"/>
    </w:rPr>
  </w:style>
  <w:style w:type="paragraph" w:customStyle="1" w:styleId="NoteBullet">
    <w:name w:val="Note Bullet"/>
    <w:basedOn w:val="Note"/>
    <w:rsid w:val="00F44B26"/>
    <w:pPr>
      <w:tabs>
        <w:tab w:val="clear" w:pos="680"/>
      </w:tabs>
      <w:spacing w:before="60" w:after="60"/>
    </w:pPr>
  </w:style>
  <w:style w:type="paragraph" w:customStyle="1" w:styleId="SubHeading2">
    <w:name w:val="SubHeading2"/>
    <w:basedOn w:val="HeadingBase"/>
    <w:rsid w:val="00F44B26"/>
    <w:pPr>
      <w:spacing w:before="240" w:after="60"/>
    </w:pPr>
    <w:rPr>
      <w:sz w:val="20"/>
    </w:rPr>
  </w:style>
  <w:style w:type="paragraph" w:customStyle="1" w:styleId="SubHeading1">
    <w:name w:val="SubHeading1"/>
    <w:basedOn w:val="HeadingBase"/>
    <w:rsid w:val="00F44B26"/>
    <w:pPr>
      <w:spacing w:before="240" w:after="60"/>
    </w:pPr>
    <w:rPr>
      <w:color w:val="918585"/>
      <w:sz w:val="22"/>
    </w:rPr>
  </w:style>
  <w:style w:type="paragraph" w:customStyle="1" w:styleId="SideHeading">
    <w:name w:val="Side Heading"/>
    <w:basedOn w:val="HeadingBase"/>
    <w:rsid w:val="00F44B2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44B26"/>
    <w:pPr>
      <w:numPr>
        <w:numId w:val="13"/>
      </w:numPr>
    </w:pPr>
  </w:style>
  <w:style w:type="paragraph" w:styleId="PlainText">
    <w:name w:val="Plain Text"/>
    <w:basedOn w:val="Normal"/>
    <w:link w:val="PlainTextChar"/>
    <w:rsid w:val="00F44B26"/>
    <w:rPr>
      <w:sz w:val="20"/>
    </w:rPr>
  </w:style>
  <w:style w:type="character" w:customStyle="1" w:styleId="PlainTextChar">
    <w:name w:val="Plain Text Char"/>
    <w:basedOn w:val="DefaultParagraphFont"/>
    <w:link w:val="PlainText"/>
    <w:rsid w:val="00F44B26"/>
    <w:rPr>
      <w:rFonts w:ascii="Courier New" w:eastAsia="Times New Roman" w:hAnsi="Courier New" w:cs="Times New Roman"/>
      <w:sz w:val="20"/>
      <w:szCs w:val="20"/>
      <w:lang w:eastAsia="en-US"/>
    </w:rPr>
  </w:style>
  <w:style w:type="character" w:customStyle="1" w:styleId="MenuOption">
    <w:name w:val="Menu Option"/>
    <w:basedOn w:val="DefaultParagraphFont"/>
    <w:rsid w:val="00F44B26"/>
    <w:rPr>
      <w:b/>
      <w:smallCaps/>
    </w:rPr>
  </w:style>
  <w:style w:type="paragraph" w:customStyle="1" w:styleId="TableListNumber">
    <w:name w:val="Table List Number"/>
    <w:basedOn w:val="ListNumber"/>
    <w:rsid w:val="00F44B26"/>
    <w:pPr>
      <w:numPr>
        <w:numId w:val="0"/>
      </w:numPr>
    </w:pPr>
  </w:style>
  <w:style w:type="paragraph" w:styleId="TOC4">
    <w:name w:val="toc 4"/>
    <w:basedOn w:val="TOCBase"/>
    <w:next w:val="Normal"/>
    <w:semiHidden/>
    <w:rsid w:val="00F44B26"/>
    <w:pPr>
      <w:tabs>
        <w:tab w:val="right" w:leader="dot" w:pos="9071"/>
      </w:tabs>
      <w:ind w:left="1701"/>
    </w:pPr>
  </w:style>
  <w:style w:type="paragraph" w:customStyle="1" w:styleId="ListAlpha">
    <w:name w:val="List Alpha"/>
    <w:basedOn w:val="List"/>
    <w:rsid w:val="00F44B26"/>
    <w:pPr>
      <w:numPr>
        <w:numId w:val="10"/>
      </w:numPr>
    </w:pPr>
  </w:style>
  <w:style w:type="paragraph" w:customStyle="1" w:styleId="ListAlpha2">
    <w:name w:val="List Alpha 2"/>
    <w:basedOn w:val="List2"/>
    <w:rsid w:val="00F44B26"/>
    <w:pPr>
      <w:numPr>
        <w:numId w:val="9"/>
      </w:numPr>
    </w:pPr>
  </w:style>
  <w:style w:type="paragraph" w:styleId="List3">
    <w:name w:val="List 3"/>
    <w:basedOn w:val="BodyText"/>
    <w:rsid w:val="00F44B26"/>
    <w:pPr>
      <w:tabs>
        <w:tab w:val="left" w:pos="1021"/>
      </w:tabs>
      <w:spacing w:before="60" w:after="60"/>
      <w:ind w:left="1020" w:hanging="340"/>
    </w:pPr>
  </w:style>
  <w:style w:type="paragraph" w:styleId="List4">
    <w:name w:val="List 4"/>
    <w:basedOn w:val="BodyText"/>
    <w:rsid w:val="00F44B26"/>
    <w:pPr>
      <w:tabs>
        <w:tab w:val="left" w:pos="1361"/>
      </w:tabs>
      <w:spacing w:before="60" w:after="60"/>
      <w:ind w:left="1361" w:hanging="340"/>
    </w:pPr>
  </w:style>
  <w:style w:type="paragraph" w:styleId="List5">
    <w:name w:val="List 5"/>
    <w:basedOn w:val="BodyText"/>
    <w:rsid w:val="00F44B26"/>
    <w:pPr>
      <w:tabs>
        <w:tab w:val="left" w:pos="1701"/>
      </w:tabs>
      <w:spacing w:before="60" w:after="60"/>
      <w:ind w:left="1701" w:hanging="340"/>
    </w:pPr>
  </w:style>
  <w:style w:type="paragraph" w:styleId="ListBullet4">
    <w:name w:val="List Bullet 4"/>
    <w:basedOn w:val="List4"/>
    <w:rsid w:val="00F44B26"/>
    <w:pPr>
      <w:numPr>
        <w:numId w:val="4"/>
      </w:numPr>
    </w:pPr>
  </w:style>
  <w:style w:type="paragraph" w:styleId="ListBullet5">
    <w:name w:val="List Bullet 5"/>
    <w:basedOn w:val="List5"/>
    <w:rsid w:val="00F44B26"/>
    <w:pPr>
      <w:numPr>
        <w:numId w:val="5"/>
      </w:numPr>
    </w:pPr>
  </w:style>
  <w:style w:type="paragraph" w:styleId="ListContinue2">
    <w:name w:val="List Continue 2"/>
    <w:basedOn w:val="List2"/>
    <w:rsid w:val="00F44B26"/>
    <w:pPr>
      <w:ind w:firstLine="0"/>
    </w:pPr>
  </w:style>
  <w:style w:type="paragraph" w:styleId="ListContinue3">
    <w:name w:val="List Continue 3"/>
    <w:basedOn w:val="List3"/>
    <w:rsid w:val="00F44B26"/>
    <w:pPr>
      <w:ind w:left="1021" w:firstLine="0"/>
    </w:pPr>
  </w:style>
  <w:style w:type="paragraph" w:styleId="ListContinue4">
    <w:name w:val="List Continue 4"/>
    <w:basedOn w:val="List4"/>
    <w:rsid w:val="00F44B26"/>
    <w:pPr>
      <w:ind w:firstLine="0"/>
    </w:pPr>
  </w:style>
  <w:style w:type="paragraph" w:styleId="ListContinue5">
    <w:name w:val="List Continue 5"/>
    <w:basedOn w:val="List5"/>
    <w:rsid w:val="00F44B26"/>
    <w:pPr>
      <w:ind w:firstLine="0"/>
    </w:pPr>
  </w:style>
  <w:style w:type="paragraph" w:styleId="ListNumber3">
    <w:name w:val="List Number 3"/>
    <w:basedOn w:val="List3"/>
    <w:rsid w:val="00F44B26"/>
    <w:pPr>
      <w:numPr>
        <w:numId w:val="6"/>
      </w:numPr>
    </w:pPr>
  </w:style>
  <w:style w:type="paragraph" w:styleId="ListNumber4">
    <w:name w:val="List Number 4"/>
    <w:basedOn w:val="List4"/>
    <w:rsid w:val="00F44B26"/>
    <w:pPr>
      <w:numPr>
        <w:numId w:val="7"/>
      </w:numPr>
    </w:pPr>
  </w:style>
  <w:style w:type="paragraph" w:styleId="ListNumber5">
    <w:name w:val="List Number 5"/>
    <w:basedOn w:val="List5"/>
    <w:rsid w:val="00F44B26"/>
    <w:pPr>
      <w:numPr>
        <w:numId w:val="8"/>
      </w:numPr>
    </w:pPr>
  </w:style>
  <w:style w:type="paragraph" w:styleId="BlockText">
    <w:name w:val="Block Text"/>
    <w:basedOn w:val="Normal"/>
    <w:rsid w:val="00F44B26"/>
    <w:pPr>
      <w:spacing w:after="120"/>
      <w:ind w:left="1440" w:right="1440"/>
    </w:pPr>
  </w:style>
  <w:style w:type="character" w:customStyle="1" w:styleId="Subscript">
    <w:name w:val="Subscript"/>
    <w:basedOn w:val="DefaultParagraphFont"/>
    <w:rsid w:val="00F44B26"/>
    <w:rPr>
      <w:sz w:val="16"/>
      <w:vertAlign w:val="subscript"/>
    </w:rPr>
  </w:style>
  <w:style w:type="character" w:customStyle="1" w:styleId="Superscript">
    <w:name w:val="Superscript"/>
    <w:basedOn w:val="DefaultParagraphFont"/>
    <w:rsid w:val="00F44B26"/>
    <w:rPr>
      <w:sz w:val="16"/>
      <w:vertAlign w:val="superscript"/>
    </w:rPr>
  </w:style>
  <w:style w:type="character" w:customStyle="1" w:styleId="Symbols">
    <w:name w:val="Symbols"/>
    <w:basedOn w:val="DefaultParagraphFont"/>
    <w:rsid w:val="00F44B26"/>
    <w:rPr>
      <w:rFonts w:ascii="Symbol" w:hAnsi="Symbol"/>
    </w:rPr>
  </w:style>
  <w:style w:type="character" w:customStyle="1" w:styleId="MenuOptions">
    <w:name w:val="Menu Options"/>
    <w:basedOn w:val="DefaultParagraphFont"/>
    <w:rsid w:val="00F44B26"/>
    <w:rPr>
      <w:rFonts w:ascii="Arial Narrow" w:hAnsi="Arial Narrow"/>
      <w:smallCaps/>
    </w:rPr>
  </w:style>
  <w:style w:type="character" w:customStyle="1" w:styleId="Buttons">
    <w:name w:val="Buttons"/>
    <w:basedOn w:val="DefaultParagraphFont"/>
    <w:rsid w:val="00F44B26"/>
    <w:rPr>
      <w:b/>
    </w:rPr>
  </w:style>
  <w:style w:type="character" w:customStyle="1" w:styleId="Underlined">
    <w:name w:val="Underlined"/>
    <w:basedOn w:val="DefaultParagraphFont"/>
    <w:rsid w:val="00F44B26"/>
    <w:rPr>
      <w:u w:val="single"/>
    </w:rPr>
  </w:style>
  <w:style w:type="paragraph" w:customStyle="1" w:styleId="TableBodyTextRight">
    <w:name w:val="Table Body Text Right"/>
    <w:basedOn w:val="TableBodyText"/>
    <w:rsid w:val="00F44B26"/>
    <w:pPr>
      <w:widowControl w:val="0"/>
      <w:autoSpaceDE w:val="0"/>
      <w:autoSpaceDN w:val="0"/>
      <w:adjustRightInd w:val="0"/>
      <w:jc w:val="right"/>
    </w:pPr>
    <w:rPr>
      <w:rFonts w:cs="Arial"/>
      <w:szCs w:val="18"/>
    </w:rPr>
  </w:style>
  <w:style w:type="paragraph" w:customStyle="1" w:styleId="CopyrightText">
    <w:name w:val="Copyright Text"/>
    <w:basedOn w:val="BodyText"/>
    <w:rsid w:val="00F44B26"/>
    <w:rPr>
      <w:sz w:val="18"/>
    </w:rPr>
  </w:style>
  <w:style w:type="paragraph" w:customStyle="1" w:styleId="BodySmallRight">
    <w:name w:val="Body Small Right"/>
    <w:basedOn w:val="BodyTextRight"/>
    <w:rsid w:val="00F44B26"/>
    <w:rPr>
      <w:sz w:val="18"/>
      <w:szCs w:val="18"/>
    </w:rPr>
  </w:style>
  <w:style w:type="paragraph" w:customStyle="1" w:styleId="MarginEdition">
    <w:name w:val="Margin Edition"/>
    <w:basedOn w:val="MarginNote"/>
    <w:rsid w:val="00F44B26"/>
    <w:pPr>
      <w:spacing w:before="0" w:after="0"/>
    </w:pPr>
    <w:rPr>
      <w:rFonts w:ascii="Times New Roman" w:hAnsi="Times New Roman"/>
      <w:color w:val="999999"/>
    </w:rPr>
  </w:style>
  <w:style w:type="paragraph" w:customStyle="1" w:styleId="Spacer">
    <w:name w:val="Spacer"/>
    <w:basedOn w:val="Normal"/>
    <w:rsid w:val="00F44B26"/>
    <w:rPr>
      <w:sz w:val="2"/>
      <w:szCs w:val="2"/>
    </w:rPr>
  </w:style>
  <w:style w:type="character" w:customStyle="1" w:styleId="Small">
    <w:name w:val="Small"/>
    <w:basedOn w:val="DefaultParagraphFont"/>
    <w:rsid w:val="00F44B26"/>
    <w:rPr>
      <w:sz w:val="16"/>
    </w:rPr>
  </w:style>
  <w:style w:type="paragraph" w:customStyle="1" w:styleId="WideTable">
    <w:name w:val="Wide Table"/>
    <w:basedOn w:val="Normal"/>
    <w:rsid w:val="00F44B26"/>
    <w:pPr>
      <w:ind w:left="-1418"/>
    </w:pPr>
    <w:rPr>
      <w:sz w:val="2"/>
      <w:szCs w:val="2"/>
    </w:rPr>
  </w:style>
  <w:style w:type="character" w:styleId="PageNumber">
    <w:name w:val="page number"/>
    <w:basedOn w:val="DefaultParagraphFont"/>
    <w:rsid w:val="00F44B26"/>
  </w:style>
  <w:style w:type="paragraph" w:styleId="Quote">
    <w:name w:val="Quote"/>
    <w:basedOn w:val="Heading1"/>
    <w:link w:val="QuoteChar"/>
    <w:qFormat/>
    <w:rsid w:val="00F44B26"/>
    <w:rPr>
      <w:b w:val="0"/>
      <w:sz w:val="72"/>
      <w:szCs w:val="72"/>
      <w:lang w:val="en-NZ"/>
    </w:rPr>
  </w:style>
  <w:style w:type="character" w:customStyle="1" w:styleId="QuoteChar">
    <w:name w:val="Quote Char"/>
    <w:basedOn w:val="DefaultParagraphFont"/>
    <w:link w:val="Quote"/>
    <w:rsid w:val="00F44B2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44B26"/>
    <w:pPr>
      <w:pageBreakBefore/>
    </w:pPr>
  </w:style>
  <w:style w:type="paragraph" w:customStyle="1" w:styleId="Border">
    <w:name w:val="Border"/>
    <w:basedOn w:val="Normal"/>
    <w:qFormat/>
    <w:rsid w:val="00F44B2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44B26"/>
    <w:rPr>
      <w:b/>
      <w:bCs/>
      <w:i/>
      <w:iCs/>
      <w:color w:val="auto"/>
    </w:rPr>
  </w:style>
  <w:style w:type="paragraph" w:styleId="IntenseQuote">
    <w:name w:val="Intense Quote"/>
    <w:basedOn w:val="Normal"/>
    <w:next w:val="Normal"/>
    <w:link w:val="IntenseQuoteChar"/>
    <w:uiPriority w:val="30"/>
    <w:qFormat/>
    <w:rsid w:val="00F44B2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44B2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44B26"/>
    <w:rPr>
      <w:smallCaps/>
      <w:color w:val="auto"/>
      <w:u w:val="single"/>
    </w:rPr>
  </w:style>
  <w:style w:type="character" w:styleId="IntenseReference">
    <w:name w:val="Intense Reference"/>
    <w:basedOn w:val="DefaultParagraphFont"/>
    <w:uiPriority w:val="32"/>
    <w:qFormat/>
    <w:rsid w:val="00F44B26"/>
    <w:rPr>
      <w:b/>
      <w:bCs/>
      <w:smallCaps/>
      <w:color w:val="auto"/>
      <w:spacing w:val="5"/>
      <w:u w:val="single"/>
    </w:rPr>
  </w:style>
  <w:style w:type="paragraph" w:customStyle="1" w:styleId="2ColumnHeading">
    <w:name w:val="2Column Heading"/>
    <w:basedOn w:val="BodyText"/>
    <w:qFormat/>
    <w:rsid w:val="00F44B26"/>
    <w:pPr>
      <w:spacing w:after="60"/>
      <w:ind w:left="-2268"/>
    </w:pPr>
    <w:rPr>
      <w:b/>
    </w:rPr>
  </w:style>
  <w:style w:type="paragraph" w:customStyle="1" w:styleId="Heading1TOC">
    <w:name w:val="Heading1 TOC"/>
    <w:basedOn w:val="Normal"/>
    <w:qFormat/>
    <w:rsid w:val="00F44B26"/>
    <w:pPr>
      <w:spacing w:before="240" w:after="120"/>
    </w:pPr>
    <w:rPr>
      <w:rFonts w:ascii="Times New Roman" w:hAnsi="Times New Roman"/>
      <w:b/>
      <w:sz w:val="32"/>
    </w:rPr>
  </w:style>
  <w:style w:type="paragraph" w:customStyle="1" w:styleId="Heading2TOC">
    <w:name w:val="Heading2 TOC"/>
    <w:basedOn w:val="Normal"/>
    <w:qFormat/>
    <w:rsid w:val="00F44B26"/>
    <w:pPr>
      <w:spacing w:before="240" w:after="60"/>
    </w:pPr>
    <w:rPr>
      <w:rFonts w:ascii="Times New Roman" w:hAnsi="Times New Roman"/>
      <w:b/>
      <w:sz w:val="28"/>
    </w:rPr>
  </w:style>
  <w:style w:type="character" w:customStyle="1" w:styleId="Underline">
    <w:name w:val="Underline"/>
    <w:basedOn w:val="DefaultParagraphFont"/>
    <w:qFormat/>
    <w:rsid w:val="00F44B26"/>
    <w:rPr>
      <w:u w:val="single"/>
    </w:rPr>
  </w:style>
  <w:style w:type="paragraph" w:styleId="BalloonText">
    <w:name w:val="Balloon Text"/>
    <w:basedOn w:val="Normal"/>
    <w:link w:val="BalloonTextChar"/>
    <w:rsid w:val="00F44B26"/>
    <w:rPr>
      <w:rFonts w:ascii="Tahoma" w:hAnsi="Tahoma" w:cs="Tahoma"/>
      <w:sz w:val="16"/>
      <w:szCs w:val="16"/>
    </w:rPr>
  </w:style>
  <w:style w:type="character" w:customStyle="1" w:styleId="BalloonTextChar">
    <w:name w:val="Balloon Text Char"/>
    <w:basedOn w:val="DefaultParagraphFont"/>
    <w:link w:val="BalloonText"/>
    <w:rsid w:val="00F44B2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44B2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44B2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44B26"/>
    <w:rPr>
      <w:b/>
      <w:color w:val="660033"/>
      <w:spacing w:val="0"/>
    </w:rPr>
  </w:style>
  <w:style w:type="paragraph" w:customStyle="1" w:styleId="Nameditemlist">
    <w:name w:val="Named item list"/>
    <w:basedOn w:val="BodyText"/>
    <w:qFormat/>
    <w:rsid w:val="00F44B2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1889</Words>
  <Characters>12431</Characters>
  <Application>Microsoft Office Word</Application>
  <DocSecurity>0</DocSecurity>
  <Lines>423</Lines>
  <Paragraphs>227</Paragraphs>
  <ScaleCrop>false</ScaleCrop>
  <Company>Author-it Software Corporation Ltd.</Company>
  <LinksUpToDate>false</LinksUpToDate>
  <CharactersWithSpaces>14233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CPCPFS3020A Conduct basic functional testing of water-based fire-suppression systems</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2012-10-05T16:24:00Z</dcterms:created>
  <dcterms:modified xsi:type="dcterms:W3CDTF">2012-10-05T16:24:00Z</dcterms:modified>
</cp:coreProperties>
</file>