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EFF" w:rsidP="00691EFF">
      <w:pPr>
        <w:pStyle w:val="Title"/>
      </w:pPr>
      <w:r>
        <w:fldChar w:fldCharType="begin"/>
      </w:r>
      <w:r>
        <w:instrText xml:space="preserve"> TITLE   \* MERGEFORMAT </w:instrText>
      </w:r>
      <w:r>
        <w:fldChar w:fldCharType="separate"/>
      </w:r>
      <w:r>
        <w:t>CPCPCM2043A Carry out WHS requirements</w:t>
      </w:r>
      <w:r>
        <w:fldChar w:fldCharType="end"/>
      </w:r>
    </w:p>
    <w:p w:rsidR="00691EFF" w:rsidP="00691EFF">
      <w:pPr>
        <w:pStyle w:val="Version"/>
        <w:sectPr w:rsidSect="00730C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CDA" w:rsidP="00730CDA">
      <w:pPr>
        <w:pStyle w:val="SuperHeading"/>
      </w:pPr>
      <w:r w:rsidRPr="00730CDA">
        <w:t>CPCPCM2043A Carry out WHS requirements</w:t>
      </w:r>
    </w:p>
    <w:p w:rsidR="00000000" w:rsidRPr="00730CDA" w:rsidP="00730CDA">
      <w:pPr>
        <w:pStyle w:val="Heading1"/>
      </w:pPr>
      <w:bookmarkStart w:id="1" w:name="O_500453"/>
      <w:bookmarkEnd w:id="1"/>
      <w:r w:rsidRPr="00730CDA">
        <w:t>Modification History</w:t>
      </w:r>
    </w:p>
    <w:p w:rsidR="00000000" w:rsidRPr="00730CDA" w:rsidP="00730CDA">
      <w:pPr>
        <w:pStyle w:val="BodyText"/>
      </w:pPr>
      <w:r w:rsidRPr="00730CDA">
        <w:t>Changes to application, elements and performance criteria, required skills and knowledge, range statement and critical aspects</w:t>
      </w:r>
    </w:p>
    <w:p w:rsidR="00000000" w:rsidRPr="00730CDA" w:rsidP="00730CDA">
      <w:pPr>
        <w:pStyle w:val="BodyText"/>
      </w:pPr>
      <w:r w:rsidRPr="00730CDA">
        <w:t>Not equivalent to CPCPCM2023A</w:t>
      </w:r>
    </w:p>
    <w:p w:rsidR="00000000" w:rsidRPr="00730CDA" w:rsidP="00730CDA">
      <w:pPr>
        <w:pStyle w:val="AllowPageBreak"/>
      </w:pPr>
    </w:p>
    <w:p w:rsidR="00000000" w:rsidRPr="00730CDA" w:rsidP="00730CDA">
      <w:pPr>
        <w:pStyle w:val="Heading1"/>
      </w:pPr>
      <w:bookmarkStart w:id="2" w:name="O_500454"/>
      <w:bookmarkEnd w:id="2"/>
      <w:r w:rsidRPr="00730CDA">
        <w:t>Unit Descriptor</w:t>
      </w:r>
    </w:p>
    <w:p w:rsidR="00000000" w:rsidRPr="00730CDA" w:rsidP="00730CDA">
      <w:pPr>
        <w:pStyle w:val="BodyText"/>
      </w:pPr>
      <w:r w:rsidRPr="00730CDA">
        <w:t>This unit of competency specifies the outcome</w:t>
      </w:r>
      <w:r w:rsidRPr="00730CDA">
        <w:t>s required to carry out work health and safety (WHS) requirements through safe work practices in a plumbing and services work environment.</w:t>
      </w:r>
    </w:p>
    <w:p w:rsidR="00000000" w:rsidRPr="00730CDA" w:rsidP="00730CDA">
      <w:pPr>
        <w:pStyle w:val="BodyText"/>
      </w:pPr>
      <w:r w:rsidRPr="00730CDA">
        <w:t>The unit requires the performance of work in a safe manner through awareness of risks, work requirements and the plan</w:t>
      </w:r>
      <w:r w:rsidRPr="00730CDA">
        <w:t xml:space="preserve">ning and performance of safe work practices with concern for personal safety and the safety of others. </w:t>
      </w:r>
    </w:p>
    <w:p w:rsidR="00000000" w:rsidRPr="00730CDA" w:rsidP="00730CDA">
      <w:pPr>
        <w:pStyle w:val="BodyText"/>
      </w:pPr>
      <w:r w:rsidRPr="00730CDA">
        <w:t>It includes the initial response to workplace emergencies; the safe use of electricity; the identification of hazardous materials, including asbestos; a</w:t>
      </w:r>
      <w:r w:rsidRPr="00730CDA">
        <w:t>nd compliance with legislated work safety practices.</w:t>
      </w:r>
    </w:p>
    <w:p w:rsidR="00000000" w:rsidRPr="00730CDA" w:rsidP="00730CDA">
      <w:pPr>
        <w:pStyle w:val="AllowPageBreak"/>
      </w:pPr>
    </w:p>
    <w:p w:rsidR="00000000" w:rsidRPr="00730CDA" w:rsidP="00730CDA">
      <w:pPr>
        <w:pStyle w:val="Heading1"/>
      </w:pPr>
      <w:bookmarkStart w:id="3" w:name="O_500455"/>
      <w:bookmarkEnd w:id="3"/>
      <w:r w:rsidRPr="00730CDA">
        <w:t>Application of the Unit</w:t>
      </w:r>
    </w:p>
    <w:p w:rsidR="00000000" w:rsidRPr="00730CDA" w:rsidP="00730CDA">
      <w:pPr>
        <w:pStyle w:val="BodyText"/>
      </w:pPr>
      <w:r w:rsidRPr="00730CDA">
        <w:t>This unit of competency supports safe work practices for the plumbing and services industry.</w:t>
      </w:r>
    </w:p>
    <w:p w:rsidR="00000000" w:rsidRPr="00730CDA" w:rsidP="00730CDA">
      <w:pPr>
        <w:pStyle w:val="BodyText"/>
      </w:pPr>
      <w:r w:rsidRPr="00730CDA">
        <w:t>Site location for work application may be either domestic or commerci</w:t>
      </w:r>
      <w:r w:rsidRPr="00730CDA">
        <w:t xml:space="preserve">al and may be a new work site or an existing structure or fitting being renovated, extended, restored or maintained. It could also be conducted in an on or off-site workshop or at a customer's premises. </w:t>
      </w:r>
    </w:p>
    <w:p w:rsidR="00000000" w:rsidRPr="00730CDA" w:rsidP="00730CDA">
      <w:pPr>
        <w:pStyle w:val="BodyText"/>
      </w:pPr>
      <w:r w:rsidRPr="00730CDA">
        <w:t>The unit does not cover the removal of asbestos, whi</w:t>
      </w:r>
      <w:r w:rsidRPr="00730CDA">
        <w:t>ch is a licensed activity.</w:t>
      </w:r>
    </w:p>
    <w:p w:rsidR="00000000" w:rsidRPr="00730CDA" w:rsidP="00730CDA">
      <w:pPr>
        <w:pStyle w:val="AllowPageBreak"/>
      </w:pPr>
    </w:p>
    <w:p w:rsidR="00000000" w:rsidRPr="00730CDA" w:rsidP="00730CDA">
      <w:pPr>
        <w:pStyle w:val="Heading1"/>
      </w:pPr>
      <w:bookmarkStart w:id="4" w:name="O_500456"/>
      <w:bookmarkEnd w:id="4"/>
      <w:r w:rsidRPr="00730CDA">
        <w:t>Licensing/Regulatory Information</w:t>
      </w:r>
    </w:p>
    <w:p w:rsidR="00000000" w:rsidRPr="00730CDA" w:rsidP="00730CDA">
      <w:pPr>
        <w:pStyle w:val="BodyText"/>
      </w:pPr>
      <w:r w:rsidRPr="00730CDA">
        <w:t>In some jurisdictions, this unit of competency may form part of accreditation, licensing, legislative, regulatory or certification requirements.</w:t>
      </w:r>
    </w:p>
    <w:p w:rsidR="00000000" w:rsidRPr="00730CDA" w:rsidP="00730CDA">
      <w:pPr>
        <w:pStyle w:val="AllowPageBreak"/>
      </w:pPr>
    </w:p>
    <w:p w:rsidR="00000000" w:rsidRPr="00730CDA" w:rsidP="00730CDA">
      <w:pPr>
        <w:pStyle w:val="Heading1"/>
      </w:pPr>
      <w:bookmarkStart w:id="5" w:name="O_500457"/>
      <w:bookmarkEnd w:id="5"/>
      <w:r w:rsidRPr="00730CDA">
        <w:t>Pre-Requisites</w:t>
      </w:r>
    </w:p>
    <w:p w:rsidR="00691EFF" w:rsidP="00730CDA">
      <w:pPr>
        <w:pStyle w:val="BodyText"/>
      </w:pPr>
      <w:r w:rsidRPr="00730CDA">
        <w:t>Ni</w:t>
      </w:r>
      <w:r w:rsidRPr="00730CDA">
        <w:t>l</w:t>
      </w:r>
    </w:p>
    <w:p w:rsidR="00691EFF" w:rsidP="00730CDA">
      <w:pPr>
        <w:pStyle w:val="BodyText"/>
      </w:pPr>
    </w:p>
    <w:p w:rsidR="00000000" w:rsidRPr="00730CDA" w:rsidP="00730CDA">
      <w:pPr>
        <w:pStyle w:val="Heading1"/>
      </w:pPr>
      <w:bookmarkStart w:id="6" w:name="O_500458"/>
      <w:bookmarkEnd w:id="6"/>
      <w:r w:rsidRPr="00730CDA">
        <w:t>Employability Skills Information</w:t>
      </w:r>
    </w:p>
    <w:p w:rsidR="00000000" w:rsidRPr="00730CDA" w:rsidP="00730CDA">
      <w:pPr>
        <w:pStyle w:val="BodyText"/>
      </w:pPr>
      <w:r w:rsidRPr="00730CDA">
        <w:t>This unit contains employability skills.</w:t>
      </w:r>
    </w:p>
    <w:p w:rsidR="00000000" w:rsidRPr="00730CDA" w:rsidP="00730CDA">
      <w:pPr>
        <w:pStyle w:val="AllowPageBreak"/>
      </w:pPr>
    </w:p>
    <w:p w:rsidR="00000000" w:rsidRPr="00730CDA" w:rsidP="00730CDA">
      <w:pPr>
        <w:pStyle w:val="Heading1"/>
      </w:pPr>
      <w:bookmarkStart w:id="7" w:name="O_500459"/>
      <w:bookmarkEnd w:id="7"/>
      <w:r w:rsidRPr="00730CDA">
        <w:t>Elements and Performance Criteria Pre-Content</w:t>
      </w:r>
    </w:p>
    <w:tbl>
      <w:tblPr>
        <w:tblW w:w="0" w:type="auto"/>
        <w:tblLayout w:type="fixed"/>
        <w:tblCellMar>
          <w:left w:w="62" w:type="dxa"/>
          <w:right w:w="62" w:type="dxa"/>
        </w:tblCellMar>
        <w:tblLook w:val="0000"/>
      </w:tblPr>
      <w:tblGrid>
        <w:gridCol w:w="2640"/>
        <w:gridCol w:w="6380"/>
      </w:tblGrid>
      <w:tr w:rsidTr="00730CD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Performance criteria describe the performance needed to demonstrate achievement of the element. Where bold italicised text is used, further information is detailed in the required skills and knowledge section and the range statement. Assessment of performa</w:t>
            </w:r>
            <w:r w:rsidRPr="00730CDA">
              <w:t>nce is to be consistent with the evidence guide.</w:t>
            </w:r>
          </w:p>
        </w:tc>
      </w:tr>
    </w:tbl>
    <w:p w:rsidR="00000000" w:rsidRPr="00730CDA" w:rsidP="00730CDA">
      <w:pPr>
        <w:pStyle w:val="BodyText"/>
      </w:pPr>
    </w:p>
    <w:p w:rsidR="00000000" w:rsidRPr="00730CDA" w:rsidP="00730CDA">
      <w:pPr>
        <w:pStyle w:val="AllowPageBreak"/>
      </w:pPr>
    </w:p>
    <w:p w:rsidR="00000000" w:rsidRPr="00730CDA" w:rsidP="00730CDA">
      <w:pPr>
        <w:pStyle w:val="Heading1"/>
      </w:pPr>
      <w:bookmarkStart w:id="8" w:name="O_500460"/>
      <w:bookmarkEnd w:id="8"/>
      <w:r w:rsidRPr="00730CDA">
        <w:t>Elements and Performance Criteria</w:t>
      </w:r>
    </w:p>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1</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Participate in workplace induction.</w:t>
            </w:r>
          </w:p>
        </w:tc>
        <w:tc>
          <w:tcPr>
            <w:tcW w:w="77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1.1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Workplace induction</w:t>
            </w:r>
            <w:r w:rsidRPr="00730CDA">
              <w:t xml:space="preserve"> is received. </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1.2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Location of emergency equipment is identified.</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1.3</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Current workplace emergency and evacuation procedures are identified.</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1.4</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Identify safe working conditions with employer.</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1.5</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Identify employee and employer rights and responsibilities regarding safe working conditions.</w:t>
            </w:r>
          </w:p>
        </w:tc>
      </w:tr>
    </w:tbl>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2</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Assess risks.</w:t>
            </w: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2.1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 xml:space="preserve">Hazards </w:t>
            </w:r>
            <w:r w:rsidRPr="00730CDA">
              <w:t>in the work area are identified, assessed and reported to designated personnel.</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2.2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WHS issues and risks in the work area are identified, assessed and reported to designated personnel.</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2.3</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Safe work practices</w:t>
            </w:r>
            <w:r w:rsidRPr="00730CDA">
              <w:t xml:space="preserve">, procedures and instructions are followed. </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2.4</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 xml:space="preserve">WHS, hazard, accident or incident reports are completed according to workplace procedures and </w:t>
            </w:r>
            <w:r w:rsidRPr="00730CDA">
              <w:rPr>
                <w:rStyle w:val="BoldandItalics"/>
              </w:rPr>
              <w:t>statutory and regulatory authorities</w:t>
            </w:r>
            <w:r w:rsidRPr="00730CDA">
              <w:t xml:space="preserve"> and legislation. </w:t>
            </w:r>
          </w:p>
        </w:tc>
      </w:tr>
    </w:tbl>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3</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Identify hazards and hazardous materials on work site.</w:t>
            </w: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3.1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Hazardous materials on a work site are identified, secured and tagged using appropriate signs and symbols; and if appropriate, handled and used according to company and legislated procedures.</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3.</w:t>
            </w:r>
            <w:r w:rsidRPr="00730CDA">
              <w:t>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Measures for controlling risks and construction hazards are applied effectively and immediately.</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3.3</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rPr>
                <w:rStyle w:val="BoldandItalics"/>
              </w:rPr>
              <w:t>Asbestos-containing materials (ACM) are identified</w:t>
            </w:r>
            <w:r w:rsidRPr="00730CDA">
              <w:t xml:space="preserve"> on a work site </w:t>
            </w:r>
            <w:r w:rsidRPr="00730CDA">
              <w:rPr>
                <w:rStyle w:val="BoldandItalics"/>
              </w:rPr>
              <w:t>and reported</w:t>
            </w:r>
            <w:r w:rsidRPr="00730CDA">
              <w:t xml:space="preserve"> to designated personnel.</w:t>
            </w:r>
          </w:p>
        </w:tc>
      </w:tr>
    </w:tbl>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4</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Plan and prepare for safe work practices.</w:t>
            </w: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4.1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Quality assurance requirements of company operations and safe work practices are identified and adhered to.</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4.2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Personal protective equipment (PPE) is selected, correctly fitted and used according to the requirements of the job.</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4.3</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Tools and equipment are selected consistent with safe work practice requirements, checked for serviceability, and any faults are reported to supervisor.</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4.4</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Required barricades, hoardings and signage are determined and erected at job location.</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4.5</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Ma</w:t>
            </w:r>
            <w:r w:rsidRPr="00730CDA">
              <w:t>terial safety data sheets (MSDS) are identified and applied.</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4.6</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rPr>
                <w:rStyle w:val="BoldandItalics"/>
              </w:rPr>
              <w:t>Sustainability principles and concepts</w:t>
            </w:r>
            <w:r w:rsidRPr="00730CDA">
              <w:t xml:space="preserve"> are observed when preparing for and undertaking work process.</w:t>
            </w:r>
          </w:p>
        </w:tc>
      </w:tr>
    </w:tbl>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5</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Use safe work practices to carry out work.</w:t>
            </w: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5.1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Work is carried out safely and according to state or territory statutory requirements and company policy.</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5.2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Safety hazards</w:t>
            </w:r>
            <w:r w:rsidRPr="00730CDA">
              <w:rPr>
                <w:rStyle w:val="SpecialBold"/>
              </w:rPr>
              <w:t xml:space="preserve"> </w:t>
            </w:r>
            <w:r w:rsidRPr="00730CDA">
              <w:t xml:space="preserve">and common workplace accidents and incidents are identified in the course of work and reported according to policy. </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5.3</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Indu</w:t>
            </w:r>
            <w:r w:rsidRPr="00730CDA">
              <w:t>stry, site and personal safety rights and responsibilities are applied.</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5.4</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Prohibited tools and equipment in areas with identified asbestos are identified and isolated.</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5.5</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Firefighting equipment is selected and used according to type of fire and correct operating procedures.</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5.6</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Current site emergency and first aid procedures are followed.</w:t>
            </w:r>
          </w:p>
        </w:tc>
      </w:tr>
    </w:tbl>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6</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Maintain safety of self and others.</w:t>
            </w: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6.1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Safety signs, identified in terms of co</w:t>
            </w:r>
            <w:r w:rsidRPr="00730CDA">
              <w:t>lour and shape, symbols and alarms, are adhered to.</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6.2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Hazardous chemicals and materials are identified, handled and stored, maintaining the safety to self, others and the environment.</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6.3</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Incidents are reported according to legislative requirements and workplace procedures.</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6.4</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Common causes of accidents in the industry are identified and prevention measures implemented in line with site induction.</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6.5</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Site area is maintained to prevent incidents and accidents and protect self and others</w:t>
            </w:r>
          </w:p>
        </w:tc>
      </w:tr>
    </w:tbl>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7</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Use electricity safely.</w:t>
            </w: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7.1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Safest supply and route for electrical supply are determined.</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7.2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Leads are supported and placed according to regulations.</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7.3</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Power board visual check is conducted.</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7.4</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Leads and equipment are checked for tags and visual damage.</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7.5</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Electrical hazards are identified and reported.</w:t>
            </w:r>
          </w:p>
        </w:tc>
      </w:tr>
    </w:tbl>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8</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Apply emergency response.</w:t>
            </w:r>
          </w:p>
        </w:tc>
        <w:tc>
          <w:tcPr>
            <w:tcW w:w="77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8.1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Emergencies</w:t>
            </w:r>
            <w:r w:rsidRPr="00730CDA">
              <w:t xml:space="preserve"> are identified. </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8.2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Emergency response</w:t>
            </w:r>
            <w:r w:rsidRPr="00730CDA">
              <w:t xml:space="preserve"> is provided according to company procedures and requirements.</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8.3</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Details of actions taken are reported according to company procedures and requirements using appropriate communications.</w:t>
            </w:r>
          </w:p>
        </w:tc>
      </w:tr>
    </w:tbl>
    <w:p w:rsidR="00000000" w:rsidRPr="00730CDA" w:rsidP="00730CDA">
      <w:pPr>
        <w:pStyle w:val="BodyText"/>
      </w:pPr>
    </w:p>
    <w:tbl>
      <w:tblPr>
        <w:tblW w:w="0" w:type="auto"/>
        <w:tblLayout w:type="fixed"/>
        <w:tblCellMar>
          <w:left w:w="62" w:type="dxa"/>
          <w:right w:w="62" w:type="dxa"/>
        </w:tblCellMar>
        <w:tblLook w:val="0000"/>
      </w:tblPr>
      <w:tblGrid>
        <w:gridCol w:w="678"/>
        <w:gridCol w:w="1962"/>
        <w:gridCol w:w="770"/>
        <w:gridCol w:w="5610"/>
      </w:tblGrid>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9</w:t>
            </w:r>
          </w:p>
        </w:tc>
        <w:tc>
          <w:tcPr>
            <w:tcW w:w="1962" w:type="dxa"/>
            <w:vMerge w:val="restart"/>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Clean up work site area.</w:t>
            </w: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9.1</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Work area is cleared and materials disposed of, reused or recycled according to legislation, regulations, codes of practice and job specifications.</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9.2</w:t>
            </w:r>
          </w:p>
        </w:tc>
        <w:tc>
          <w:tcPr>
            <w:tcW w:w="561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Tools and equipment are cleaned, checked, maintained and stored according to manufacturer recommendat</w:t>
            </w:r>
            <w:r w:rsidRPr="00730CDA">
              <w:t>ions and standard work practices.</w:t>
            </w:r>
          </w:p>
        </w:tc>
      </w:tr>
      <w:tr w:rsidTr="00730C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9.3</w:t>
            </w:r>
          </w:p>
        </w:tc>
        <w:tc>
          <w:tcPr>
            <w:tcW w:w="5610"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Information is accessed and documentation completed according to workplace requirements.</w:t>
            </w:r>
          </w:p>
        </w:tc>
      </w:tr>
    </w:tbl>
    <w:p w:rsidR="00691EFF" w:rsidP="00730CDA">
      <w:pPr>
        <w:pStyle w:val="BodyText"/>
      </w:pPr>
    </w:p>
    <w:p w:rsidR="00691EFF" w:rsidP="00730CDA">
      <w:pPr>
        <w:pStyle w:val="BodyText"/>
      </w:pPr>
    </w:p>
    <w:p w:rsidR="00000000" w:rsidRPr="00730CDA" w:rsidP="00730CDA">
      <w:pPr>
        <w:pStyle w:val="Heading1"/>
      </w:pPr>
      <w:bookmarkStart w:id="9" w:name="O_500461"/>
      <w:bookmarkEnd w:id="9"/>
      <w:r w:rsidRPr="00730CDA">
        <w:t>Required Skills and Knowledge</w:t>
      </w:r>
    </w:p>
    <w:tbl>
      <w:tblPr>
        <w:tblW w:w="0" w:type="auto"/>
        <w:tblLayout w:type="fixed"/>
        <w:tblCellMar>
          <w:left w:w="62" w:type="dxa"/>
          <w:right w:w="62" w:type="dxa"/>
        </w:tblCellMar>
        <w:tblLook w:val="0000"/>
      </w:tblPr>
      <w:tblGrid>
        <w:gridCol w:w="9178"/>
      </w:tblGrid>
      <w:tr w:rsidTr="00730CD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This section describes the skills and knowledge required for this unit.</w:t>
            </w:r>
          </w:p>
        </w:tc>
      </w:tr>
      <w:tr w:rsidTr="00730CD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SpecialBold"/>
              </w:rPr>
              <w:t>Required skills</w:t>
            </w:r>
          </w:p>
        </w:tc>
      </w:tr>
      <w:tr w:rsidTr="00730CD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communication skills to:</w:t>
            </w:r>
          </w:p>
          <w:p w:rsidR="00000000" w:rsidRPr="00730CDA" w:rsidP="00730CDA">
            <w:pPr>
              <w:pStyle w:val="ListBullet2"/>
            </w:pPr>
            <w:r w:rsidRPr="00730CDA">
              <w:t>complete written reports and other relevant documentation</w:t>
            </w:r>
          </w:p>
          <w:p w:rsidR="00000000" w:rsidRPr="00730CDA" w:rsidP="00730CDA">
            <w:pPr>
              <w:pStyle w:val="ListBullet2"/>
            </w:pPr>
            <w:r w:rsidRPr="00730CDA">
              <w:t>enable clear and direct communication, using questioning to identify and confirm requirements, share information, listen and understand</w:t>
            </w:r>
          </w:p>
          <w:p w:rsidR="00000000" w:rsidRPr="00730CDA" w:rsidP="00730CDA">
            <w:pPr>
              <w:pStyle w:val="ListBullet2"/>
            </w:pPr>
            <w:r w:rsidRPr="00730CDA">
              <w:t>use language and concepts appropriate to cultural differences</w:t>
            </w:r>
          </w:p>
          <w:p w:rsidR="00000000" w:rsidRPr="00730CDA" w:rsidP="00730CDA">
            <w:pPr>
              <w:pStyle w:val="ListBullet2"/>
            </w:pPr>
            <w:r w:rsidRPr="00730CDA">
              <w:t>use and interpret non-verbal communication, such as hand signals</w:t>
            </w:r>
          </w:p>
          <w:p w:rsidR="00000000" w:rsidRPr="00730CDA" w:rsidP="00730CDA">
            <w:pPr>
              <w:pStyle w:val="ListBullet"/>
            </w:pPr>
            <w:r w:rsidRPr="00730CDA">
              <w:t>initiative and enterprise skills to:</w:t>
            </w:r>
          </w:p>
          <w:p w:rsidR="00000000" w:rsidRPr="00730CDA" w:rsidP="00730CDA">
            <w:pPr>
              <w:pStyle w:val="ListBullet2"/>
            </w:pPr>
            <w:r w:rsidRPr="00730CDA">
              <w:t>evaluate safety issues in the workplace and determine appropriate action</w:t>
            </w:r>
          </w:p>
          <w:p w:rsidR="00000000" w:rsidRPr="00730CDA" w:rsidP="00730CDA">
            <w:pPr>
              <w:pStyle w:val="ListBullet2"/>
            </w:pPr>
            <w:r w:rsidRPr="00730CDA">
              <w:t>recognise WHS haz</w:t>
            </w:r>
            <w:r w:rsidRPr="00730CDA">
              <w:t xml:space="preserve">ards, including asbestos, and take all opportunities to alleviate safety problems in a variety of construction work sites and environments </w:t>
            </w:r>
          </w:p>
          <w:p w:rsidR="00000000" w:rsidRPr="00730CDA" w:rsidP="00730CDA">
            <w:pPr>
              <w:pStyle w:val="ListBullet"/>
            </w:pPr>
            <w:r w:rsidRPr="00730CDA">
              <w:t xml:space="preserve">initiative and enterprise skills to identify and report to appropriate personnel any faults in tools or materials </w:t>
            </w:r>
          </w:p>
          <w:p w:rsidR="00000000" w:rsidRPr="00730CDA" w:rsidP="00730CDA">
            <w:pPr>
              <w:pStyle w:val="ListBullet"/>
            </w:pPr>
            <w:r w:rsidRPr="00730CDA">
              <w:t>literacy skills to read and interpret:</w:t>
            </w:r>
          </w:p>
          <w:p w:rsidR="00000000" w:rsidRPr="00730CDA" w:rsidP="00730CDA">
            <w:pPr>
              <w:pStyle w:val="ListBullet2"/>
            </w:pPr>
            <w:r w:rsidRPr="00730CDA">
              <w:t>documentation from a variety of sources</w:t>
            </w:r>
          </w:p>
          <w:p w:rsidR="00000000" w:rsidRPr="00730CDA" w:rsidP="00730CDA">
            <w:pPr>
              <w:pStyle w:val="ListBullet2"/>
            </w:pPr>
            <w:r w:rsidRPr="00730CDA">
              <w:t>MSDS</w:t>
            </w:r>
          </w:p>
          <w:p w:rsidR="00000000" w:rsidRPr="00730CDA" w:rsidP="00730CDA">
            <w:pPr>
              <w:pStyle w:val="ListBullet2"/>
            </w:pPr>
            <w:r w:rsidRPr="00730CDA">
              <w:t>work safety procedures and instructions</w:t>
            </w:r>
          </w:p>
          <w:p w:rsidR="00000000" w:rsidRPr="00730CDA" w:rsidP="00730CDA">
            <w:pPr>
              <w:pStyle w:val="ListBullet"/>
            </w:pPr>
            <w:r w:rsidRPr="00730CDA">
              <w:t xml:space="preserve">self-management skills to deal calmly and effectively with any potential safety problems and work closely with other team members </w:t>
            </w:r>
            <w:r w:rsidRPr="00730CDA">
              <w:t>and supervisors to ensure safe working conditions are maintained</w:t>
            </w:r>
          </w:p>
          <w:p w:rsidR="00000000" w:rsidRPr="00730CDA" w:rsidP="00730CDA">
            <w:pPr>
              <w:pStyle w:val="ListBullet"/>
            </w:pPr>
            <w:r w:rsidRPr="00730CDA">
              <w:t>teamwork skills to work with others to action tasks and relate to people from a range of cultural and ethnic backgrounds and with varying physical and mental abilities</w:t>
            </w:r>
          </w:p>
          <w:p w:rsidR="00000000" w:rsidRPr="00730CDA" w:rsidP="00730CDA">
            <w:pPr>
              <w:pStyle w:val="ListBullet"/>
            </w:pPr>
            <w:r w:rsidRPr="00730CDA">
              <w:t>technology skills to:</w:t>
            </w:r>
          </w:p>
          <w:p w:rsidR="00000000" w:rsidRPr="00730CDA" w:rsidP="00730CDA">
            <w:pPr>
              <w:pStyle w:val="ListBullet2"/>
            </w:pPr>
            <w:r w:rsidRPr="00730CDA">
              <w:t>access and understand site-specific instructions in a variety of media</w:t>
            </w:r>
          </w:p>
          <w:p w:rsidR="00000000" w:rsidRPr="00730CDA" w:rsidP="00730CDA">
            <w:pPr>
              <w:pStyle w:val="ListBullet2"/>
            </w:pPr>
            <w:r w:rsidRPr="00730CDA">
              <w:t>use mobile communication technology</w:t>
            </w:r>
          </w:p>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SpecialBold"/>
              </w:rPr>
              <w:t>Required knowledge</w:t>
            </w:r>
          </w:p>
        </w:tc>
      </w:tr>
      <w:tr w:rsidTr="00730CD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asbestos management code relating to prevention of exposure</w:t>
            </w:r>
          </w:p>
          <w:p w:rsidR="00000000" w:rsidRPr="00730CDA" w:rsidP="00730CDA">
            <w:pPr>
              <w:pStyle w:val="ListBullet"/>
            </w:pPr>
            <w:r w:rsidRPr="00730CDA">
              <w:t>job safety analysis (JSA) and safe work method statements (SWMS)</w:t>
            </w:r>
          </w:p>
          <w:p w:rsidR="00000000" w:rsidRPr="00730CDA" w:rsidP="00730CDA">
            <w:pPr>
              <w:pStyle w:val="ListBullet"/>
            </w:pPr>
            <w:r w:rsidRPr="00730CDA">
              <w:t>manual handling techniques</w:t>
            </w:r>
          </w:p>
          <w:p w:rsidR="00000000" w:rsidRPr="00730CDA" w:rsidP="00730CDA">
            <w:pPr>
              <w:pStyle w:val="ListBullet"/>
            </w:pPr>
            <w:r w:rsidRPr="00730CDA">
              <w:t>MSDS</w:t>
            </w:r>
          </w:p>
          <w:p w:rsidR="00000000" w:rsidRPr="00730CDA" w:rsidP="00730CDA">
            <w:pPr>
              <w:pStyle w:val="ListBullet"/>
            </w:pPr>
            <w:r w:rsidRPr="00730CDA">
              <w:t>relevant legislation, regulations and workplace requirements relating to WHS, including hazard reduction and personal safety</w:t>
            </w:r>
          </w:p>
          <w:p w:rsidR="00000000" w:rsidRPr="00730CDA" w:rsidP="00730CDA">
            <w:pPr>
              <w:pStyle w:val="ListBullet"/>
            </w:pPr>
            <w:r w:rsidRPr="00730CDA">
              <w:t>requirements for working in confined spaces and at height, including on rooves</w:t>
            </w:r>
          </w:p>
          <w:p w:rsidR="00000000" w:rsidRPr="00730CDA" w:rsidP="00730CDA">
            <w:pPr>
              <w:pStyle w:val="ListBullet"/>
            </w:pPr>
            <w:r w:rsidRPr="00730CDA">
              <w:t xml:space="preserve">tools and equipment </w:t>
            </w:r>
            <w:r w:rsidRPr="00730CDA">
              <w:t>prohibited from being used near identified ACM</w:t>
            </w:r>
          </w:p>
          <w:p w:rsidR="00000000" w:rsidRPr="00730CDA" w:rsidP="00730CDA">
            <w:pPr>
              <w:pStyle w:val="ListBullet"/>
            </w:pPr>
            <w:r w:rsidRPr="00730CDA">
              <w:t>risk assessment</w:t>
            </w:r>
          </w:p>
          <w:p w:rsidR="00000000" w:rsidRPr="00730CDA" w:rsidP="00730CDA">
            <w:pPr>
              <w:pStyle w:val="ListBullet"/>
            </w:pPr>
            <w:r w:rsidRPr="00730CDA">
              <w:t>safe work practices in normal working environment</w:t>
            </w:r>
          </w:p>
          <w:p w:rsidR="00000000" w:rsidRPr="00730CDA" w:rsidP="00730CDA">
            <w:pPr>
              <w:pStyle w:val="ListBullet"/>
            </w:pPr>
            <w:r w:rsidRPr="00730CDA">
              <w:t>types, possible location and risks of ACM, including serpentine and amphobile groups and their use in common building materials</w:t>
            </w:r>
          </w:p>
          <w:p w:rsidR="00000000" w:rsidRPr="00730CDA" w:rsidP="00730CDA">
            <w:pPr>
              <w:pStyle w:val="ListBullet"/>
            </w:pPr>
            <w:r w:rsidRPr="00730CDA">
              <w:t>workplace and e</w:t>
            </w:r>
            <w:r w:rsidRPr="00730CDA">
              <w:t>quipment safety requirements</w:t>
            </w:r>
          </w:p>
          <w:p w:rsidR="00000000" w:rsidRPr="00730CDA" w:rsidP="00730CDA">
            <w:pPr>
              <w:pStyle w:val="ListBullet"/>
            </w:pPr>
            <w:r w:rsidRPr="00730CDA">
              <w:t>workplace hazards and their precautions and reduction</w:t>
            </w:r>
          </w:p>
          <w:p w:rsidR="00000000" w:rsidRPr="00730CDA" w:rsidP="00730CDA">
            <w:pPr>
              <w:pStyle w:val="ListBullet"/>
            </w:pPr>
            <w:r w:rsidRPr="00730CDA">
              <w:t>workplace response to emergencies</w:t>
            </w:r>
          </w:p>
        </w:tc>
      </w:tr>
    </w:tbl>
    <w:p w:rsidR="00000000" w:rsidRPr="00730CDA" w:rsidP="00730CDA">
      <w:pPr>
        <w:pStyle w:val="BodyText"/>
      </w:pPr>
    </w:p>
    <w:p w:rsidR="00000000" w:rsidRPr="00730CDA" w:rsidP="00730CDA">
      <w:pPr>
        <w:pStyle w:val="AllowPageBreak"/>
      </w:pPr>
    </w:p>
    <w:p w:rsidR="00000000" w:rsidRPr="00730CDA" w:rsidP="00730CDA">
      <w:pPr>
        <w:pStyle w:val="Heading1"/>
      </w:pPr>
      <w:bookmarkStart w:id="10" w:name="O_500462"/>
      <w:bookmarkEnd w:id="10"/>
      <w:r w:rsidRPr="00730CDA">
        <w:t>Evidence Guide</w:t>
      </w:r>
    </w:p>
    <w:tbl>
      <w:tblPr>
        <w:tblW w:w="0" w:type="auto"/>
        <w:tblLayout w:type="fixed"/>
        <w:tblCellMar>
          <w:left w:w="62" w:type="dxa"/>
          <w:right w:w="62" w:type="dxa"/>
        </w:tblCellMar>
        <w:tblLook w:val="0000"/>
      </w:tblPr>
      <w:tblGrid>
        <w:gridCol w:w="3692"/>
        <w:gridCol w:w="5486"/>
      </w:tblGrid>
      <w:tr w:rsidTr="00730CD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30CDA">
            <w:pPr>
              <w:pStyle w:val="BodyText"/>
              <w:rPr>
                <w:lang w:val="en-NZ"/>
              </w:rPr>
            </w:pPr>
            <w:r w:rsidRPr="00730CDA">
              <w:t>The evidence guide provides advice on assessment and must be read in conjunction with the performance criteria, required skills and knowledge, range statement and the Assessment Guidelines for the Training Package.</w:t>
            </w:r>
          </w:p>
        </w:tc>
      </w:tr>
      <w:tr w:rsidTr="00730CD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t>This unit of com</w:t>
            </w:r>
            <w:r w:rsidRPr="00730CDA">
              <w:t>petency could be assessed in the workplace or a close simulation of the workplace environment providing that simulated or project-based assessment techniques fully replicate plumbing and services workplace conditions, materials, activities, responsibilitie</w:t>
            </w:r>
            <w:r w:rsidRPr="00730CDA">
              <w:t xml:space="preserve">s and procedures. </w:t>
            </w:r>
          </w:p>
        </w:tc>
      </w:tr>
      <w:tr w:rsidTr="00730CD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A person who demonstrates competency in this unit must be able to provide evidence of the ability to:</w:t>
            </w:r>
          </w:p>
          <w:p w:rsidR="00000000" w:rsidRPr="00730CDA" w:rsidP="00730CDA">
            <w:pPr>
              <w:pStyle w:val="ListBullet"/>
            </w:pPr>
            <w:r w:rsidRPr="00730CDA">
              <w:t>locate, interpret and apply relevant inf</w:t>
            </w:r>
            <w:r w:rsidRPr="00730CDA">
              <w:t>ormation, standards and specifications for applying safe work practices in the workplace</w:t>
            </w:r>
          </w:p>
          <w:p w:rsidR="00000000" w:rsidRPr="00730CDA" w:rsidP="00730CDA">
            <w:pPr>
              <w:pStyle w:val="ListBullet"/>
            </w:pPr>
            <w:r w:rsidRPr="00730CDA">
              <w:t>apply safety requirements throughout the performance of work sequences, including electrical requirements and personal protective clothing and equipment</w:t>
            </w:r>
          </w:p>
          <w:p w:rsidR="00000000" w:rsidRPr="00730CDA" w:rsidP="00730CDA">
            <w:pPr>
              <w:pStyle w:val="ListBullet"/>
            </w:pPr>
            <w:r w:rsidRPr="00730CDA">
              <w:t>apply sustainability principles and concepts</w:t>
            </w:r>
          </w:p>
          <w:p w:rsidR="00000000" w:rsidRPr="00730CDA" w:rsidP="00730CDA">
            <w:pPr>
              <w:pStyle w:val="ListBullet"/>
            </w:pPr>
            <w:r w:rsidRPr="00730CDA">
              <w:t>undertake site and workplace induction</w:t>
            </w:r>
          </w:p>
          <w:p w:rsidR="00000000" w:rsidRPr="00730CDA" w:rsidP="00730CDA">
            <w:pPr>
              <w:pStyle w:val="ListBullet"/>
            </w:pPr>
            <w:r w:rsidRPr="00730CDA">
              <w:t>correctly identify the location of ACM</w:t>
            </w:r>
          </w:p>
          <w:p w:rsidR="00000000" w:rsidRPr="00730CDA" w:rsidP="00730CDA">
            <w:pPr>
              <w:pStyle w:val="ListBullet"/>
            </w:pPr>
            <w:r w:rsidRPr="00730CDA">
              <w:t>understand and apply policies and procedures for reporting presence of ACM to designated personnel</w:t>
            </w:r>
          </w:p>
          <w:p w:rsidR="00000000" w:rsidRPr="00730CDA" w:rsidP="00730CDA">
            <w:pPr>
              <w:pStyle w:val="ListBullet"/>
            </w:pPr>
            <w:r w:rsidRPr="00730CDA">
              <w:t>assess workplace risks and interpr</w:t>
            </w:r>
            <w:r w:rsidRPr="00730CDA">
              <w:t>et and apply safe work practices</w:t>
            </w:r>
          </w:p>
          <w:p w:rsidR="00000000" w:rsidRPr="00730CDA" w:rsidP="00730CDA">
            <w:pPr>
              <w:pStyle w:val="ListBullet"/>
            </w:pPr>
            <w:r w:rsidRPr="00730CDA">
              <w:t>understand workplace requirements for emergency response, including evacuation procedures</w:t>
            </w:r>
          </w:p>
          <w:p w:rsidR="00000000" w:rsidRPr="00730CDA" w:rsidP="00730CDA">
            <w:pPr>
              <w:pStyle w:val="ListBullet"/>
            </w:pPr>
            <w:r w:rsidRPr="00730CDA">
              <w:t>correctly locate and identify workplace firefighting and other safety equipment and appliances</w:t>
            </w:r>
          </w:p>
          <w:p w:rsidR="00000000" w:rsidRPr="00730CDA" w:rsidP="00730CDA">
            <w:pPr>
              <w:pStyle w:val="ListBullet"/>
            </w:pPr>
            <w:r w:rsidRPr="00730CDA">
              <w:t>correctly select and use appropriate p</w:t>
            </w:r>
            <w:r w:rsidRPr="00730CDA">
              <w:t xml:space="preserve">rocesses, tools </w:t>
            </w:r>
            <w:r w:rsidRPr="00730CDA">
              <w:t>and equipment</w:t>
            </w:r>
          </w:p>
          <w:p w:rsidR="00000000" w:rsidRPr="00730CDA" w:rsidP="00730CDA">
            <w:pPr>
              <w:pStyle w:val="ListBullet"/>
            </w:pPr>
            <w:r w:rsidRPr="00730CDA">
              <w:t>safely complete all work to specification</w:t>
            </w:r>
          </w:p>
          <w:p w:rsidR="00000000" w:rsidRPr="00730CDA" w:rsidP="00730CDA">
            <w:pPr>
              <w:pStyle w:val="ListBullet"/>
            </w:pPr>
            <w:r w:rsidRPr="00730CDA">
              <w:t>comply with regulations, standards and workplace instructions, procedures and processes, including reporting and documentation</w:t>
            </w:r>
          </w:p>
          <w:p w:rsidR="00000000" w:rsidP="00730CDA">
            <w:pPr>
              <w:pStyle w:val="ListBullet"/>
              <w:rPr>
                <w:lang w:val="en-NZ"/>
              </w:rPr>
            </w:pPr>
            <w:r w:rsidRPr="00730CDA">
              <w:t>communicate and work effectively and safely with others.</w:t>
            </w:r>
          </w:p>
        </w:tc>
      </w:tr>
      <w:tr w:rsidTr="00730CD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SpecialBold"/>
              </w:rPr>
              <w:t>Context of and specific resources for assessment</w:t>
            </w:r>
          </w:p>
        </w:tc>
        <w:tc>
          <w:tcPr>
            <w:tcW w:w="5486"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This competency is to be assessed using standard and authorised work practices, safety requirements and environmental constraints.</w:t>
            </w:r>
          </w:p>
          <w:p w:rsidR="00000000" w:rsidRPr="00730CDA" w:rsidP="00730CDA">
            <w:pPr>
              <w:pStyle w:val="BodyText"/>
            </w:pPr>
            <w:r w:rsidRPr="00730CDA">
              <w:t>Assessment of essential underpinning knowledge will usually be conducted in an off-site context.</w:t>
            </w:r>
          </w:p>
          <w:p w:rsidR="00000000" w:rsidRPr="00730CDA" w:rsidP="00730CDA">
            <w:pPr>
              <w:pStyle w:val="BodyText"/>
            </w:pPr>
            <w:r w:rsidRPr="00730CDA">
              <w:t>Assessment is to comply with relevant regulatory or Australian standards' requirements.</w:t>
            </w:r>
          </w:p>
          <w:p w:rsidR="00000000" w:rsidRPr="00730CDA" w:rsidP="00730CDA">
            <w:pPr>
              <w:pStyle w:val="BodyText"/>
            </w:pPr>
            <w:r w:rsidRPr="00730CDA">
              <w:t>Resource implications for assessment include:</w:t>
            </w:r>
          </w:p>
          <w:p w:rsidR="00000000" w:rsidRPr="00730CDA" w:rsidP="00730CDA">
            <w:pPr>
              <w:pStyle w:val="ListBullet"/>
            </w:pPr>
            <w:r w:rsidRPr="00730CDA">
              <w:t>an induction procedure a</w:t>
            </w:r>
            <w:r w:rsidRPr="00730CDA">
              <w:t>nd requirement</w:t>
            </w:r>
          </w:p>
          <w:p w:rsidR="00000000" w:rsidRPr="00730CDA" w:rsidP="00730CDA">
            <w:pPr>
              <w:pStyle w:val="ListBullet"/>
            </w:pPr>
            <w:r w:rsidRPr="00730CDA">
              <w:t>realistic tasks or simulated tasks covering the minimum task requirements</w:t>
            </w:r>
          </w:p>
          <w:p w:rsidR="00000000" w:rsidRPr="00730CDA" w:rsidP="00730CDA">
            <w:pPr>
              <w:pStyle w:val="ListBullet"/>
            </w:pPr>
            <w:r w:rsidRPr="00730CDA">
              <w:t>relevant specifications and work instructions</w:t>
            </w:r>
          </w:p>
          <w:p w:rsidR="00000000" w:rsidRPr="00730CDA" w:rsidP="00730CDA">
            <w:pPr>
              <w:pStyle w:val="ListBullet"/>
            </w:pPr>
            <w:r w:rsidRPr="00730CDA">
              <w:t>tools and equipment appropriate to applying safe work practices</w:t>
            </w:r>
          </w:p>
          <w:p w:rsidR="00000000" w:rsidRPr="00730CDA" w:rsidP="00730CDA">
            <w:pPr>
              <w:pStyle w:val="ListBullet"/>
            </w:pPr>
            <w:r w:rsidRPr="00730CDA">
              <w:t>support materials appropriate to activity</w:t>
            </w:r>
          </w:p>
          <w:p w:rsidR="00000000" w:rsidRPr="00730CDA" w:rsidP="00730CDA">
            <w:pPr>
              <w:pStyle w:val="ListBullet"/>
            </w:pPr>
            <w:r w:rsidRPr="00730CDA">
              <w:t>workplace instr</w:t>
            </w:r>
            <w:r w:rsidRPr="00730CDA">
              <w:t>uctions relating to safe work practices and addressing hazards and emergencies</w:t>
            </w:r>
          </w:p>
          <w:p w:rsidR="00000000" w:rsidRPr="00730CDA" w:rsidP="00730CDA">
            <w:pPr>
              <w:pStyle w:val="ListBullet"/>
            </w:pPr>
            <w:r w:rsidRPr="00730CDA">
              <w:t>material safety data sheets</w:t>
            </w:r>
          </w:p>
          <w:p w:rsidR="00000000" w:rsidRPr="00730CDA" w:rsidP="00730CDA">
            <w:pPr>
              <w:pStyle w:val="ListBullet"/>
            </w:pPr>
            <w:r w:rsidRPr="00730CDA">
              <w:t>research resources, including industry-related systems information.</w:t>
            </w:r>
          </w:p>
          <w:p w:rsidR="00000000" w:rsidP="00730CDA">
            <w:pPr>
              <w:pStyle w:val="BodyText"/>
              <w:rPr>
                <w:lang w:val="en-NZ"/>
              </w:rPr>
            </w:pPr>
            <w:r w:rsidRPr="00730CDA">
              <w:t>Reasonable adjustments for people with disabilities must be made to assessment pr</w:t>
            </w:r>
            <w:r w:rsidRPr="00730CDA">
              <w:t xml:space="preserve">ocesses where required. This could include access to modified equipment and other physical resources, and the provision of appropriate assessment support. </w:t>
            </w:r>
          </w:p>
        </w:tc>
      </w:tr>
      <w:tr w:rsidTr="00730CD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Assessment methods must:</w:t>
            </w:r>
          </w:p>
          <w:p w:rsidR="00000000" w:rsidRPr="00730CDA" w:rsidP="00730CDA">
            <w:pPr>
              <w:pStyle w:val="ListBullet"/>
            </w:pPr>
            <w:r w:rsidRPr="00730CDA">
              <w:t>satisfy the endorsed Assessment Guidelines of the Construction, Plumbing and Services Training Package</w:t>
            </w:r>
          </w:p>
          <w:p w:rsidR="00000000" w:rsidRPr="00730CDA" w:rsidP="00730CDA">
            <w:pPr>
              <w:pStyle w:val="ListBullet"/>
            </w:pPr>
            <w:r w:rsidRPr="00730CDA">
              <w:t xml:space="preserve">include direct observation of tasks in real or simulated work conditions, with questioning to confirm the ability to consistently identify and correctly </w:t>
            </w:r>
            <w:r w:rsidRPr="00730CDA">
              <w:t>interpret the essential underpinning knowledge required for practical application</w:t>
            </w:r>
          </w:p>
          <w:p w:rsidR="00000000" w:rsidRPr="00730CDA" w:rsidP="00730CDA">
            <w:pPr>
              <w:pStyle w:val="ListBullet"/>
            </w:pPr>
            <w:r w:rsidRPr="00730CDA">
              <w:t>reinforce the integration of employability skills with workplace tasks and job roles</w:t>
            </w:r>
          </w:p>
          <w:p w:rsidR="00000000" w:rsidRPr="00730CDA" w:rsidP="00730CDA">
            <w:pPr>
              <w:pStyle w:val="ListBullet"/>
            </w:pPr>
            <w:r w:rsidRPr="00730CDA">
              <w:t>confirm that competency is verified and able to be transferred to other circumstances and</w:t>
            </w:r>
            <w:r w:rsidRPr="00730CDA">
              <w:t xml:space="preserve"> environments.</w:t>
            </w:r>
          </w:p>
          <w:p w:rsidR="00000000" w:rsidRPr="00730CDA" w:rsidP="00730CDA">
            <w:pPr>
              <w:pStyle w:val="BodyText"/>
            </w:pPr>
            <w:r w:rsidRPr="00730CDA">
              <w:t>Validity and sufficiency of evidence requires that:</w:t>
            </w:r>
          </w:p>
          <w:p w:rsidR="00000000" w:rsidRPr="00730CDA" w:rsidP="00730CDA">
            <w:pPr>
              <w:pStyle w:val="ListBullet"/>
            </w:pPr>
            <w:r w:rsidRPr="00730CDA">
              <w:t>competency will need to be demonstrated over a period of time reflecting the scope of the role and the practical requirements of the workplace</w:t>
            </w:r>
          </w:p>
          <w:p w:rsidR="00000000" w:rsidRPr="00730CDA" w:rsidP="00730CDA">
            <w:pPr>
              <w:pStyle w:val="ListBullet"/>
            </w:pPr>
            <w:r w:rsidRPr="00730CDA">
              <w:t xml:space="preserve">where the assessment is part of a structured </w:t>
            </w:r>
            <w:r w:rsidRPr="00730CDA">
              <w:t xml:space="preserve">learning experience the evidence collected must relate to a number of performances assessed at different points in time and separated by further learning and practice, </w:t>
            </w:r>
            <w:r w:rsidRPr="00730CDA">
              <w:t>with a decision on competency only taken at the point when the assessor has complete con</w:t>
            </w:r>
            <w:r w:rsidRPr="00730CDA">
              <w:t>fidence in the person's demonstrated ability and applied knowledge</w:t>
            </w:r>
          </w:p>
          <w:p w:rsidR="00000000" w:rsidRPr="00730CDA" w:rsidP="00730CDA">
            <w:pPr>
              <w:pStyle w:val="ListBullet"/>
            </w:pPr>
            <w:r w:rsidRPr="00730CDA">
              <w:t>all assessment that is part of a structured learning experience must include a combination of direct, indirect and supplementary evidence.</w:t>
            </w:r>
          </w:p>
          <w:p w:rsidR="00000000" w:rsidRPr="00730CDA" w:rsidP="00730CDA">
            <w:pPr>
              <w:pStyle w:val="BodyText"/>
            </w:pPr>
            <w:r w:rsidRPr="00730CDA">
              <w:t xml:space="preserve">Assessment processes and techniques should as far </w:t>
            </w:r>
            <w:r w:rsidRPr="00730CDA">
              <w:t>as is practical take into account the language, literacy and numeracy capacity of the candidate in relation to the competency being assessed.</w:t>
            </w:r>
          </w:p>
          <w:p w:rsidR="00000000" w:rsidRPr="00730CDA" w:rsidP="00730CDA">
            <w:pPr>
              <w:pStyle w:val="BodyText"/>
            </w:pPr>
            <w:r w:rsidRPr="00730CDA">
              <w:t>Supplementary evidence of competency may be obtained from relevant authenticated documentation from third parties,</w:t>
            </w:r>
            <w:r w:rsidRPr="00730CDA">
              <w:t xml:space="preserve"> such as existing supervisors, team leaders or specialist training staff. </w:t>
            </w:r>
          </w:p>
        </w:tc>
      </w:tr>
    </w:tbl>
    <w:p w:rsidR="00691EFF" w:rsidP="00730CDA">
      <w:pPr>
        <w:pStyle w:val="BodyText"/>
      </w:pPr>
    </w:p>
    <w:p w:rsidR="00691EFF" w:rsidP="00730CDA">
      <w:pPr>
        <w:pStyle w:val="BodyText"/>
      </w:pPr>
    </w:p>
    <w:p w:rsidR="00000000" w:rsidRPr="00730CDA" w:rsidP="00730CDA">
      <w:pPr>
        <w:pStyle w:val="Heading1"/>
      </w:pPr>
      <w:bookmarkStart w:id="11" w:name="O_500463"/>
      <w:bookmarkEnd w:id="11"/>
      <w:r w:rsidRPr="00730CDA">
        <w:t>Range Statement</w:t>
      </w:r>
    </w:p>
    <w:tbl>
      <w:tblPr>
        <w:tblW w:w="0" w:type="auto"/>
        <w:tblLayout w:type="fixed"/>
        <w:tblCellMar>
          <w:left w:w="62" w:type="dxa"/>
          <w:right w:w="62" w:type="dxa"/>
        </w:tblCellMar>
        <w:tblLook w:val="0000"/>
      </w:tblPr>
      <w:tblGrid>
        <w:gridCol w:w="3690"/>
        <w:gridCol w:w="5488"/>
      </w:tblGrid>
      <w:tr w:rsidTr="00730CD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30CDA">
            <w:pPr>
              <w:pStyle w:val="BodyText"/>
              <w:rPr>
                <w:lang w:val="en-NZ"/>
              </w:rPr>
            </w:pPr>
            <w:r w:rsidRPr="00730CDA">
              <w:t xml:space="preserve">The range statement relates to the unit of competency as a whole. It allows for different work environments and situations that may affect </w:t>
            </w:r>
            <w:r w:rsidRPr="00730CDA">
              <w:t>performance. Bold italicised wording, if used in the performance criteria, is detailed below. Essential operating conditions that may be present with training and assessment (depending on the work situation, needs of the candidate, accessibility of the ite</w:t>
            </w:r>
            <w:r w:rsidRPr="00730CDA">
              <w:t>m, and local industry and regional contexts) may also be included.</w:t>
            </w:r>
          </w:p>
        </w:tc>
      </w:tr>
      <w:tr w:rsidTr="00730CDA">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Workplace induction</w:t>
            </w:r>
            <w:r w:rsidRPr="00730CDA">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first aid officers and kits</w:t>
            </w:r>
          </w:p>
          <w:p w:rsidR="00000000" w:rsidRPr="00730CDA" w:rsidP="00730CDA">
            <w:pPr>
              <w:pStyle w:val="ListBullet"/>
            </w:pPr>
            <w:r w:rsidRPr="00730CDA">
              <w:t>personnel competent and/or licensed in the safe handling of asbestos</w:t>
            </w:r>
          </w:p>
          <w:p w:rsidR="00000000" w:rsidRPr="00730CDA" w:rsidP="00730CDA">
            <w:pPr>
              <w:pStyle w:val="ListBullet"/>
            </w:pPr>
            <w:r w:rsidRPr="00730CDA">
              <w:t>site induction work site locations</w:t>
            </w:r>
          </w:p>
          <w:p w:rsidR="00000000" w:rsidRPr="00730CDA" w:rsidP="00730CDA">
            <w:pPr>
              <w:pStyle w:val="ListBullet"/>
            </w:pPr>
            <w:r w:rsidRPr="00730CDA">
              <w:t>specific site WHS iss</w:t>
            </w:r>
            <w:r w:rsidRPr="00730CDA">
              <w:t>ues</w:t>
            </w:r>
          </w:p>
          <w:p w:rsidR="00000000" w:rsidRPr="00730CDA" w:rsidP="00730CDA">
            <w:pPr>
              <w:pStyle w:val="ListBullet"/>
            </w:pPr>
            <w:r w:rsidRPr="00730CDA">
              <w:t>specific site requirements.</w:t>
            </w:r>
          </w:p>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Safe work practices</w:t>
            </w:r>
            <w:r w:rsidRPr="00730CDA">
              <w:t xml:space="preserve"> are to be according to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handling of materials</w:t>
            </w:r>
          </w:p>
          <w:p w:rsidR="00000000" w:rsidRPr="00730CDA" w:rsidP="00730CDA">
            <w:pPr>
              <w:pStyle w:val="ListBullet"/>
            </w:pPr>
            <w:r w:rsidRPr="00730CDA">
              <w:t>hazard control procedures and procedures for handling hazardous materials and substances</w:t>
            </w:r>
          </w:p>
          <w:p w:rsidR="00000000" w:rsidRPr="00730CDA" w:rsidP="00730CDA">
            <w:pPr>
              <w:pStyle w:val="ListBullet"/>
            </w:pPr>
            <w:r w:rsidRPr="00730CDA">
              <w:t>PPE prescribed under legislation, regulations and workplace policies and practices</w:t>
            </w:r>
          </w:p>
          <w:p w:rsidR="00000000" w:rsidRPr="00730CDA" w:rsidP="00730CDA">
            <w:pPr>
              <w:pStyle w:val="ListBullet"/>
            </w:pPr>
            <w:r w:rsidRPr="00730CDA">
              <w:t>use of firefighting equipment</w:t>
            </w:r>
          </w:p>
          <w:p w:rsidR="00000000" w:rsidRPr="00730CDA" w:rsidP="00730CDA">
            <w:pPr>
              <w:pStyle w:val="ListBullet"/>
            </w:pPr>
            <w:r w:rsidRPr="00730CDA">
              <w:t>use of first aid equipment</w:t>
            </w:r>
          </w:p>
          <w:p w:rsidR="00000000" w:rsidRPr="00730CDA" w:rsidP="00730CDA">
            <w:pPr>
              <w:pStyle w:val="ListBullet"/>
            </w:pPr>
            <w:r w:rsidRPr="00730CDA">
              <w:t>use of tools and equipment</w:t>
            </w:r>
          </w:p>
          <w:p w:rsidR="00000000" w:rsidRPr="00730CDA" w:rsidP="00730CDA">
            <w:pPr>
              <w:pStyle w:val="ListBullet"/>
            </w:pPr>
            <w:r w:rsidRPr="00730CDA">
              <w:t>workplace environment and safety.</w:t>
            </w:r>
          </w:p>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Statutory and regulatory authorities</w:t>
            </w:r>
            <w:r w:rsidRPr="00730CDA">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common</w:t>
            </w:r>
            <w:r w:rsidRPr="00730CDA">
              <w:t>wealth, state or territory, and local authorities administering applicable Acts, regulations and codes of practice.</w:t>
            </w:r>
          </w:p>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Identifying and reporting asbestos-containing materials</w:t>
            </w:r>
            <w:r w:rsidRPr="00730CDA">
              <w:t>:</w:t>
            </w:r>
          </w:p>
        </w:tc>
        <w:tc>
          <w:tcPr>
            <w:tcW w:w="548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includes recognising common types of ACM that may be found in construction materials and buildings</w:t>
            </w:r>
          </w:p>
          <w:p w:rsidR="00000000" w:rsidRPr="00730CDA" w:rsidP="00730CDA">
            <w:pPr>
              <w:pStyle w:val="ListBullet"/>
            </w:pPr>
            <w:r w:rsidRPr="00730CDA">
              <w:t xml:space="preserve">covers asbestos rope/fabrics, asbestos cement sheeting, asbestos cement piping and lagging on pipes, bituminous waterproof membrane, millboard, asbestos </w:t>
            </w:r>
            <w:r w:rsidRPr="00730CDA">
              <w:t>flue</w:t>
            </w:r>
            <w:r w:rsidRPr="00730CDA">
              <w:t>s, sheeting under ceramic or vinyl floor or wall tiles in wet areas</w:t>
            </w:r>
          </w:p>
          <w:p w:rsidR="00000000" w:rsidRPr="00730CDA" w:rsidP="00730CDA">
            <w:pPr>
              <w:pStyle w:val="ListBullet"/>
            </w:pPr>
            <w:r w:rsidRPr="00730CDA">
              <w:t>involves reporting ACM to person in control of the workplace as set out in the relevant Asbestos Management Code.</w:t>
            </w:r>
          </w:p>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Sustainability principles and concepts</w:t>
            </w:r>
            <w:r w:rsidRPr="00730CDA">
              <w:t>:</w:t>
            </w:r>
          </w:p>
        </w:tc>
        <w:tc>
          <w:tcPr>
            <w:tcW w:w="548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 xml:space="preserve">cover the social, economic and </w:t>
            </w:r>
            <w:r w:rsidRPr="00730CDA">
              <w:t>environmental use of resources to meet current and future needs</w:t>
            </w:r>
          </w:p>
          <w:p w:rsidR="00000000" w:rsidRPr="00730CDA" w:rsidP="00730CDA">
            <w:pPr>
              <w:pStyle w:val="ListBullet"/>
            </w:pPr>
            <w:r w:rsidRPr="00730CDA">
              <w:t>may include:</w:t>
            </w:r>
          </w:p>
          <w:p w:rsidR="00000000" w:rsidRPr="00730CDA" w:rsidP="00730CDA">
            <w:pPr>
              <w:pStyle w:val="ListBullet2"/>
            </w:pPr>
            <w:r w:rsidRPr="00730CDA">
              <w:t>selecting appropriate components and material</w:t>
            </w:r>
          </w:p>
          <w:p w:rsidR="00000000" w:rsidRPr="00730CDA" w:rsidP="00730CDA">
            <w:pPr>
              <w:pStyle w:val="ListBullet2"/>
            </w:pPr>
            <w:r w:rsidRPr="00730CDA">
              <w:t>choosing efficient products</w:t>
            </w:r>
          </w:p>
          <w:p w:rsidR="00000000" w:rsidRPr="00730CDA" w:rsidP="00730CDA">
            <w:pPr>
              <w:pStyle w:val="ListBullet2"/>
            </w:pPr>
            <w:r w:rsidRPr="00730CDA">
              <w:t>using material efficiently</w:t>
            </w:r>
          </w:p>
          <w:p w:rsidR="00000000" w:rsidRPr="00730CDA" w:rsidP="00730CDA">
            <w:pPr>
              <w:pStyle w:val="ListBullet2"/>
            </w:pPr>
            <w:r w:rsidRPr="00730CDA">
              <w:t>storing and disposing of hazardous material to ensure minimal environmental impact.</w:t>
            </w:r>
          </w:p>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Safety hazards</w:t>
            </w:r>
            <w:r w:rsidRPr="00730CDA">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hazards and risks associated with tools and equipment</w:t>
            </w:r>
          </w:p>
          <w:p w:rsidR="00000000" w:rsidRPr="00730CDA" w:rsidP="00730CDA">
            <w:pPr>
              <w:pStyle w:val="ListBullet"/>
            </w:pPr>
            <w:r w:rsidRPr="00730CDA">
              <w:t>inflammable materials and fire hazards</w:t>
            </w:r>
          </w:p>
          <w:p w:rsidR="00000000" w:rsidRPr="00730CDA" w:rsidP="00730CDA">
            <w:pPr>
              <w:pStyle w:val="ListBullet"/>
            </w:pPr>
            <w:r w:rsidRPr="00730CDA">
              <w:t>lifting practices</w:t>
            </w:r>
          </w:p>
          <w:p w:rsidR="00000000" w:rsidRPr="00730CDA" w:rsidP="00730CDA">
            <w:pPr>
              <w:pStyle w:val="ListBullet"/>
            </w:pPr>
            <w:r w:rsidRPr="00730CDA">
              <w:t>lighting, gases, electricity and water</w:t>
            </w:r>
          </w:p>
          <w:p w:rsidR="00000000" w:rsidRPr="00730CDA" w:rsidP="00730CDA">
            <w:pPr>
              <w:pStyle w:val="ListBullet"/>
            </w:pPr>
            <w:r w:rsidRPr="00730CDA">
              <w:t>spillage, waste and debris</w:t>
            </w:r>
          </w:p>
          <w:p w:rsidR="00000000" w:rsidRPr="00730CDA" w:rsidP="00730CDA">
            <w:pPr>
              <w:pStyle w:val="ListBullet"/>
            </w:pPr>
            <w:r w:rsidRPr="00730CDA">
              <w:t>toxic and hazardous substances</w:t>
            </w:r>
          </w:p>
          <w:p w:rsidR="00000000" w:rsidRPr="00730CDA" w:rsidP="00730CDA">
            <w:pPr>
              <w:pStyle w:val="ListBullet"/>
            </w:pPr>
            <w:r w:rsidRPr="00730CDA">
              <w:t>working at heights</w:t>
            </w:r>
          </w:p>
          <w:p w:rsidR="00000000" w:rsidRPr="00730CDA" w:rsidP="00730CDA">
            <w:pPr>
              <w:pStyle w:val="ListBullet"/>
            </w:pPr>
            <w:r w:rsidRPr="00730CDA">
              <w:t>working in confined spaces.</w:t>
            </w:r>
          </w:p>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Emergencies</w:t>
            </w:r>
            <w:r w:rsidRPr="00730CDA">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accidents</w:t>
            </w:r>
          </w:p>
          <w:p w:rsidR="00000000" w:rsidRPr="00730CDA" w:rsidP="00730CDA">
            <w:pPr>
              <w:pStyle w:val="ListBullet"/>
            </w:pPr>
            <w:r w:rsidRPr="00730CDA">
              <w:t>fires</w:t>
            </w:r>
          </w:p>
          <w:p w:rsidR="00000000" w:rsidRPr="00730CDA" w:rsidP="00730CDA">
            <w:pPr>
              <w:pStyle w:val="ListBullet"/>
            </w:pPr>
            <w:r w:rsidRPr="00730CDA">
              <w:t>injuries</w:t>
            </w:r>
          </w:p>
          <w:p w:rsidR="00000000" w:rsidRPr="00730CDA" w:rsidP="00730CDA">
            <w:pPr>
              <w:pStyle w:val="ListBullet"/>
            </w:pPr>
            <w:r w:rsidRPr="00730CDA">
              <w:t>sudden illness.</w:t>
            </w:r>
          </w:p>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BoldandItalics"/>
              </w:rPr>
              <w:t>Emergency response</w:t>
            </w:r>
            <w:r w:rsidRPr="00730CDA">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730CDA" w:rsidP="00730CDA">
            <w:pPr>
              <w:pStyle w:val="ListBullet"/>
            </w:pPr>
            <w:r w:rsidRPr="00730CDA">
              <w:t>common site signs</w:t>
            </w:r>
          </w:p>
          <w:p w:rsidR="00000000" w:rsidRPr="00730CDA" w:rsidP="00730CDA">
            <w:pPr>
              <w:pStyle w:val="ListBullet"/>
            </w:pPr>
            <w:r w:rsidRPr="00730CDA">
              <w:t>equipment tags</w:t>
            </w:r>
          </w:p>
          <w:p w:rsidR="00000000" w:rsidRPr="00730CDA" w:rsidP="00730CDA">
            <w:pPr>
              <w:pStyle w:val="ListBullet"/>
            </w:pPr>
            <w:r w:rsidRPr="00730CDA">
              <w:t>facility or location signs</w:t>
            </w:r>
          </w:p>
          <w:p w:rsidR="00000000" w:rsidRPr="00730CDA" w:rsidP="00730CDA">
            <w:pPr>
              <w:pStyle w:val="ListBullet"/>
            </w:pPr>
            <w:r w:rsidRPr="00730CDA">
              <w:t>safety barricades and warning signs</w:t>
            </w:r>
          </w:p>
          <w:p w:rsidR="00000000" w:rsidRPr="00730CDA" w:rsidP="00730CDA">
            <w:pPr>
              <w:pStyle w:val="ListBullet"/>
            </w:pPr>
            <w:r w:rsidRPr="00730CDA">
              <w:t>site direction</w:t>
            </w:r>
          </w:p>
          <w:p w:rsidR="00000000" w:rsidRPr="00730CDA" w:rsidP="00730CDA">
            <w:pPr>
              <w:pStyle w:val="ListBullet"/>
            </w:pPr>
            <w:r w:rsidRPr="00730CDA">
              <w:t>traffic signs</w:t>
            </w:r>
          </w:p>
          <w:p w:rsidR="00000000" w:rsidRPr="00730CDA" w:rsidP="00730CDA">
            <w:pPr>
              <w:pStyle w:val="ListBullet"/>
            </w:pPr>
            <w:r w:rsidRPr="00730CDA">
              <w:t>workplace evacuation involving staff and customers.</w:t>
            </w:r>
          </w:p>
          <w:p w:rsidR="00000000" w:rsidRPr="00730CDA" w:rsidP="00730CDA">
            <w:pPr>
              <w:pStyle w:val="BodyText"/>
            </w:pPr>
          </w:p>
        </w:tc>
      </w:tr>
    </w:tbl>
    <w:p w:rsidR="00691EFF" w:rsidP="00730CDA">
      <w:pPr>
        <w:pStyle w:val="BodyText"/>
      </w:pPr>
    </w:p>
    <w:p w:rsidR="00691EFF" w:rsidP="00730CDA">
      <w:pPr>
        <w:pStyle w:val="BodyText"/>
      </w:pPr>
    </w:p>
    <w:p w:rsidR="00000000" w:rsidRPr="00730CDA" w:rsidP="00730CDA">
      <w:pPr>
        <w:pStyle w:val="Heading1"/>
      </w:pPr>
      <w:bookmarkStart w:id="12" w:name="O_500464"/>
      <w:bookmarkEnd w:id="12"/>
      <w:r w:rsidRPr="00730CDA">
        <w:t>Unit Sector(s)</w:t>
      </w:r>
    </w:p>
    <w:tbl>
      <w:tblPr>
        <w:tblW w:w="0" w:type="auto"/>
        <w:tblLayout w:type="fixed"/>
        <w:tblCellMar>
          <w:left w:w="62" w:type="dxa"/>
          <w:right w:w="62" w:type="dxa"/>
        </w:tblCellMar>
        <w:tblLook w:val="0000"/>
      </w:tblPr>
      <w:tblGrid>
        <w:gridCol w:w="2552"/>
        <w:gridCol w:w="6518"/>
      </w:tblGrid>
      <w:tr w:rsidTr="00730CD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p>
        </w:tc>
      </w:tr>
      <w:tr w:rsidTr="00730CD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30CDA">
            <w:pPr>
              <w:pStyle w:val="BodyText"/>
              <w:rPr>
                <w:lang w:val="en-NZ"/>
              </w:rPr>
            </w:pPr>
            <w:r w:rsidRPr="00730CDA">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730CDA" w:rsidP="00730CDA">
            <w:pPr>
              <w:pStyle w:val="BodyText"/>
            </w:pPr>
            <w:r w:rsidRPr="00730CDA">
              <w:t>Plumbing and services</w:t>
            </w:r>
          </w:p>
        </w:tc>
      </w:tr>
    </w:tbl>
    <w:p w:rsidR="00000000" w:rsidRPr="00730CDA" w:rsidP="00730CDA">
      <w:pPr>
        <w:pStyle w:val="BodyText"/>
      </w:pPr>
    </w:p>
    <w:p w:rsidR="00000000" w:rsidRPr="00730CDA" w:rsidP="00730CDA">
      <w:pPr>
        <w:pStyle w:val="AllowPageBreak"/>
      </w:pPr>
    </w:p>
    <w:p w:rsidR="00000000" w:rsidRPr="00730CDA" w:rsidP="00730CDA">
      <w:pPr>
        <w:pStyle w:val="Heading1"/>
      </w:pPr>
      <w:bookmarkStart w:id="13" w:name="O_500465"/>
      <w:bookmarkEnd w:id="13"/>
      <w:r w:rsidRPr="00730CDA">
        <w:t>Custom Content Section</w:t>
      </w:r>
    </w:p>
    <w:p w:rsidR="00000000" w:rsidRPr="00730CDA" w:rsidP="00730CDA">
      <w:pPr>
        <w:pStyle w:val="BodyText"/>
      </w:pPr>
      <w:r w:rsidRPr="00730CDA">
        <w:t>Not applicable.</w:t>
      </w:r>
    </w:p>
    <w:p w:rsidR="00000000" w:rsidRPr="00730CDA" w:rsidP="00730CDA"/>
    <w:sectPr w:rsidSect="00730C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DA" w:rsidRPr="00691EFF" w:rsidP="00691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EFF" w:rsidP="00730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1EFF" w:rsidP="00730CD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91EFF" w:rsidP="00730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DA" w:rsidRPr="00691EFF" w:rsidP="00691E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EFF" w:rsidRPr="002D2AF8" w:rsidP="00730CDA">
    <w:pPr>
      <w:pStyle w:val="Header"/>
      <w:framePr w:wrap="around"/>
    </w:pPr>
    <w:r>
      <w:fldChar w:fldCharType="begin"/>
    </w:r>
    <w:r>
      <w:instrText xml:space="preserve"> TITLE   \* MERGEFORMAT </w:instrText>
    </w:r>
    <w:r>
      <w:fldChar w:fldCharType="separate"/>
    </w:r>
    <w:r>
      <w:t>CPCPCM2043A Carry out WHS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691EFF" w:rsidP="00730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2E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22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AAA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CDA"/>
    <w:pPr>
      <w:spacing w:before="360" w:after="60"/>
      <w:outlineLvl w:val="0"/>
    </w:pPr>
    <w:rPr>
      <w:sz w:val="32"/>
    </w:rPr>
  </w:style>
  <w:style w:type="paragraph" w:styleId="Heading2">
    <w:name w:val="heading 2"/>
    <w:basedOn w:val="HeadingBase"/>
    <w:next w:val="BodyText"/>
    <w:link w:val="Heading2Char"/>
    <w:qFormat/>
    <w:rsid w:val="00730CDA"/>
    <w:pPr>
      <w:keepLines/>
      <w:spacing w:before="240" w:after="120"/>
      <w:outlineLvl w:val="1"/>
    </w:pPr>
    <w:rPr>
      <w:sz w:val="28"/>
      <w:szCs w:val="40"/>
    </w:rPr>
  </w:style>
  <w:style w:type="paragraph" w:styleId="Heading3">
    <w:name w:val="heading 3"/>
    <w:basedOn w:val="HeadingBase"/>
    <w:next w:val="BodyText"/>
    <w:link w:val="Heading3Char"/>
    <w:qFormat/>
    <w:rsid w:val="00730CDA"/>
    <w:pPr>
      <w:spacing w:before="180" w:after="120"/>
      <w:outlineLvl w:val="2"/>
    </w:pPr>
    <w:rPr>
      <w:spacing w:val="-10"/>
      <w:kern w:val="32"/>
    </w:rPr>
  </w:style>
  <w:style w:type="paragraph" w:styleId="Heading4">
    <w:name w:val="heading 4"/>
    <w:basedOn w:val="HeadingBase"/>
    <w:next w:val="BodyText"/>
    <w:link w:val="Heading4Char"/>
    <w:qFormat/>
    <w:rsid w:val="00730CDA"/>
    <w:pPr>
      <w:spacing w:before="160" w:after="120"/>
      <w:outlineLvl w:val="3"/>
    </w:pPr>
    <w:rPr>
      <w:sz w:val="22"/>
    </w:rPr>
  </w:style>
  <w:style w:type="paragraph" w:styleId="Heading5">
    <w:name w:val="heading 5"/>
    <w:basedOn w:val="HeadingBase"/>
    <w:next w:val="Normal"/>
    <w:link w:val="Heading5Char"/>
    <w:qFormat/>
    <w:rsid w:val="00730CDA"/>
    <w:pPr>
      <w:spacing w:before="80"/>
      <w:outlineLvl w:val="4"/>
    </w:pPr>
    <w:rPr>
      <w:color w:val="918585"/>
      <w:sz w:val="20"/>
    </w:rPr>
  </w:style>
  <w:style w:type="paragraph" w:styleId="Heading6">
    <w:name w:val="heading 6"/>
    <w:basedOn w:val="HeadingBase"/>
    <w:next w:val="Normal"/>
    <w:link w:val="Heading6Char"/>
    <w:qFormat/>
    <w:rsid w:val="00730CDA"/>
    <w:pPr>
      <w:spacing w:before="60"/>
      <w:outlineLvl w:val="5"/>
    </w:pPr>
    <w:rPr>
      <w:color w:val="918585"/>
      <w:sz w:val="20"/>
    </w:rPr>
  </w:style>
  <w:style w:type="paragraph" w:styleId="Heading7">
    <w:name w:val="heading 7"/>
    <w:basedOn w:val="Normal"/>
    <w:next w:val="Normal"/>
    <w:link w:val="Heading7Char"/>
    <w:qFormat/>
    <w:rsid w:val="00730CDA"/>
    <w:pPr>
      <w:ind w:left="720"/>
      <w:outlineLvl w:val="6"/>
    </w:pPr>
    <w:rPr>
      <w:i/>
    </w:rPr>
  </w:style>
  <w:style w:type="paragraph" w:styleId="Heading8">
    <w:name w:val="heading 8"/>
    <w:basedOn w:val="Normal"/>
    <w:next w:val="Normal"/>
    <w:link w:val="Heading8Char"/>
    <w:qFormat/>
    <w:rsid w:val="00730CDA"/>
    <w:pPr>
      <w:ind w:left="720"/>
      <w:outlineLvl w:val="7"/>
    </w:pPr>
    <w:rPr>
      <w:i/>
    </w:rPr>
  </w:style>
  <w:style w:type="paragraph" w:styleId="Heading9">
    <w:name w:val="heading 9"/>
    <w:basedOn w:val="Normal"/>
    <w:next w:val="Normal"/>
    <w:link w:val="Heading9Char"/>
    <w:qFormat/>
    <w:rsid w:val="00730CDA"/>
    <w:pPr>
      <w:ind w:left="720"/>
      <w:outlineLvl w:val="8"/>
    </w:pPr>
    <w:rPr>
      <w:i/>
    </w:rPr>
  </w:style>
  <w:style w:type="character" w:default="1" w:styleId="DefaultParagraphFont">
    <w:name w:val="Default Paragraph Font"/>
    <w:uiPriority w:val="1"/>
    <w:unhideWhenUsed/>
    <w:rsid w:val="00730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CDA"/>
  </w:style>
  <w:style w:type="character" w:customStyle="1" w:styleId="Heading1Char">
    <w:name w:val="Heading 1 Char"/>
    <w:basedOn w:val="DefaultParagraphFont"/>
    <w:link w:val="Heading1"/>
    <w:rsid w:val="00730CDA"/>
    <w:rPr>
      <w:rFonts w:ascii="Times New Roman" w:eastAsia="Times New Roman" w:hAnsi="Times New Roman" w:cs="Times New Roman"/>
      <w:b/>
      <w:sz w:val="32"/>
      <w:szCs w:val="20"/>
      <w:lang w:eastAsia="en-US"/>
    </w:rPr>
  </w:style>
  <w:style w:type="paragraph" w:styleId="BodyText">
    <w:name w:val="Body Text"/>
    <w:basedOn w:val="Normal"/>
    <w:link w:val="BodyTextChar"/>
    <w:rsid w:val="00730C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CDA"/>
    <w:rPr>
      <w:rFonts w:ascii="Times New Roman" w:eastAsia="Times New Roman" w:hAnsi="Times New Roman" w:cs="Times New Roman"/>
      <w:sz w:val="24"/>
      <w:lang w:eastAsia="en-US"/>
    </w:rPr>
  </w:style>
  <w:style w:type="paragraph" w:styleId="ListBullet">
    <w:name w:val="List Bullet"/>
    <w:basedOn w:val="List"/>
    <w:rsid w:val="00730CDA"/>
    <w:pPr>
      <w:numPr>
        <w:numId w:val="13"/>
      </w:numPr>
      <w:tabs>
        <w:tab w:val="clear" w:pos="340"/>
      </w:tabs>
      <w:spacing w:before="40" w:after="40"/>
    </w:pPr>
  </w:style>
  <w:style w:type="character" w:customStyle="1" w:styleId="SpecialBold">
    <w:name w:val="Special Bold"/>
    <w:basedOn w:val="DefaultParagraphFont"/>
    <w:rsid w:val="00730CDA"/>
    <w:rPr>
      <w:b/>
      <w:spacing w:val="0"/>
    </w:rPr>
  </w:style>
  <w:style w:type="paragraph" w:styleId="ListBullet2">
    <w:name w:val="List Bullet 2"/>
    <w:basedOn w:val="List2"/>
    <w:rsid w:val="00730CDA"/>
    <w:pPr>
      <w:numPr>
        <w:numId w:val="14"/>
      </w:numPr>
      <w:tabs>
        <w:tab w:val="clear" w:pos="680"/>
      </w:tabs>
    </w:pPr>
  </w:style>
  <w:style w:type="paragraph" w:customStyle="1" w:styleId="SuperHeading">
    <w:name w:val="SuperHeading"/>
    <w:basedOn w:val="Normal"/>
    <w:rsid w:val="00730CDA"/>
    <w:pPr>
      <w:spacing w:before="240" w:after="120"/>
      <w:outlineLvl w:val="0"/>
    </w:pPr>
    <w:rPr>
      <w:rFonts w:ascii="Times New Roman" w:hAnsi="Times New Roman"/>
      <w:b/>
      <w:sz w:val="32"/>
    </w:rPr>
  </w:style>
  <w:style w:type="paragraph" w:customStyle="1" w:styleId="AllowPageBreak">
    <w:name w:val="AllowPageBreak"/>
    <w:rsid w:val="00730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0CDA"/>
    <w:rPr>
      <w:b/>
      <w:i/>
      <w:u w:val="none"/>
    </w:rPr>
  </w:style>
  <w:style w:type="character" w:customStyle="1" w:styleId="Heading2Char">
    <w:name w:val="Heading 2 Char"/>
    <w:basedOn w:val="DefaultParagraphFont"/>
    <w:link w:val="Heading2"/>
    <w:rsid w:val="00730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CDA"/>
    <w:rPr>
      <w:rFonts w:ascii="Courier New" w:eastAsia="Times New Roman" w:hAnsi="Courier New" w:cs="Times New Roman"/>
      <w:i/>
      <w:szCs w:val="20"/>
      <w:lang w:eastAsia="en-US"/>
    </w:rPr>
  </w:style>
  <w:style w:type="paragraph" w:customStyle="1" w:styleId="HeadingBase">
    <w:name w:val="Heading Base"/>
    <w:rsid w:val="00730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CDA"/>
    <w:pPr>
      <w:tabs>
        <w:tab w:val="right" w:leader="dot" w:pos="9072"/>
      </w:tabs>
      <w:ind w:left="567"/>
    </w:pPr>
    <w:rPr>
      <w:szCs w:val="22"/>
    </w:rPr>
  </w:style>
  <w:style w:type="paragraph" w:customStyle="1" w:styleId="TOCBase">
    <w:name w:val="TOC Base"/>
    <w:rsid w:val="00730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CDA"/>
    <w:pPr>
      <w:tabs>
        <w:tab w:val="right" w:leader="dot" w:pos="9072"/>
      </w:tabs>
      <w:spacing w:before="40" w:after="40"/>
      <w:ind w:left="284"/>
    </w:pPr>
    <w:rPr>
      <w:rFonts w:ascii="Times New Roman" w:hAnsi="Times New Roman"/>
    </w:rPr>
  </w:style>
  <w:style w:type="paragraph" w:styleId="TOC1">
    <w:name w:val="toc 1"/>
    <w:basedOn w:val="TOCBase"/>
    <w:next w:val="Normal"/>
    <w:rsid w:val="00730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CDA"/>
    <w:rPr>
      <w:rFonts w:ascii="Times New Roman" w:eastAsia="Times New Roman" w:hAnsi="Times New Roman" w:cs="Times New Roman"/>
      <w:sz w:val="16"/>
      <w:lang w:eastAsia="en-US"/>
    </w:rPr>
  </w:style>
  <w:style w:type="paragraph" w:styleId="Title">
    <w:name w:val="Title"/>
    <w:basedOn w:val="HeadingBase"/>
    <w:link w:val="TitleChar"/>
    <w:qFormat/>
    <w:rsid w:val="00730CDA"/>
    <w:pPr>
      <w:spacing w:before="5040"/>
      <w:jc w:val="center"/>
    </w:pPr>
    <w:rPr>
      <w:sz w:val="48"/>
      <w:szCs w:val="72"/>
      <w:lang w:val="en-US"/>
    </w:rPr>
  </w:style>
  <w:style w:type="character" w:customStyle="1" w:styleId="TitleChar">
    <w:name w:val="Title Char"/>
    <w:basedOn w:val="DefaultParagraphFont"/>
    <w:link w:val="Title"/>
    <w:rsid w:val="00730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CDA"/>
    <w:pPr>
      <w:tabs>
        <w:tab w:val="left" w:pos="3600"/>
        <w:tab w:val="left" w:pos="3958"/>
      </w:tabs>
    </w:pPr>
  </w:style>
  <w:style w:type="paragraph" w:styleId="List">
    <w:name w:val="List"/>
    <w:basedOn w:val="BodyText"/>
    <w:next w:val="BodyText"/>
    <w:rsid w:val="00730CDA"/>
    <w:pPr>
      <w:tabs>
        <w:tab w:val="left" w:pos="340"/>
      </w:tabs>
      <w:spacing w:before="60" w:after="60"/>
      <w:ind w:left="340" w:hanging="340"/>
    </w:pPr>
  </w:style>
  <w:style w:type="paragraph" w:customStyle="1" w:styleId="Note">
    <w:name w:val="Note"/>
    <w:basedOn w:val="BodyText"/>
    <w:rsid w:val="00730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CDA"/>
    <w:pPr>
      <w:framePr w:wrap="auto" w:hAnchor="text" w:y="6049"/>
    </w:pPr>
    <w:rPr>
      <w:color w:val="000000"/>
      <w:sz w:val="40"/>
    </w:rPr>
  </w:style>
  <w:style w:type="paragraph" w:customStyle="1" w:styleId="TOCTitle">
    <w:name w:val="TOCTitle"/>
    <w:basedOn w:val="Heading1"/>
    <w:rsid w:val="00730CDA"/>
    <w:pPr>
      <w:spacing w:after="240"/>
      <w:jc w:val="center"/>
      <w:outlineLvl w:val="9"/>
    </w:pPr>
    <w:rPr>
      <w:caps/>
    </w:rPr>
  </w:style>
  <w:style w:type="paragraph" w:customStyle="1" w:styleId="Version">
    <w:name w:val="Version"/>
    <w:rsid w:val="00730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0CDA"/>
    <w:pPr>
      <w:keepNext w:val="0"/>
      <w:tabs>
        <w:tab w:val="right" w:pos="4176"/>
      </w:tabs>
      <w:ind w:left="198" w:hanging="198"/>
    </w:pPr>
    <w:rPr>
      <w:rFonts w:ascii="Garamond" w:hAnsi="Garamond"/>
    </w:rPr>
  </w:style>
  <w:style w:type="paragraph" w:styleId="IndexHeading">
    <w:name w:val="index heading"/>
    <w:basedOn w:val="Normal"/>
    <w:next w:val="Index1"/>
    <w:semiHidden/>
    <w:rsid w:val="00730CDA"/>
    <w:pPr>
      <w:spacing w:before="120" w:after="120"/>
    </w:pPr>
    <w:rPr>
      <w:rFonts w:ascii="Arial" w:hAnsi="Arial"/>
      <w:b/>
      <w:color w:val="918585"/>
      <w:sz w:val="24"/>
    </w:rPr>
  </w:style>
  <w:style w:type="paragraph" w:styleId="Header">
    <w:name w:val="header"/>
    <w:basedOn w:val="Normal"/>
    <w:link w:val="HeaderChar"/>
    <w:rsid w:val="00730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CDA"/>
    <w:rPr>
      <w:rFonts w:ascii="Times New Roman" w:eastAsia="Times New Roman" w:hAnsi="Times New Roman" w:cs="Times New Roman"/>
      <w:sz w:val="16"/>
      <w:szCs w:val="20"/>
      <w:lang w:val="en-GB" w:eastAsia="en-US"/>
    </w:rPr>
  </w:style>
  <w:style w:type="paragraph" w:customStyle="1" w:styleId="Chapter">
    <w:name w:val="Chapter"/>
    <w:basedOn w:val="Normal"/>
    <w:rsid w:val="00730CDA"/>
    <w:pPr>
      <w:spacing w:before="240"/>
    </w:pPr>
    <w:rPr>
      <w:rFonts w:ascii="Times New Roman" w:hAnsi="Times New Roman"/>
      <w:smallCaps/>
      <w:spacing w:val="80"/>
      <w:sz w:val="28"/>
    </w:rPr>
  </w:style>
  <w:style w:type="paragraph" w:customStyle="1" w:styleId="InChapter">
    <w:name w:val="InChapter"/>
    <w:basedOn w:val="Heading3"/>
    <w:rsid w:val="00730CDA"/>
    <w:pPr>
      <w:spacing w:after="240"/>
      <w:outlineLvl w:val="9"/>
    </w:pPr>
    <w:rPr>
      <w:noProof/>
    </w:rPr>
  </w:style>
  <w:style w:type="paragraph" w:styleId="Index2">
    <w:name w:val="index 2"/>
    <w:basedOn w:val="Normal"/>
    <w:next w:val="Normal"/>
    <w:semiHidden/>
    <w:rsid w:val="00730CDA"/>
    <w:pPr>
      <w:tabs>
        <w:tab w:val="right" w:pos="4176"/>
      </w:tabs>
      <w:ind w:left="568" w:hanging="284"/>
    </w:pPr>
    <w:rPr>
      <w:rFonts w:ascii="Garamond" w:hAnsi="Garamond"/>
    </w:rPr>
  </w:style>
  <w:style w:type="paragraph" w:customStyle="1" w:styleId="Byline">
    <w:name w:val="Byline"/>
    <w:rsid w:val="00730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CDA"/>
    <w:pPr>
      <w:tabs>
        <w:tab w:val="clear" w:pos="3600"/>
        <w:tab w:val="clear" w:pos="3958"/>
      </w:tabs>
      <w:jc w:val="right"/>
    </w:pPr>
  </w:style>
  <w:style w:type="character" w:styleId="Emphasis">
    <w:name w:val="Emphasis"/>
    <w:basedOn w:val="DefaultParagraphFont"/>
    <w:qFormat/>
    <w:rsid w:val="00730CDA"/>
    <w:rPr>
      <w:i/>
    </w:rPr>
  </w:style>
  <w:style w:type="paragraph" w:styleId="Caption">
    <w:name w:val="caption"/>
    <w:basedOn w:val="BodyText"/>
    <w:next w:val="Normal"/>
    <w:qFormat/>
    <w:rsid w:val="00730CDA"/>
    <w:pPr>
      <w:framePr w:w="2268" w:hSpace="181" w:vSpace="181" w:wrap="around" w:vAnchor="text" w:hAnchor="page" w:x="1135" w:y="285" w:anchorLock="1"/>
    </w:pPr>
    <w:rPr>
      <w:i/>
    </w:rPr>
  </w:style>
  <w:style w:type="paragraph" w:customStyle="1" w:styleId="MiniTOCTitle">
    <w:name w:val="MiniTOCTitle"/>
    <w:basedOn w:val="Heading4"/>
    <w:rsid w:val="00730CDA"/>
    <w:pPr>
      <w:spacing w:before="240"/>
      <w:outlineLvl w:val="9"/>
    </w:pPr>
    <w:rPr>
      <w:noProof/>
      <w:sz w:val="24"/>
    </w:rPr>
  </w:style>
  <w:style w:type="paragraph" w:customStyle="1" w:styleId="MiniTOCItem">
    <w:name w:val="MiniTOCItem"/>
    <w:basedOn w:val="ListBullet"/>
    <w:rsid w:val="00730CDA"/>
    <w:pPr>
      <w:numPr>
        <w:numId w:val="0"/>
      </w:numPr>
      <w:tabs>
        <w:tab w:val="right" w:leader="dot" w:pos="6521"/>
      </w:tabs>
      <w:spacing w:before="0" w:after="0"/>
    </w:pPr>
  </w:style>
  <w:style w:type="paragraph" w:customStyle="1" w:styleId="TOFTitle">
    <w:name w:val="TOFTitle"/>
    <w:basedOn w:val="TOCTitle"/>
    <w:rsid w:val="00730CDA"/>
  </w:style>
  <w:style w:type="paragraph" w:styleId="TableofFigures">
    <w:name w:val="table of figures"/>
    <w:basedOn w:val="Normal"/>
    <w:next w:val="Normal"/>
    <w:semiHidden/>
    <w:rsid w:val="00730CDA"/>
    <w:pPr>
      <w:tabs>
        <w:tab w:val="right" w:leader="dot" w:pos="9072"/>
      </w:tabs>
      <w:ind w:left="970" w:hanging="403"/>
    </w:pPr>
    <w:rPr>
      <w:rFonts w:ascii="Times New Roman" w:hAnsi="Times New Roman"/>
      <w:b/>
    </w:rPr>
  </w:style>
  <w:style w:type="paragraph" w:styleId="ListNumber">
    <w:name w:val="List Number"/>
    <w:basedOn w:val="List"/>
    <w:rsid w:val="00730CDA"/>
    <w:pPr>
      <w:numPr>
        <w:numId w:val="11"/>
      </w:numPr>
    </w:pPr>
  </w:style>
  <w:style w:type="character" w:customStyle="1" w:styleId="WingdingSymbols">
    <w:name w:val="Wingding Symbols"/>
    <w:rsid w:val="00730CDA"/>
    <w:rPr>
      <w:rFonts w:ascii="Wingdings" w:hAnsi="Wingdings"/>
    </w:rPr>
  </w:style>
  <w:style w:type="paragraph" w:customStyle="1" w:styleId="TableHeading">
    <w:name w:val="Table Heading"/>
    <w:basedOn w:val="HeadingBase"/>
    <w:rsid w:val="00730CDA"/>
    <w:pPr>
      <w:keepLines/>
      <w:pBdr>
        <w:bottom w:val="single" w:sz="6" w:space="1" w:color="918585"/>
      </w:pBdr>
      <w:spacing w:before="240"/>
    </w:pPr>
  </w:style>
  <w:style w:type="character" w:customStyle="1" w:styleId="HotSpot">
    <w:name w:val="HotSpot"/>
    <w:rsid w:val="00730CDA"/>
    <w:rPr>
      <w:color w:val="0033CC"/>
      <w:u w:val="none"/>
    </w:rPr>
  </w:style>
  <w:style w:type="paragraph" w:customStyle="1" w:styleId="BodyTextRight">
    <w:name w:val="Body Text Right"/>
    <w:basedOn w:val="BodyText"/>
    <w:rsid w:val="00730CDA"/>
    <w:pPr>
      <w:spacing w:before="0" w:after="0"/>
      <w:jc w:val="right"/>
    </w:pPr>
  </w:style>
  <w:style w:type="paragraph" w:styleId="Index3">
    <w:name w:val="index 3"/>
    <w:basedOn w:val="ListNumber2"/>
    <w:next w:val="Normal"/>
    <w:semiHidden/>
    <w:rsid w:val="00730CDA"/>
    <w:pPr>
      <w:numPr>
        <w:numId w:val="0"/>
      </w:numPr>
      <w:tabs>
        <w:tab w:val="right" w:leader="dot" w:pos="4176"/>
      </w:tabs>
    </w:pPr>
  </w:style>
  <w:style w:type="paragraph" w:styleId="ListNumber2">
    <w:name w:val="List Number 2"/>
    <w:basedOn w:val="List2"/>
    <w:rsid w:val="00730CDA"/>
    <w:pPr>
      <w:numPr>
        <w:numId w:val="10"/>
      </w:numPr>
      <w:tabs>
        <w:tab w:val="clear" w:pos="1060"/>
      </w:tabs>
    </w:pPr>
  </w:style>
  <w:style w:type="paragraph" w:customStyle="1" w:styleId="MarginNote">
    <w:name w:val="Margin Note"/>
    <w:basedOn w:val="BodyText"/>
    <w:rsid w:val="00730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CDA"/>
    <w:rPr>
      <w:sz w:val="32"/>
    </w:rPr>
  </w:style>
  <w:style w:type="paragraph" w:customStyle="1" w:styleId="HeadingProcedure">
    <w:name w:val="Heading Procedure"/>
    <w:basedOn w:val="HeadingBase"/>
    <w:next w:val="Normal"/>
    <w:rsid w:val="00730CDA"/>
    <w:pPr>
      <w:tabs>
        <w:tab w:val="left" w:pos="0"/>
      </w:tabs>
      <w:spacing w:before="120" w:after="60"/>
    </w:pPr>
    <w:rPr>
      <w:i/>
      <w:color w:val="918585"/>
      <w:sz w:val="22"/>
    </w:rPr>
  </w:style>
  <w:style w:type="paragraph" w:customStyle="1" w:styleId="TableBodyText">
    <w:name w:val="Table Body Text"/>
    <w:basedOn w:val="BodyText"/>
    <w:rsid w:val="00730CDA"/>
    <w:pPr>
      <w:spacing w:before="60" w:after="60"/>
    </w:pPr>
  </w:style>
  <w:style w:type="paragraph" w:styleId="ListContinue">
    <w:name w:val="List Continue"/>
    <w:basedOn w:val="List"/>
    <w:rsid w:val="00730CDA"/>
    <w:pPr>
      <w:ind w:firstLine="0"/>
    </w:pPr>
  </w:style>
  <w:style w:type="paragraph" w:customStyle="1" w:styleId="ListNote">
    <w:name w:val="List Note"/>
    <w:basedOn w:val="List"/>
    <w:rsid w:val="00730CDA"/>
    <w:pPr>
      <w:pBdr>
        <w:top w:val="single" w:sz="6" w:space="2" w:color="918585"/>
        <w:bottom w:val="single" w:sz="6" w:space="2" w:color="918585"/>
      </w:pBdr>
      <w:tabs>
        <w:tab w:val="left" w:pos="1021"/>
      </w:tabs>
      <w:ind w:firstLine="0"/>
    </w:pPr>
  </w:style>
  <w:style w:type="paragraph" w:customStyle="1" w:styleId="Warning">
    <w:name w:val="Warning"/>
    <w:basedOn w:val="BodyText"/>
    <w:rsid w:val="00730CDA"/>
    <w:pPr>
      <w:shd w:val="clear" w:color="auto" w:fill="D9D9D9"/>
      <w:tabs>
        <w:tab w:val="left" w:pos="992"/>
      </w:tabs>
      <w:ind w:left="119" w:right="119"/>
    </w:pPr>
    <w:rPr>
      <w:sz w:val="20"/>
    </w:rPr>
  </w:style>
  <w:style w:type="paragraph" w:customStyle="1" w:styleId="MarginIcons">
    <w:name w:val="Margin Icons"/>
    <w:basedOn w:val="BodyText"/>
    <w:rsid w:val="00730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CDA"/>
    <w:rPr>
      <w:rFonts w:ascii="Courier New" w:hAnsi="Courier New"/>
    </w:rPr>
  </w:style>
  <w:style w:type="paragraph" w:customStyle="1" w:styleId="NoteBullet">
    <w:name w:val="Note Bullet"/>
    <w:basedOn w:val="Note"/>
    <w:rsid w:val="00730CDA"/>
    <w:pPr>
      <w:tabs>
        <w:tab w:val="clear" w:pos="680"/>
      </w:tabs>
      <w:spacing w:before="60" w:after="60"/>
    </w:pPr>
  </w:style>
  <w:style w:type="paragraph" w:customStyle="1" w:styleId="SubHeading2">
    <w:name w:val="SubHeading2"/>
    <w:basedOn w:val="HeadingBase"/>
    <w:rsid w:val="00730CDA"/>
    <w:pPr>
      <w:spacing w:before="240" w:after="60"/>
    </w:pPr>
    <w:rPr>
      <w:sz w:val="20"/>
    </w:rPr>
  </w:style>
  <w:style w:type="paragraph" w:customStyle="1" w:styleId="SubHeading1">
    <w:name w:val="SubHeading1"/>
    <w:basedOn w:val="HeadingBase"/>
    <w:rsid w:val="00730CDA"/>
    <w:pPr>
      <w:spacing w:before="240" w:after="60"/>
    </w:pPr>
    <w:rPr>
      <w:color w:val="918585"/>
      <w:sz w:val="22"/>
    </w:rPr>
  </w:style>
  <w:style w:type="paragraph" w:customStyle="1" w:styleId="SideHeading">
    <w:name w:val="Side Heading"/>
    <w:basedOn w:val="HeadingBase"/>
    <w:rsid w:val="00730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CDA"/>
    <w:pPr>
      <w:numPr>
        <w:numId w:val="12"/>
      </w:numPr>
    </w:pPr>
  </w:style>
  <w:style w:type="paragraph" w:styleId="PlainText">
    <w:name w:val="Plain Text"/>
    <w:basedOn w:val="Normal"/>
    <w:link w:val="PlainTextChar"/>
    <w:rsid w:val="00730CDA"/>
    <w:rPr>
      <w:sz w:val="20"/>
    </w:rPr>
  </w:style>
  <w:style w:type="character" w:customStyle="1" w:styleId="PlainTextChar">
    <w:name w:val="Plain Text Char"/>
    <w:basedOn w:val="DefaultParagraphFont"/>
    <w:link w:val="PlainText"/>
    <w:rsid w:val="00730CDA"/>
    <w:rPr>
      <w:rFonts w:ascii="Courier New" w:eastAsia="Times New Roman" w:hAnsi="Courier New" w:cs="Times New Roman"/>
      <w:sz w:val="20"/>
      <w:szCs w:val="20"/>
      <w:lang w:eastAsia="en-US"/>
    </w:rPr>
  </w:style>
  <w:style w:type="character" w:customStyle="1" w:styleId="MenuOption">
    <w:name w:val="Menu Option"/>
    <w:basedOn w:val="DefaultParagraphFont"/>
    <w:rsid w:val="00730CDA"/>
    <w:rPr>
      <w:b/>
      <w:smallCaps/>
    </w:rPr>
  </w:style>
  <w:style w:type="paragraph" w:customStyle="1" w:styleId="TableListNumber">
    <w:name w:val="Table List Number"/>
    <w:basedOn w:val="ListNumber"/>
    <w:rsid w:val="00730CDA"/>
    <w:pPr>
      <w:numPr>
        <w:numId w:val="0"/>
      </w:numPr>
    </w:pPr>
  </w:style>
  <w:style w:type="paragraph" w:styleId="TOC4">
    <w:name w:val="toc 4"/>
    <w:basedOn w:val="TOCBase"/>
    <w:next w:val="Normal"/>
    <w:semiHidden/>
    <w:rsid w:val="00730CDA"/>
    <w:pPr>
      <w:tabs>
        <w:tab w:val="right" w:leader="dot" w:pos="9071"/>
      </w:tabs>
      <w:ind w:left="1701"/>
    </w:pPr>
  </w:style>
  <w:style w:type="paragraph" w:customStyle="1" w:styleId="ListAlpha">
    <w:name w:val="List Alpha"/>
    <w:basedOn w:val="List"/>
    <w:rsid w:val="00730CDA"/>
    <w:pPr>
      <w:numPr>
        <w:numId w:val="9"/>
      </w:numPr>
    </w:pPr>
  </w:style>
  <w:style w:type="paragraph" w:customStyle="1" w:styleId="ListAlpha2">
    <w:name w:val="List Alpha 2"/>
    <w:basedOn w:val="List2"/>
    <w:rsid w:val="00730CDA"/>
    <w:pPr>
      <w:numPr>
        <w:numId w:val="8"/>
      </w:numPr>
    </w:pPr>
  </w:style>
  <w:style w:type="paragraph" w:styleId="List2">
    <w:name w:val="List 2"/>
    <w:basedOn w:val="BodyText"/>
    <w:rsid w:val="00730CDA"/>
    <w:pPr>
      <w:tabs>
        <w:tab w:val="left" w:pos="680"/>
      </w:tabs>
      <w:spacing w:before="60" w:after="60"/>
      <w:ind w:left="680" w:hanging="340"/>
    </w:pPr>
  </w:style>
  <w:style w:type="paragraph" w:styleId="List3">
    <w:name w:val="List 3"/>
    <w:basedOn w:val="BodyText"/>
    <w:rsid w:val="00730CDA"/>
    <w:pPr>
      <w:tabs>
        <w:tab w:val="left" w:pos="1021"/>
      </w:tabs>
      <w:spacing w:before="60" w:after="60"/>
      <w:ind w:left="1020" w:hanging="340"/>
    </w:pPr>
  </w:style>
  <w:style w:type="paragraph" w:styleId="List4">
    <w:name w:val="List 4"/>
    <w:basedOn w:val="BodyText"/>
    <w:rsid w:val="00730CDA"/>
    <w:pPr>
      <w:tabs>
        <w:tab w:val="left" w:pos="1361"/>
      </w:tabs>
      <w:spacing w:before="60" w:after="60"/>
      <w:ind w:left="1361" w:hanging="340"/>
    </w:pPr>
  </w:style>
  <w:style w:type="paragraph" w:styleId="List5">
    <w:name w:val="List 5"/>
    <w:basedOn w:val="BodyText"/>
    <w:rsid w:val="00730CDA"/>
    <w:pPr>
      <w:tabs>
        <w:tab w:val="left" w:pos="1701"/>
      </w:tabs>
      <w:spacing w:before="60" w:after="60"/>
      <w:ind w:left="1701" w:hanging="340"/>
    </w:pPr>
  </w:style>
  <w:style w:type="paragraph" w:styleId="ListBullet3">
    <w:name w:val="List Bullet 3"/>
    <w:basedOn w:val="List3"/>
    <w:rsid w:val="00730CDA"/>
    <w:pPr>
      <w:numPr>
        <w:numId w:val="15"/>
      </w:numPr>
      <w:tabs>
        <w:tab w:val="clear" w:pos="1021"/>
      </w:tabs>
      <w:ind w:left="1037" w:hanging="357"/>
    </w:pPr>
  </w:style>
  <w:style w:type="paragraph" w:styleId="ListBullet4">
    <w:name w:val="List Bullet 4"/>
    <w:basedOn w:val="List4"/>
    <w:rsid w:val="00730CDA"/>
    <w:pPr>
      <w:numPr>
        <w:numId w:val="3"/>
      </w:numPr>
      <w:tabs>
        <w:tab w:val="clear" w:pos="1361"/>
      </w:tabs>
    </w:pPr>
  </w:style>
  <w:style w:type="paragraph" w:styleId="ListBullet5">
    <w:name w:val="List Bullet 5"/>
    <w:basedOn w:val="List5"/>
    <w:rsid w:val="00730CDA"/>
    <w:pPr>
      <w:numPr>
        <w:numId w:val="4"/>
      </w:numPr>
    </w:pPr>
  </w:style>
  <w:style w:type="paragraph" w:styleId="ListContinue2">
    <w:name w:val="List Continue 2"/>
    <w:basedOn w:val="List2"/>
    <w:rsid w:val="00730CDA"/>
    <w:pPr>
      <w:ind w:firstLine="0"/>
    </w:pPr>
  </w:style>
  <w:style w:type="paragraph" w:styleId="ListContinue3">
    <w:name w:val="List Continue 3"/>
    <w:basedOn w:val="List3"/>
    <w:rsid w:val="00730CDA"/>
    <w:pPr>
      <w:ind w:left="1021" w:firstLine="0"/>
    </w:pPr>
  </w:style>
  <w:style w:type="paragraph" w:styleId="ListContinue4">
    <w:name w:val="List Continue 4"/>
    <w:basedOn w:val="List4"/>
    <w:rsid w:val="00730CDA"/>
    <w:pPr>
      <w:ind w:firstLine="0"/>
    </w:pPr>
  </w:style>
  <w:style w:type="paragraph" w:styleId="ListContinue5">
    <w:name w:val="List Continue 5"/>
    <w:basedOn w:val="List5"/>
    <w:rsid w:val="00730CDA"/>
    <w:pPr>
      <w:ind w:firstLine="0"/>
    </w:pPr>
  </w:style>
  <w:style w:type="paragraph" w:styleId="ListNumber3">
    <w:name w:val="List Number 3"/>
    <w:basedOn w:val="List3"/>
    <w:rsid w:val="00730CDA"/>
    <w:pPr>
      <w:numPr>
        <w:numId w:val="5"/>
      </w:numPr>
    </w:pPr>
  </w:style>
  <w:style w:type="paragraph" w:styleId="ListNumber4">
    <w:name w:val="List Number 4"/>
    <w:basedOn w:val="List4"/>
    <w:rsid w:val="00730CDA"/>
    <w:pPr>
      <w:numPr>
        <w:numId w:val="6"/>
      </w:numPr>
    </w:pPr>
  </w:style>
  <w:style w:type="paragraph" w:styleId="ListNumber5">
    <w:name w:val="List Number 5"/>
    <w:basedOn w:val="List5"/>
    <w:rsid w:val="00730CDA"/>
    <w:pPr>
      <w:numPr>
        <w:numId w:val="7"/>
      </w:numPr>
    </w:pPr>
  </w:style>
  <w:style w:type="paragraph" w:styleId="BlockText">
    <w:name w:val="Block Text"/>
    <w:basedOn w:val="Normal"/>
    <w:rsid w:val="00730CDA"/>
    <w:pPr>
      <w:spacing w:after="120"/>
      <w:ind w:left="1440" w:right="1440"/>
    </w:pPr>
  </w:style>
  <w:style w:type="character" w:customStyle="1" w:styleId="Subscript">
    <w:name w:val="Subscript"/>
    <w:basedOn w:val="DefaultParagraphFont"/>
    <w:rsid w:val="00730CDA"/>
    <w:rPr>
      <w:sz w:val="16"/>
      <w:vertAlign w:val="subscript"/>
    </w:rPr>
  </w:style>
  <w:style w:type="character" w:customStyle="1" w:styleId="Superscript">
    <w:name w:val="Superscript"/>
    <w:basedOn w:val="DefaultParagraphFont"/>
    <w:rsid w:val="00730CDA"/>
    <w:rPr>
      <w:sz w:val="16"/>
      <w:vertAlign w:val="superscript"/>
    </w:rPr>
  </w:style>
  <w:style w:type="character" w:customStyle="1" w:styleId="Symbols">
    <w:name w:val="Symbols"/>
    <w:basedOn w:val="DefaultParagraphFont"/>
    <w:rsid w:val="00730CDA"/>
    <w:rPr>
      <w:rFonts w:ascii="Symbol" w:hAnsi="Symbol"/>
    </w:rPr>
  </w:style>
  <w:style w:type="character" w:customStyle="1" w:styleId="MenuOptions">
    <w:name w:val="Menu Options"/>
    <w:basedOn w:val="DefaultParagraphFont"/>
    <w:rsid w:val="00730CDA"/>
    <w:rPr>
      <w:rFonts w:ascii="Arial Narrow" w:hAnsi="Arial Narrow"/>
      <w:smallCaps/>
    </w:rPr>
  </w:style>
  <w:style w:type="character" w:customStyle="1" w:styleId="Buttons">
    <w:name w:val="Buttons"/>
    <w:basedOn w:val="DefaultParagraphFont"/>
    <w:rsid w:val="00730CDA"/>
    <w:rPr>
      <w:b/>
    </w:rPr>
  </w:style>
  <w:style w:type="character" w:customStyle="1" w:styleId="Underlined">
    <w:name w:val="Underlined"/>
    <w:basedOn w:val="DefaultParagraphFont"/>
    <w:rsid w:val="00730CDA"/>
    <w:rPr>
      <w:u w:val="single"/>
    </w:rPr>
  </w:style>
  <w:style w:type="paragraph" w:customStyle="1" w:styleId="TableBodyTextRight">
    <w:name w:val="Table Body Text Right"/>
    <w:basedOn w:val="TableBodyText"/>
    <w:rsid w:val="00730CDA"/>
    <w:pPr>
      <w:widowControl w:val="0"/>
      <w:autoSpaceDE w:val="0"/>
      <w:autoSpaceDN w:val="0"/>
      <w:adjustRightInd w:val="0"/>
      <w:jc w:val="right"/>
    </w:pPr>
    <w:rPr>
      <w:rFonts w:cs="Arial"/>
      <w:szCs w:val="18"/>
    </w:rPr>
  </w:style>
  <w:style w:type="paragraph" w:customStyle="1" w:styleId="CopyrightText">
    <w:name w:val="Copyright Text"/>
    <w:basedOn w:val="BodyText"/>
    <w:rsid w:val="00730CDA"/>
    <w:rPr>
      <w:sz w:val="18"/>
    </w:rPr>
  </w:style>
  <w:style w:type="paragraph" w:customStyle="1" w:styleId="BodySmallRight">
    <w:name w:val="Body Small Right"/>
    <w:basedOn w:val="BodyTextRight"/>
    <w:rsid w:val="00730CDA"/>
    <w:rPr>
      <w:sz w:val="18"/>
      <w:szCs w:val="18"/>
    </w:rPr>
  </w:style>
  <w:style w:type="paragraph" w:customStyle="1" w:styleId="MarginEdition">
    <w:name w:val="Margin Edition"/>
    <w:basedOn w:val="MarginNote"/>
    <w:rsid w:val="00730CDA"/>
    <w:pPr>
      <w:spacing w:before="0" w:after="0"/>
    </w:pPr>
    <w:rPr>
      <w:rFonts w:ascii="Times New Roman" w:hAnsi="Times New Roman"/>
      <w:color w:val="999999"/>
    </w:rPr>
  </w:style>
  <w:style w:type="paragraph" w:customStyle="1" w:styleId="Spacer">
    <w:name w:val="Spacer"/>
    <w:basedOn w:val="Normal"/>
    <w:rsid w:val="00730CDA"/>
    <w:rPr>
      <w:sz w:val="2"/>
      <w:szCs w:val="2"/>
    </w:rPr>
  </w:style>
  <w:style w:type="character" w:customStyle="1" w:styleId="Small">
    <w:name w:val="Small"/>
    <w:basedOn w:val="DefaultParagraphFont"/>
    <w:rsid w:val="00730CDA"/>
    <w:rPr>
      <w:sz w:val="16"/>
    </w:rPr>
  </w:style>
  <w:style w:type="paragraph" w:customStyle="1" w:styleId="WideTable">
    <w:name w:val="Wide Table"/>
    <w:basedOn w:val="Normal"/>
    <w:rsid w:val="00730CDA"/>
    <w:pPr>
      <w:ind w:left="-1418"/>
    </w:pPr>
    <w:rPr>
      <w:sz w:val="2"/>
      <w:szCs w:val="2"/>
    </w:rPr>
  </w:style>
  <w:style w:type="character" w:styleId="PageNumber">
    <w:name w:val="page number"/>
    <w:basedOn w:val="DefaultParagraphFont"/>
    <w:rsid w:val="00730CDA"/>
  </w:style>
  <w:style w:type="paragraph" w:styleId="Quote">
    <w:name w:val="Quote"/>
    <w:basedOn w:val="Heading1"/>
    <w:link w:val="QuoteChar"/>
    <w:qFormat/>
    <w:rsid w:val="00730CDA"/>
    <w:rPr>
      <w:b w:val="0"/>
      <w:sz w:val="72"/>
      <w:szCs w:val="72"/>
      <w:lang w:val="en-NZ"/>
    </w:rPr>
  </w:style>
  <w:style w:type="character" w:customStyle="1" w:styleId="QuoteChar">
    <w:name w:val="Quote Char"/>
    <w:basedOn w:val="DefaultParagraphFont"/>
    <w:link w:val="Quote"/>
    <w:rsid w:val="00730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CDA"/>
    <w:pPr>
      <w:pageBreakBefore/>
    </w:pPr>
  </w:style>
  <w:style w:type="paragraph" w:customStyle="1" w:styleId="Border">
    <w:name w:val="Border"/>
    <w:basedOn w:val="Normal"/>
    <w:qFormat/>
    <w:rsid w:val="00730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CDA"/>
    <w:rPr>
      <w:b/>
      <w:bCs/>
      <w:i/>
      <w:iCs/>
      <w:color w:val="auto"/>
    </w:rPr>
  </w:style>
  <w:style w:type="paragraph" w:styleId="IntenseQuote">
    <w:name w:val="Intense Quote"/>
    <w:basedOn w:val="Normal"/>
    <w:next w:val="Normal"/>
    <w:link w:val="IntenseQuoteChar"/>
    <w:uiPriority w:val="30"/>
    <w:qFormat/>
    <w:rsid w:val="00730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CDA"/>
    <w:rPr>
      <w:smallCaps/>
      <w:color w:val="auto"/>
      <w:u w:val="single"/>
    </w:rPr>
  </w:style>
  <w:style w:type="character" w:styleId="IntenseReference">
    <w:name w:val="Intense Reference"/>
    <w:basedOn w:val="DefaultParagraphFont"/>
    <w:uiPriority w:val="32"/>
    <w:qFormat/>
    <w:rsid w:val="00730CDA"/>
    <w:rPr>
      <w:b/>
      <w:bCs/>
      <w:smallCaps/>
      <w:color w:val="auto"/>
      <w:spacing w:val="5"/>
      <w:u w:val="single"/>
    </w:rPr>
  </w:style>
  <w:style w:type="paragraph" w:customStyle="1" w:styleId="2ColumnHeading">
    <w:name w:val="2Column Heading"/>
    <w:basedOn w:val="BodyText"/>
    <w:qFormat/>
    <w:rsid w:val="00730CDA"/>
    <w:pPr>
      <w:spacing w:after="60"/>
      <w:ind w:left="-2268"/>
    </w:pPr>
    <w:rPr>
      <w:b/>
    </w:rPr>
  </w:style>
  <w:style w:type="paragraph" w:customStyle="1" w:styleId="Heading1TOC">
    <w:name w:val="Heading1 TOC"/>
    <w:basedOn w:val="Normal"/>
    <w:qFormat/>
    <w:rsid w:val="00730CDA"/>
    <w:pPr>
      <w:spacing w:before="240" w:after="120"/>
    </w:pPr>
    <w:rPr>
      <w:rFonts w:ascii="Times New Roman" w:hAnsi="Times New Roman"/>
      <w:b/>
      <w:sz w:val="32"/>
    </w:rPr>
  </w:style>
  <w:style w:type="paragraph" w:customStyle="1" w:styleId="Heading2TOC">
    <w:name w:val="Heading2 TOC"/>
    <w:basedOn w:val="Normal"/>
    <w:qFormat/>
    <w:rsid w:val="00730CDA"/>
    <w:pPr>
      <w:spacing w:before="240" w:after="60"/>
    </w:pPr>
    <w:rPr>
      <w:rFonts w:ascii="Times New Roman" w:hAnsi="Times New Roman"/>
      <w:b/>
      <w:sz w:val="28"/>
    </w:rPr>
  </w:style>
  <w:style w:type="character" w:customStyle="1" w:styleId="Underline">
    <w:name w:val="Underline"/>
    <w:basedOn w:val="DefaultParagraphFont"/>
    <w:qFormat/>
    <w:rsid w:val="00730CDA"/>
    <w:rPr>
      <w:u w:val="single"/>
    </w:rPr>
  </w:style>
  <w:style w:type="paragraph" w:styleId="BalloonText">
    <w:name w:val="Balloon Text"/>
    <w:basedOn w:val="Normal"/>
    <w:link w:val="BalloonTextChar"/>
    <w:rsid w:val="00730CDA"/>
    <w:rPr>
      <w:rFonts w:ascii="Tahoma" w:hAnsi="Tahoma" w:cs="Tahoma"/>
      <w:sz w:val="16"/>
      <w:szCs w:val="16"/>
    </w:rPr>
  </w:style>
  <w:style w:type="character" w:customStyle="1" w:styleId="BalloonTextChar">
    <w:name w:val="Balloon Text Char"/>
    <w:basedOn w:val="DefaultParagraphFont"/>
    <w:link w:val="BalloonText"/>
    <w:rsid w:val="00730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C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CDA"/>
    <w:rPr>
      <w:b/>
      <w:color w:val="660033"/>
      <w:spacing w:val="0"/>
    </w:rPr>
  </w:style>
  <w:style w:type="paragraph" w:customStyle="1" w:styleId="Nameditemlist">
    <w:name w:val="Named item list"/>
    <w:basedOn w:val="BodyText"/>
    <w:qFormat/>
    <w:rsid w:val="00730C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2209</Words>
  <Characters>13677</Characters>
  <Application>Microsoft Office Word</Application>
  <DocSecurity>0</DocSecurity>
  <Lines>531</Lines>
  <Paragraphs>259</Paragraphs>
  <ScaleCrop>false</ScaleCrop>
  <Company>Author-it Software Corporation Ltd.</Company>
  <LinksUpToDate>false</LinksUpToDate>
  <CharactersWithSpaces>15738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CPCPCM2043A Carry out WHS requirements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2016-08-21T23:01:00Z</dcterms:created>
  <dcterms:modified xsi:type="dcterms:W3CDTF">2016-08-21T23:01:00Z</dcterms:modified>
</cp:coreProperties>
</file>