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E4E" w:rsidP="00982E4E">
      <w:pPr>
        <w:pStyle w:val="Title"/>
      </w:pPr>
      <w:r>
        <w:fldChar w:fldCharType="begin"/>
      </w:r>
      <w:r>
        <w:instrText xml:space="preserve"> TITLE   \* MERGEFORMAT </w:instrText>
      </w:r>
      <w:r>
        <w:fldChar w:fldCharType="separate"/>
      </w:r>
      <w:r>
        <w:t>CPCMCM7002A Manage the quality of projects and processes</w:t>
      </w:r>
      <w:r>
        <w:fldChar w:fldCharType="end"/>
      </w:r>
    </w:p>
    <w:p w:rsidR="00982E4E" w:rsidP="00982E4E">
      <w:pPr>
        <w:pStyle w:val="Version"/>
        <w:sectPr w:rsidSect="009D36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664" w:rsidP="009D3664">
      <w:pPr>
        <w:pStyle w:val="SuperHeading"/>
      </w:pPr>
      <w:r w:rsidRPr="009D3664">
        <w:t>CPCMCM7002A Manage the quality of projects and processes</w:t>
      </w:r>
    </w:p>
    <w:p w:rsidR="00000000" w:rsidRPr="009D3664" w:rsidP="009D3664">
      <w:pPr>
        <w:pStyle w:val="Heading1"/>
      </w:pPr>
      <w:bookmarkStart w:id="1" w:name="O_269788"/>
      <w:bookmarkEnd w:id="1"/>
      <w:r w:rsidRPr="009D3664">
        <w:t>Modification History</w:t>
      </w:r>
    </w:p>
    <w:p w:rsidR="00000000" w:rsidRPr="009D3664" w:rsidP="009D3664">
      <w:pPr>
        <w:pStyle w:val="BodyText"/>
      </w:pPr>
      <w:r w:rsidRPr="009D3664">
        <w:t>Not Applicable</w:t>
      </w:r>
    </w:p>
    <w:p w:rsidR="00000000" w:rsidRPr="009D3664" w:rsidP="009D3664">
      <w:pPr>
        <w:pStyle w:val="AllowPageBreak"/>
      </w:pPr>
    </w:p>
    <w:p w:rsidR="00000000" w:rsidRPr="009D3664" w:rsidP="009D3664">
      <w:pPr>
        <w:pStyle w:val="Heading1"/>
      </w:pPr>
      <w:bookmarkStart w:id="2" w:name="O_199291"/>
      <w:bookmarkEnd w:id="2"/>
      <w:r w:rsidRPr="009D3664">
        <w:t>Unit Descriptor</w:t>
      </w:r>
    </w:p>
    <w:tbl>
      <w:tblPr>
        <w:tblW w:w="0" w:type="auto"/>
        <w:tblLayout w:type="fixed"/>
        <w:tblCellMar>
          <w:left w:w="62" w:type="dxa"/>
          <w:right w:w="62" w:type="dxa"/>
        </w:tblCellMar>
        <w:tblLook w:val="0000"/>
      </w:tblPr>
      <w:tblGrid>
        <w:gridCol w:w="2640"/>
        <w:gridCol w:w="5882"/>
      </w:tblGrid>
      <w:tr w:rsidTr="00982E4E">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Unit descriptor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This unit of competency specifies the outcomes required to establish performance measures, and r</w:t>
            </w:r>
            <w:r w:rsidRPr="009D3664">
              <w:t>eview and improve the management and accountability of processes and projects.</w:t>
            </w:r>
          </w:p>
          <w:p w:rsidR="00000000" w:rsidRPr="009D3664" w:rsidP="009D3664">
            <w:pPr>
              <w:pStyle w:val="BodyText"/>
            </w:pPr>
            <w:r w:rsidRPr="009D3664">
              <w:t>The unit covers the importance of the need for quality control and responsibility for the provision of service outcomes to customers. The management and driving of organisationa</w:t>
            </w:r>
            <w:r w:rsidRPr="009D3664">
              <w:t>l change is a major focus of the unit.</w:t>
            </w:r>
          </w:p>
          <w:p w:rsidR="00000000" w:rsidRPr="009D3664" w:rsidP="009D3664">
            <w:pPr>
              <w:pStyle w:val="BodyText"/>
            </w:pPr>
            <w:r w:rsidRPr="009D3664">
              <w:t>Licensing, legislative, regulatory or certification requirements may apply to this unit and so the varying state or territory requirements should be confirmed with the relevant body.</w:t>
            </w:r>
          </w:p>
        </w:tc>
      </w:tr>
    </w:tbl>
    <w:p w:rsidR="00982E4E" w:rsidP="009D3664">
      <w:pPr>
        <w:pStyle w:val="BodyText"/>
      </w:pPr>
    </w:p>
    <w:p w:rsidR="00982E4E" w:rsidP="009D3664">
      <w:pPr>
        <w:pStyle w:val="BodyText"/>
      </w:pPr>
    </w:p>
    <w:p w:rsidR="00000000" w:rsidRPr="009D3664" w:rsidP="009D3664">
      <w:pPr>
        <w:pStyle w:val="Heading1"/>
      </w:pPr>
      <w:bookmarkStart w:id="3" w:name="O_199295"/>
      <w:bookmarkEnd w:id="3"/>
      <w:r w:rsidRPr="009D3664">
        <w:t>Application of the Unit</w:t>
      </w:r>
    </w:p>
    <w:tbl>
      <w:tblPr>
        <w:tblW w:w="0" w:type="auto"/>
        <w:tblLayout w:type="fixed"/>
        <w:tblCellMar>
          <w:left w:w="62" w:type="dxa"/>
          <w:right w:w="62" w:type="dxa"/>
        </w:tblCellMar>
        <w:tblLook w:val="0000"/>
      </w:tblPr>
      <w:tblGrid>
        <w:gridCol w:w="2714"/>
        <w:gridCol w:w="5808"/>
      </w:tblGrid>
      <w:tr w:rsidTr="00982E4E">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Application of the unit</w:t>
            </w:r>
          </w:p>
        </w:tc>
        <w:tc>
          <w:tcPr>
            <w:tcW w:w="5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This unit supports the attainment of skills and knowledge required for competent workplace performance in organisations of all sizes. It will support managers with responsibility in all sectors.</w:t>
            </w:r>
          </w:p>
          <w:p w:rsidR="00000000" w:rsidRPr="009D3664" w:rsidP="009D3664">
            <w:pPr>
              <w:pStyle w:val="BodyText"/>
            </w:pPr>
            <w:r w:rsidRPr="009D3664">
              <w:t xml:space="preserve">The unit may </w:t>
            </w:r>
            <w:r w:rsidRPr="009D3664">
              <w:t>be contextualised to the specific needs, and knowledge and skill requirements, of all industries provided the essential outcomes of the unit are not changed.</w:t>
            </w:r>
          </w:p>
        </w:tc>
      </w:tr>
    </w:tbl>
    <w:p w:rsidR="00982E4E" w:rsidP="009D3664">
      <w:pPr>
        <w:pStyle w:val="BodyText"/>
      </w:pPr>
    </w:p>
    <w:p w:rsidR="00982E4E" w:rsidP="009D3664">
      <w:pPr>
        <w:pStyle w:val="BodyText"/>
      </w:pPr>
    </w:p>
    <w:p w:rsidR="00000000" w:rsidRPr="009D3664" w:rsidP="009D3664">
      <w:pPr>
        <w:pStyle w:val="Heading1"/>
      </w:pPr>
      <w:bookmarkStart w:id="4" w:name="O_278048"/>
      <w:bookmarkEnd w:id="4"/>
      <w:r w:rsidRPr="009D3664">
        <w:t>Licensing/Regulatory Information</w:t>
      </w:r>
    </w:p>
    <w:p w:rsidR="00000000" w:rsidRPr="009D3664" w:rsidP="009D3664">
      <w:pPr>
        <w:pStyle w:val="BodyText"/>
      </w:pPr>
      <w:r w:rsidRPr="009D3664">
        <w:t>Refer to Unit Descriptor</w:t>
      </w:r>
    </w:p>
    <w:p w:rsidR="00000000" w:rsidRPr="009D3664" w:rsidP="009D3664">
      <w:pPr>
        <w:pStyle w:val="AllowPageBreak"/>
      </w:pPr>
    </w:p>
    <w:p w:rsidR="00000000" w:rsidRPr="009D3664" w:rsidP="009D3664">
      <w:pPr>
        <w:pStyle w:val="Heading1"/>
      </w:pPr>
      <w:bookmarkStart w:id="5" w:name="O_199293"/>
      <w:bookmarkEnd w:id="5"/>
      <w:r w:rsidRPr="009D3664">
        <w:t>Pre-Requisites</w:t>
      </w:r>
    </w:p>
    <w:tbl>
      <w:tblPr>
        <w:tblW w:w="0" w:type="auto"/>
        <w:tblLayout w:type="fixed"/>
        <w:tblCellMar>
          <w:left w:w="62" w:type="dxa"/>
          <w:right w:w="62" w:type="dxa"/>
        </w:tblCellMar>
        <w:tblLook w:val="0000"/>
      </w:tblPr>
      <w:tblGrid>
        <w:gridCol w:w="2723"/>
        <w:gridCol w:w="5799"/>
      </w:tblGrid>
      <w:tr w:rsidTr="00982E4E">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Prerequisite units</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Nil</w:t>
            </w:r>
          </w:p>
        </w:tc>
      </w:tr>
    </w:tbl>
    <w:p w:rsidR="00982E4E" w:rsidP="009D3664">
      <w:pPr>
        <w:pStyle w:val="BodyText"/>
      </w:pPr>
    </w:p>
    <w:p w:rsidR="00982E4E" w:rsidP="009D3664">
      <w:pPr>
        <w:pStyle w:val="BodyText"/>
      </w:pPr>
    </w:p>
    <w:p w:rsidR="00000000" w:rsidRPr="009D3664" w:rsidP="009D3664">
      <w:pPr>
        <w:pStyle w:val="Heading1"/>
      </w:pPr>
      <w:bookmarkStart w:id="6" w:name="O_199292"/>
      <w:bookmarkEnd w:id="6"/>
      <w:r w:rsidRPr="009D3664">
        <w:t>Employability Skills Information</w:t>
      </w:r>
    </w:p>
    <w:tbl>
      <w:tblPr>
        <w:tblW w:w="0" w:type="auto"/>
        <w:tblLayout w:type="fixed"/>
        <w:tblCellMar>
          <w:left w:w="62" w:type="dxa"/>
          <w:right w:w="62" w:type="dxa"/>
        </w:tblCellMar>
        <w:tblLook w:val="0000"/>
      </w:tblPr>
      <w:tblGrid>
        <w:gridCol w:w="2749"/>
        <w:gridCol w:w="5773"/>
      </w:tblGrid>
      <w:tr w:rsidTr="00982E4E">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Employability skills</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This unit contains employability skills.</w:t>
            </w:r>
          </w:p>
        </w:tc>
      </w:tr>
    </w:tbl>
    <w:p w:rsidR="00982E4E" w:rsidP="009D3664">
      <w:pPr>
        <w:pStyle w:val="BodyText"/>
      </w:pPr>
    </w:p>
    <w:p w:rsidR="00982E4E" w:rsidP="009D3664">
      <w:pPr>
        <w:pStyle w:val="BodyText"/>
      </w:pPr>
    </w:p>
    <w:p w:rsidR="00000000" w:rsidRPr="009D3664" w:rsidP="009D3664">
      <w:pPr>
        <w:pStyle w:val="Heading1"/>
      </w:pPr>
      <w:bookmarkStart w:id="7" w:name="O_287834"/>
      <w:bookmarkEnd w:id="7"/>
      <w:r w:rsidRPr="009D3664">
        <w:t>Elements and Performance Criteria Pre-Content</w:t>
      </w:r>
    </w:p>
    <w:tbl>
      <w:tblPr>
        <w:tblW w:w="0" w:type="auto"/>
        <w:tblLayout w:type="fixed"/>
        <w:tblCellMar>
          <w:left w:w="62" w:type="dxa"/>
          <w:right w:w="62" w:type="dxa"/>
        </w:tblCellMar>
        <w:tblLook w:val="0000"/>
      </w:tblPr>
      <w:tblGrid>
        <w:gridCol w:w="2571"/>
        <w:gridCol w:w="5951"/>
      </w:tblGrid>
      <w:tr w:rsidTr="00982E4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Performance criteria describe the performance needed to demonstrate achievement of the element. Where bold italicised text is used, further information is detailed in the required skills and</w:t>
            </w:r>
            <w:r w:rsidRPr="009D3664">
              <w:t xml:space="preserve"> knowledge section and the range statement. Assessment of performance is to be consistent with the evidence guide.</w:t>
            </w:r>
          </w:p>
        </w:tc>
      </w:tr>
    </w:tbl>
    <w:p w:rsidR="00000000" w:rsidRPr="009D3664" w:rsidP="009D3664">
      <w:pPr>
        <w:pStyle w:val="BodyText"/>
      </w:pPr>
    </w:p>
    <w:p w:rsidR="00000000" w:rsidRPr="009D3664" w:rsidP="009D3664">
      <w:pPr>
        <w:pStyle w:val="AllowPageBreak"/>
      </w:pPr>
    </w:p>
    <w:p w:rsidR="00000000" w:rsidRPr="009D3664" w:rsidP="009D3664">
      <w:pPr>
        <w:pStyle w:val="Heading1"/>
      </w:pPr>
      <w:bookmarkStart w:id="8" w:name="O_234501"/>
      <w:bookmarkEnd w:id="8"/>
      <w:r w:rsidRPr="009D3664">
        <w:t>Elements and Performance Criteria</w:t>
      </w:r>
    </w:p>
    <w:tbl>
      <w:tblPr>
        <w:tblW w:w="0" w:type="auto"/>
        <w:tblLayout w:type="fixed"/>
        <w:tblCellMar>
          <w:left w:w="62" w:type="dxa"/>
          <w:right w:w="62" w:type="dxa"/>
        </w:tblCellMar>
        <w:tblLook w:val="0000"/>
      </w:tblPr>
      <w:tblGrid>
        <w:gridCol w:w="2571"/>
        <w:gridCol w:w="5951"/>
      </w:tblGrid>
      <w:tr w:rsidTr="00982E4E">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PERFORMANCE CRITERIA</w:t>
            </w:r>
          </w:p>
        </w:tc>
      </w:tr>
      <w:tr w:rsidTr="00982E4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List"/>
              <w:rPr>
                <w:lang w:val="en-NZ"/>
              </w:rPr>
            </w:pPr>
            <w:r w:rsidRPr="009D3664">
              <w:t>1.</w:t>
            </w:r>
            <w:r w:rsidRPr="009D3664">
              <w:tab/>
            </w:r>
            <w:r w:rsidRPr="009D3664">
              <w:t>Establish the parameters for the delivery of a quality project or process.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List2"/>
            </w:pPr>
            <w:r w:rsidRPr="009D3664">
              <w:t>1.1.</w:t>
            </w:r>
            <w:r w:rsidRPr="009D3664">
              <w:tab/>
            </w:r>
            <w:r w:rsidRPr="009D3664">
              <w:rPr>
                <w:rStyle w:val="BoldandItalics"/>
              </w:rPr>
              <w:t>Concepts</w:t>
            </w:r>
            <w:r w:rsidRPr="009D3664">
              <w:t xml:space="preserve">, </w:t>
            </w:r>
            <w:r w:rsidRPr="009D3664">
              <w:rPr>
                <w:rStyle w:val="BoldandItalics"/>
              </w:rPr>
              <w:t>principles and tools of quality management and continuous improvement</w:t>
            </w:r>
            <w:r w:rsidRPr="009D3664">
              <w:t xml:space="preserve"> are researched and analysed.</w:t>
            </w:r>
          </w:p>
          <w:p w:rsidR="00000000" w:rsidRPr="009D3664" w:rsidP="009D3664">
            <w:pPr>
              <w:pStyle w:val="List2"/>
            </w:pPr>
            <w:r w:rsidRPr="009D3664">
              <w:t>1.2.</w:t>
            </w:r>
            <w:r w:rsidRPr="009D3664">
              <w:tab/>
              <w:t xml:space="preserve">Extensive research is undertaken to determine the current and </w:t>
            </w:r>
            <w:r w:rsidRPr="009D3664">
              <w:t>future service requirements of customers.</w:t>
            </w:r>
          </w:p>
          <w:p w:rsidR="00000000" w:rsidP="009D3664">
            <w:pPr>
              <w:pStyle w:val="List2"/>
              <w:rPr>
                <w:lang w:val="en-NZ"/>
              </w:rPr>
            </w:pPr>
            <w:r w:rsidRPr="009D3664">
              <w:t>1.3.</w:t>
            </w:r>
            <w:r w:rsidRPr="009D3664">
              <w:tab/>
              <w:t>Recommended or anticipated changes to services and processes are communicated to senior management for review.</w:t>
            </w:r>
          </w:p>
        </w:tc>
      </w:tr>
      <w:tr w:rsidTr="00982E4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List"/>
              <w:rPr>
                <w:lang w:val="en-NZ"/>
              </w:rPr>
            </w:pPr>
            <w:r w:rsidRPr="009D3664">
              <w:t>2.</w:t>
            </w:r>
            <w:r w:rsidRPr="009D3664">
              <w:tab/>
              <w:t>Establish and implement performance measurement strategies.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List2"/>
            </w:pPr>
            <w:r w:rsidRPr="009D3664">
              <w:t>2.1.</w:t>
            </w:r>
            <w:r w:rsidRPr="009D3664">
              <w:tab/>
              <w:t xml:space="preserve">Financial and </w:t>
            </w:r>
            <w:r w:rsidRPr="009D3664">
              <w:rPr>
                <w:rStyle w:val="BoldandItalics"/>
              </w:rPr>
              <w:t>non</w:t>
            </w:r>
            <w:r w:rsidRPr="009D3664">
              <w:t>-</w:t>
            </w:r>
            <w:r w:rsidRPr="009D3664">
              <w:rPr>
                <w:rStyle w:val="BoldandItalics"/>
              </w:rPr>
              <w:t>financial</w:t>
            </w:r>
            <w:r w:rsidRPr="009D3664">
              <w:t xml:space="preserve"> performance measures and evaluation criteria for the specific project or service delivery are established and agreed upon by relevant stakeholders and communicated to relevant staff and service providers.</w:t>
            </w:r>
          </w:p>
          <w:p w:rsidR="00000000" w:rsidRPr="009D3664" w:rsidP="009D3664">
            <w:pPr>
              <w:pStyle w:val="List2"/>
            </w:pPr>
            <w:r w:rsidRPr="009D3664">
              <w:t>2.2.</w:t>
            </w:r>
            <w:r w:rsidRPr="009D3664">
              <w:tab/>
              <w:t>Appropriate financial and non-financial bench</w:t>
            </w:r>
            <w:r w:rsidRPr="009D3664">
              <w:t>marks are determined and agreed to by relevant stakeholders.</w:t>
            </w:r>
          </w:p>
          <w:p w:rsidR="00000000" w:rsidRPr="009D3664" w:rsidP="009D3664">
            <w:pPr>
              <w:pStyle w:val="List2"/>
            </w:pPr>
            <w:r w:rsidRPr="009D3664">
              <w:t>2.3.</w:t>
            </w:r>
            <w:r w:rsidRPr="009D3664">
              <w:tab/>
              <w:t>Project and services are monitored to ensure they meet identified needs and service expectations.</w:t>
            </w:r>
          </w:p>
          <w:p w:rsidR="00000000" w:rsidRPr="009D3664" w:rsidP="009D3664">
            <w:pPr>
              <w:pStyle w:val="List2"/>
            </w:pPr>
            <w:r w:rsidRPr="009D3664">
              <w:t>2.4.</w:t>
            </w:r>
            <w:r w:rsidRPr="009D3664">
              <w:tab/>
              <w:t>Feedback from customers is communicated to relevant areas within the organisation and i</w:t>
            </w:r>
            <w:r w:rsidRPr="009D3664">
              <w:t>ncorporated into performance reviews.</w:t>
            </w:r>
          </w:p>
          <w:p w:rsidR="00000000" w:rsidRPr="009D3664" w:rsidP="009D3664">
            <w:pPr>
              <w:pStyle w:val="List2"/>
            </w:pPr>
            <w:r w:rsidRPr="009D3664">
              <w:t>2.5.</w:t>
            </w:r>
            <w:r w:rsidRPr="009D3664">
              <w:tab/>
              <w:t xml:space="preserve">Trends in </w:t>
            </w:r>
            <w:r w:rsidRPr="009D3664">
              <w:rPr>
                <w:rStyle w:val="BoldandItalics"/>
              </w:rPr>
              <w:t>customer</w:t>
            </w:r>
            <w:r w:rsidRPr="009D3664">
              <w:t>/</w:t>
            </w:r>
            <w:r w:rsidRPr="009D3664">
              <w:rPr>
                <w:rStyle w:val="BoldandItalics"/>
              </w:rPr>
              <w:t>stakeholder satisfaction</w:t>
            </w:r>
            <w:r w:rsidRPr="009D3664">
              <w:t xml:space="preserve"> and service usage are monitored to identify opportunities for improvements to services or processes.</w:t>
            </w:r>
          </w:p>
          <w:p w:rsidR="00000000" w:rsidP="009D3664">
            <w:pPr>
              <w:pStyle w:val="List2"/>
              <w:rPr>
                <w:lang w:val="en-NZ"/>
              </w:rPr>
            </w:pPr>
            <w:r w:rsidRPr="009D3664">
              <w:t>2.6.</w:t>
            </w:r>
            <w:r w:rsidRPr="009D3664">
              <w:tab/>
              <w:t>Issues of responsiveness and accessibility are reviewed and rep</w:t>
            </w:r>
            <w:r w:rsidRPr="009D3664">
              <w:t>orted.</w:t>
            </w:r>
          </w:p>
        </w:tc>
      </w:tr>
      <w:tr w:rsidTr="00982E4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List"/>
              <w:rPr>
                <w:lang w:val="en-NZ"/>
              </w:rPr>
            </w:pPr>
            <w:r w:rsidRPr="009D3664">
              <w:t>3.</w:t>
            </w:r>
            <w:r w:rsidRPr="009D3664">
              <w:tab/>
              <w:t>Facilitate accountability for project and service outcomes.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List2"/>
            </w:pPr>
            <w:r w:rsidRPr="009D3664">
              <w:t>3.1.</w:t>
            </w:r>
            <w:r w:rsidRPr="009D3664">
              <w:tab/>
              <w:t xml:space="preserve">Project management systems, </w:t>
            </w:r>
            <w:r w:rsidRPr="009D3664">
              <w:rPr>
                <w:rStyle w:val="BoldandItalics"/>
              </w:rPr>
              <w:t>reporting mechanisms</w:t>
            </w:r>
            <w:r w:rsidRPr="009D3664">
              <w:t xml:space="preserve"> and processes are established and communicated to staff and </w:t>
            </w:r>
            <w:r w:rsidRPr="009D3664">
              <w:rPr>
                <w:rStyle w:val="BoldandItalics"/>
              </w:rPr>
              <w:t>service providers</w:t>
            </w:r>
            <w:r w:rsidRPr="009D3664">
              <w:t>.</w:t>
            </w:r>
          </w:p>
          <w:p w:rsidR="00000000" w:rsidRPr="009D3664" w:rsidP="009D3664">
            <w:pPr>
              <w:pStyle w:val="List2"/>
            </w:pPr>
            <w:r w:rsidRPr="009D3664">
              <w:t>3.2.</w:t>
            </w:r>
            <w:r w:rsidRPr="009D3664">
              <w:tab/>
              <w:t xml:space="preserve">The results of service reviews against desired </w:t>
            </w:r>
            <w:r w:rsidRPr="009D3664">
              <w:t>targets are reported according to standard organisational procedures.</w:t>
            </w:r>
          </w:p>
          <w:p w:rsidR="00000000" w:rsidRPr="009D3664" w:rsidP="009D3664">
            <w:pPr>
              <w:pStyle w:val="List2"/>
            </w:pPr>
            <w:r w:rsidRPr="009D3664">
              <w:t>3.3.</w:t>
            </w:r>
            <w:r w:rsidRPr="009D3664">
              <w:tab/>
              <w:t>Tenders and contracted works are regularly monitored and adverse variations in established performance targets are immediately addressed.</w:t>
            </w:r>
          </w:p>
          <w:p w:rsidR="00000000" w:rsidRPr="009D3664" w:rsidP="009D3664">
            <w:pPr>
              <w:pStyle w:val="List2"/>
            </w:pPr>
            <w:r w:rsidRPr="009D3664">
              <w:t>3.4.</w:t>
            </w:r>
            <w:r w:rsidRPr="009D3664">
              <w:tab/>
              <w:t xml:space="preserve">Quality and efficiency of operational </w:t>
            </w:r>
            <w:r w:rsidRPr="009D3664">
              <w:t>processes are measured and documented.</w:t>
            </w:r>
          </w:p>
          <w:p w:rsidR="00000000" w:rsidP="009D3664">
            <w:pPr>
              <w:pStyle w:val="List2"/>
              <w:rPr>
                <w:lang w:val="en-NZ"/>
              </w:rPr>
            </w:pPr>
            <w:r w:rsidRPr="009D3664">
              <w:t>3.5.</w:t>
            </w:r>
            <w:r w:rsidRPr="009D3664">
              <w:tab/>
              <w:t>Service shortfalls are analysed and resolved in line with company policies and procedures, including customer service standards.</w:t>
            </w:r>
          </w:p>
        </w:tc>
      </w:tr>
      <w:tr w:rsidTr="00982E4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List"/>
              <w:rPr>
                <w:lang w:val="en-NZ"/>
              </w:rPr>
            </w:pPr>
            <w:r w:rsidRPr="009D3664">
              <w:t>4.</w:t>
            </w:r>
            <w:r w:rsidRPr="009D3664">
              <w:tab/>
              <w:t>Develop and implement change management processes.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List2"/>
            </w:pPr>
            <w:r w:rsidRPr="009D3664">
              <w:t>4.1.</w:t>
            </w:r>
            <w:r w:rsidRPr="009D3664">
              <w:tab/>
              <w:t xml:space="preserve">The need for change in </w:t>
            </w:r>
            <w:r w:rsidRPr="009D3664">
              <w:t>organisational processes and work culture to support project or service delivery is identified.</w:t>
            </w:r>
          </w:p>
          <w:p w:rsidR="00000000" w:rsidRPr="009D3664" w:rsidP="009D3664">
            <w:pPr>
              <w:pStyle w:val="List2"/>
            </w:pPr>
            <w:r w:rsidRPr="009D3664">
              <w:t>4.2.</w:t>
            </w:r>
            <w:r w:rsidRPr="009D3664">
              <w:tab/>
              <w:t xml:space="preserve">A </w:t>
            </w:r>
            <w:r w:rsidRPr="009D3664">
              <w:rPr>
                <w:rStyle w:val="BoldandItalics"/>
              </w:rPr>
              <w:t>change process</w:t>
            </w:r>
            <w:r w:rsidRPr="009D3664">
              <w:t xml:space="preserve"> to address the need is identified or developed, and implemented.</w:t>
            </w:r>
          </w:p>
          <w:p w:rsidR="00000000" w:rsidRPr="009D3664" w:rsidP="009D3664">
            <w:pPr>
              <w:pStyle w:val="List2"/>
            </w:pPr>
            <w:r w:rsidRPr="009D3664">
              <w:t>4.3.</w:t>
            </w:r>
            <w:r w:rsidRPr="009D3664">
              <w:tab/>
            </w:r>
            <w:r w:rsidRPr="009D3664">
              <w:t>Changes to operational processes, projects or services delivered are recommended and communicated to appropriate personnel with supporting information.</w:t>
            </w:r>
          </w:p>
          <w:p w:rsidR="00000000" w:rsidRPr="009D3664" w:rsidP="009D3664">
            <w:pPr>
              <w:pStyle w:val="List2"/>
            </w:pPr>
            <w:r w:rsidRPr="009D3664">
              <w:t>4.4.</w:t>
            </w:r>
            <w:r w:rsidRPr="009D3664">
              <w:tab/>
              <w:t xml:space="preserve">Staff members are adequately informed of improvement plans, their goals and changes to operational </w:t>
            </w:r>
            <w:r w:rsidRPr="009D3664">
              <w:t>procedures.</w:t>
            </w:r>
          </w:p>
          <w:p w:rsidR="00000000" w:rsidRPr="009D3664" w:rsidP="009D3664">
            <w:pPr>
              <w:pStyle w:val="List2"/>
            </w:pPr>
            <w:r w:rsidRPr="009D3664">
              <w:t>4.5.</w:t>
            </w:r>
            <w:r w:rsidRPr="009D3664">
              <w:tab/>
              <w:t>Appropriate methods are employed to gain commitment for change.</w:t>
            </w:r>
          </w:p>
          <w:p w:rsidR="00000000" w:rsidRPr="009D3664" w:rsidP="009D3664">
            <w:pPr>
              <w:pStyle w:val="List2"/>
            </w:pPr>
            <w:r w:rsidRPr="009D3664">
              <w:t>4.6.</w:t>
            </w:r>
            <w:r w:rsidRPr="009D3664">
              <w:tab/>
              <w:t>Improvement projects are implemented within agreed timelines and coordinated effectively.</w:t>
            </w:r>
          </w:p>
          <w:p w:rsidR="00000000" w:rsidRPr="009D3664" w:rsidP="009D3664">
            <w:pPr>
              <w:pStyle w:val="List2"/>
            </w:pPr>
            <w:r w:rsidRPr="009D3664">
              <w:t>4.7.</w:t>
            </w:r>
            <w:r w:rsidRPr="009D3664">
              <w:tab/>
              <w:t>The effectiveness and benefits of implemented changes are monitored and rep</w:t>
            </w:r>
            <w:r w:rsidRPr="009D3664">
              <w:t>orted.</w:t>
            </w:r>
          </w:p>
          <w:p w:rsidR="00000000" w:rsidRPr="009D3664" w:rsidP="009D3664">
            <w:pPr>
              <w:pStyle w:val="List2"/>
            </w:pPr>
            <w:r w:rsidRPr="009D3664">
              <w:t>4.8.</w:t>
            </w:r>
            <w:r w:rsidRPr="009D3664">
              <w:tab/>
              <w:t>Outcomes of improvements are reviewed and used for further learning and continuous improvement by being shared across the company.</w:t>
            </w:r>
          </w:p>
        </w:tc>
      </w:tr>
    </w:tbl>
    <w:p w:rsidR="00982E4E" w:rsidP="009D3664">
      <w:pPr>
        <w:pStyle w:val="BodyText"/>
      </w:pPr>
    </w:p>
    <w:p w:rsidR="00982E4E" w:rsidP="009D3664">
      <w:pPr>
        <w:pStyle w:val="BodyText"/>
      </w:pPr>
    </w:p>
    <w:p w:rsidR="00000000" w:rsidRPr="009D3664" w:rsidP="009D3664">
      <w:pPr>
        <w:pStyle w:val="Heading1"/>
      </w:pPr>
      <w:bookmarkStart w:id="9" w:name="O_258451"/>
      <w:bookmarkEnd w:id="9"/>
      <w:r w:rsidRPr="009D3664">
        <w:t>Required Skills and Knowledge</w:t>
      </w:r>
    </w:p>
    <w:tbl>
      <w:tblPr>
        <w:tblW w:w="0" w:type="auto"/>
        <w:tblLayout w:type="fixed"/>
        <w:tblCellMar>
          <w:left w:w="62" w:type="dxa"/>
          <w:right w:w="62" w:type="dxa"/>
        </w:tblCellMar>
        <w:tblLook w:val="0000"/>
      </w:tblPr>
      <w:tblGrid>
        <w:gridCol w:w="8522"/>
      </w:tblGrid>
      <w:tr w:rsidTr="00982E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REQUIRED SKILLS AND KNOWLEDGE</w:t>
            </w:r>
          </w:p>
        </w:tc>
      </w:tr>
      <w:tr w:rsidTr="00982E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t>This section describes the skills and knowledge required for this unit.</w:t>
            </w:r>
          </w:p>
        </w:tc>
      </w:tr>
      <w:tr w:rsidTr="00982E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Required skills</w:t>
            </w:r>
          </w:p>
        </w:tc>
      </w:tr>
      <w:tr w:rsidTr="00982E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ListBullet"/>
            </w:pPr>
            <w:r w:rsidRPr="009D3664">
              <w:t xml:space="preserve">high level management and leadership skills </w:t>
            </w:r>
          </w:p>
          <w:p w:rsidR="00000000" w:rsidRPr="009D3664" w:rsidP="009D3664">
            <w:pPr>
              <w:pStyle w:val="ListBullet"/>
            </w:pPr>
            <w:r w:rsidRPr="009D3664">
              <w:t>ability to identify and evaluate potential obstacles to change</w:t>
            </w:r>
          </w:p>
          <w:p w:rsidR="00000000" w:rsidRPr="009D3664" w:rsidP="009D3664">
            <w:pPr>
              <w:pStyle w:val="ListBullet"/>
            </w:pPr>
            <w:r w:rsidRPr="009D3664">
              <w:t>analysis of organisational systems, processes and activities</w:t>
            </w:r>
          </w:p>
          <w:p w:rsidR="00000000" w:rsidRPr="009D3664" w:rsidP="009D3664">
            <w:pPr>
              <w:pStyle w:val="ListBullet"/>
            </w:pPr>
            <w:r w:rsidRPr="009D3664">
              <w:t>problem solving and creative thinking skills to develop a range of possible options</w:t>
            </w:r>
          </w:p>
          <w:p w:rsidR="00000000" w:rsidRPr="009D3664" w:rsidP="009D3664">
            <w:pPr>
              <w:pStyle w:val="ListBullet"/>
            </w:pPr>
            <w:r w:rsidRPr="009D3664">
              <w:t>developing a range of possible options in solving problems</w:t>
            </w:r>
          </w:p>
          <w:p w:rsidR="00000000" w:rsidRPr="009D3664" w:rsidP="009D3664">
            <w:pPr>
              <w:pStyle w:val="ListBullet"/>
            </w:pPr>
            <w:r w:rsidRPr="009D3664">
              <w:t>numeracy skills for:</w:t>
            </w:r>
          </w:p>
          <w:p w:rsidR="00000000" w:rsidRPr="009D3664" w:rsidP="009D3664">
            <w:pPr>
              <w:pStyle w:val="ListBullet2"/>
            </w:pPr>
            <w:r w:rsidRPr="009D3664">
              <w:t>calculating measures of perfor</w:t>
            </w:r>
            <w:r w:rsidRPr="009D3664">
              <w:t>mance</w:t>
            </w:r>
          </w:p>
          <w:p w:rsidR="00000000" w:rsidRPr="009D3664" w:rsidP="009D3664">
            <w:pPr>
              <w:pStyle w:val="ListBullet2"/>
            </w:pPr>
            <w:r w:rsidRPr="009D3664">
              <w:t>analysing financial reports</w:t>
            </w:r>
          </w:p>
          <w:p w:rsidR="00000000" w:rsidRPr="009D3664" w:rsidP="009D3664">
            <w:pPr>
              <w:pStyle w:val="ListBullet"/>
            </w:pPr>
            <w:r w:rsidRPr="009D3664">
              <w:t>language and literacy skills for:</w:t>
            </w:r>
          </w:p>
          <w:p w:rsidR="00000000" w:rsidRPr="009D3664" w:rsidP="009D3664">
            <w:pPr>
              <w:pStyle w:val="ListBullet2"/>
            </w:pPr>
            <w:r w:rsidRPr="009D3664">
              <w:t>communicating service requirements and recommended improvement plans</w:t>
            </w:r>
          </w:p>
          <w:p w:rsidR="00000000" w:rsidRPr="009D3664" w:rsidP="009D3664">
            <w:pPr>
              <w:pStyle w:val="ListBullet2"/>
            </w:pPr>
            <w:r w:rsidRPr="009D3664">
              <w:t>researching</w:t>
            </w:r>
          </w:p>
          <w:p w:rsidR="00000000" w:rsidRPr="009D3664" w:rsidP="009D3664">
            <w:pPr>
              <w:pStyle w:val="ListBullet2"/>
            </w:pPr>
            <w:r w:rsidRPr="009D3664">
              <w:t>accessing, reading, interpreting and applying current relevant legislation, codes and standards</w:t>
            </w:r>
          </w:p>
          <w:p w:rsidR="00000000" w:rsidRPr="009D3664" w:rsidP="009D3664">
            <w:pPr>
              <w:pStyle w:val="ListBullet"/>
            </w:pPr>
            <w:r w:rsidRPr="009D3664">
              <w:t>computer skills for:</w:t>
            </w:r>
          </w:p>
          <w:p w:rsidR="00000000" w:rsidRPr="009D3664" w:rsidP="009D3664">
            <w:pPr>
              <w:pStyle w:val="ListBullet2"/>
            </w:pPr>
            <w:r w:rsidRPr="009D3664">
              <w:t>word processing</w:t>
            </w:r>
          </w:p>
          <w:p w:rsidR="00000000" w:rsidRPr="009D3664" w:rsidP="009D3664">
            <w:pPr>
              <w:pStyle w:val="ListBullet2"/>
            </w:pPr>
            <w:r w:rsidRPr="009D3664">
              <w:t>spreadsheets</w:t>
            </w:r>
          </w:p>
          <w:p w:rsidR="00000000" w:rsidRPr="009D3664" w:rsidP="009D3664">
            <w:pPr>
              <w:pStyle w:val="ListBullet2"/>
            </w:pPr>
            <w:r w:rsidRPr="009D3664">
              <w:t>emails</w:t>
            </w:r>
          </w:p>
          <w:p w:rsidR="00000000" w:rsidRPr="009D3664" w:rsidP="009D3664">
            <w:pPr>
              <w:pStyle w:val="ListBullet2"/>
            </w:pPr>
            <w:r w:rsidRPr="009D3664">
              <w:t>internet searching</w:t>
            </w:r>
          </w:p>
          <w:p w:rsidR="00000000" w:rsidP="009D3664">
            <w:pPr>
              <w:pStyle w:val="ListBullet"/>
              <w:rPr>
                <w:lang w:val="en-NZ"/>
              </w:rPr>
            </w:pPr>
            <w:r w:rsidRPr="009D3664">
              <w:t>negotiation and conflict management</w:t>
            </w:r>
          </w:p>
        </w:tc>
      </w:tr>
      <w:tr w:rsidTr="00982E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Required knowledge</w:t>
            </w:r>
          </w:p>
        </w:tc>
      </w:tr>
      <w:tr w:rsidTr="00982E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ListBullet"/>
            </w:pPr>
            <w:r w:rsidRPr="009D3664">
              <w:t>change management processes</w:t>
            </w:r>
          </w:p>
          <w:p w:rsidR="00000000" w:rsidRPr="009D3664" w:rsidP="009D3664">
            <w:pPr>
              <w:pStyle w:val="ListBullet"/>
            </w:pPr>
            <w:r w:rsidRPr="009D3664">
              <w:t>continuous improvement processes</w:t>
            </w:r>
          </w:p>
          <w:p w:rsidR="00000000" w:rsidRPr="009D3664" w:rsidP="009D3664">
            <w:pPr>
              <w:pStyle w:val="ListBullet"/>
            </w:pPr>
            <w:r w:rsidRPr="009D3664">
              <w:t>computer software functions and operation</w:t>
            </w:r>
          </w:p>
          <w:p w:rsidR="00000000" w:rsidRPr="009D3664" w:rsidP="009D3664">
            <w:pPr>
              <w:pStyle w:val="ListBullet"/>
            </w:pPr>
            <w:r w:rsidRPr="009D3664">
              <w:t>knowledge specific to fire systems design, including:</w:t>
            </w:r>
          </w:p>
          <w:p w:rsidR="00000000" w:rsidRPr="009D3664" w:rsidP="009D3664">
            <w:pPr>
              <w:pStyle w:val="ListBullet2"/>
            </w:pPr>
            <w:r w:rsidRPr="009D3664">
              <w:t>relevant current legislation, codes and standards, including:</w:t>
            </w:r>
          </w:p>
          <w:p w:rsidR="00000000" w:rsidRPr="009D3664" w:rsidP="009D3664">
            <w:pPr>
              <w:pStyle w:val="ListBullet3"/>
            </w:pPr>
            <w:r w:rsidRPr="009D3664">
              <w:t>building Acts</w:t>
            </w:r>
          </w:p>
          <w:p w:rsidR="00000000" w:rsidRPr="009D3664" w:rsidP="009D3664">
            <w:pPr>
              <w:pStyle w:val="ListBullet3"/>
            </w:pPr>
            <w:r w:rsidRPr="009D3664">
              <w:t>building regulations</w:t>
            </w:r>
          </w:p>
          <w:p w:rsidR="00000000" w:rsidRPr="009D3664" w:rsidP="009D3664">
            <w:pPr>
              <w:pStyle w:val="ListBullet3"/>
            </w:pPr>
            <w:r w:rsidRPr="009D3664">
              <w:t xml:space="preserve">infrastructure supply regulations </w:t>
            </w:r>
          </w:p>
          <w:p w:rsidR="00000000" w:rsidRPr="009D3664" w:rsidP="009D3664">
            <w:pPr>
              <w:pStyle w:val="ListBullet3"/>
            </w:pPr>
            <w:r w:rsidRPr="009D3664">
              <w:t>the Building Code of Australia</w:t>
            </w:r>
          </w:p>
          <w:p w:rsidR="00000000" w:rsidRPr="009D3664" w:rsidP="009D3664">
            <w:pPr>
              <w:pStyle w:val="ListBullet3"/>
            </w:pPr>
            <w:r w:rsidRPr="009D3664">
              <w:t>Australian standards for fire systems</w:t>
            </w:r>
          </w:p>
          <w:p w:rsidR="00000000" w:rsidRPr="009D3664" w:rsidP="009D3664">
            <w:pPr>
              <w:pStyle w:val="ListBullet3"/>
            </w:pPr>
            <w:r w:rsidRPr="009D3664">
              <w:t>international standards for fire systems</w:t>
            </w:r>
          </w:p>
          <w:p w:rsidR="00000000" w:rsidRPr="009D3664" w:rsidP="009D3664">
            <w:pPr>
              <w:pStyle w:val="ListBullet3"/>
            </w:pPr>
            <w:r w:rsidRPr="009D3664">
              <w:t>other fire system standards commonly required by building insurers</w:t>
            </w:r>
          </w:p>
          <w:p w:rsidR="00000000" w:rsidRPr="009D3664" w:rsidP="009D3664">
            <w:pPr>
              <w:pStyle w:val="ListBullet2"/>
            </w:pPr>
            <w:r w:rsidRPr="009D3664">
              <w:t>passive fire safety elements:</w:t>
            </w:r>
          </w:p>
          <w:p w:rsidR="00000000" w:rsidRPr="009D3664" w:rsidP="009D3664">
            <w:pPr>
              <w:pStyle w:val="ListBullet3"/>
            </w:pPr>
            <w:r w:rsidRPr="009D3664">
              <w:t>identification of passive elements</w:t>
            </w:r>
          </w:p>
          <w:p w:rsidR="00000000" w:rsidRPr="009D3664" w:rsidP="009D3664">
            <w:pPr>
              <w:pStyle w:val="ListBullet3"/>
            </w:pPr>
            <w:r w:rsidRPr="009D3664">
              <w:t>impact of fire systems design on passive elements</w:t>
            </w:r>
          </w:p>
          <w:p w:rsidR="00000000" w:rsidRPr="009D3664" w:rsidP="009D3664">
            <w:pPr>
              <w:pStyle w:val="ListBullet3"/>
            </w:pPr>
            <w:r w:rsidRPr="009D3664">
              <w:t>specifications required to saf</w:t>
            </w:r>
            <w:r w:rsidRPr="009D3664">
              <w:t>eguard integrity of passive fire element performance where penetrations are necessitated by the fire systems design</w:t>
            </w:r>
          </w:p>
          <w:p w:rsidR="00000000" w:rsidRPr="009D3664" w:rsidP="009D3664">
            <w:pPr>
              <w:pStyle w:val="ListBullet2"/>
            </w:pPr>
            <w:r w:rsidRPr="009D3664">
              <w:t>water-based fire systems technology and components, including:</w:t>
            </w:r>
          </w:p>
          <w:p w:rsidR="00000000" w:rsidRPr="009D3664" w:rsidP="009D3664">
            <w:pPr>
              <w:pStyle w:val="ListBullet3"/>
            </w:pPr>
            <w:r w:rsidRPr="009D3664">
              <w:t>wet pipe sprinkler systems</w:t>
            </w:r>
          </w:p>
          <w:p w:rsidR="00000000" w:rsidRPr="009D3664" w:rsidP="009D3664">
            <w:pPr>
              <w:pStyle w:val="ListBullet3"/>
            </w:pPr>
            <w:r w:rsidRPr="009D3664">
              <w:t>deluge and drencher systems</w:t>
            </w:r>
          </w:p>
          <w:p w:rsidR="00000000" w:rsidRPr="009D3664" w:rsidP="009D3664">
            <w:pPr>
              <w:pStyle w:val="ListBullet3"/>
            </w:pPr>
            <w:r w:rsidRPr="009D3664">
              <w:t>dry pipe sprinkler systems</w:t>
            </w:r>
          </w:p>
          <w:p w:rsidR="00000000" w:rsidRPr="009D3664" w:rsidP="009D3664">
            <w:pPr>
              <w:pStyle w:val="ListBullet3"/>
            </w:pPr>
            <w:r w:rsidRPr="009D3664">
              <w:t>pre-action sprinkler systems</w:t>
            </w:r>
          </w:p>
          <w:p w:rsidR="00000000" w:rsidRPr="009D3664" w:rsidP="009D3664">
            <w:pPr>
              <w:pStyle w:val="ListBullet3"/>
            </w:pPr>
            <w:r w:rsidRPr="009D3664">
              <w:t>early suppression fast response (ESFR)</w:t>
            </w:r>
          </w:p>
          <w:p w:rsidR="00000000" w:rsidRPr="009D3664" w:rsidP="009D3664">
            <w:pPr>
              <w:pStyle w:val="ListBullet3"/>
            </w:pPr>
            <w:r w:rsidRPr="009D3664">
              <w:t>hydrants, hose reels and monitors</w:t>
            </w:r>
          </w:p>
          <w:p w:rsidR="00000000" w:rsidRPr="009D3664" w:rsidP="009D3664">
            <w:pPr>
              <w:pStyle w:val="ListBullet3"/>
            </w:pPr>
            <w:r w:rsidRPr="009D3664">
              <w:t>water supply tanks</w:t>
            </w:r>
          </w:p>
          <w:p w:rsidR="00000000" w:rsidRPr="009D3664" w:rsidP="009D3664">
            <w:pPr>
              <w:pStyle w:val="ListBullet3"/>
            </w:pPr>
            <w:r w:rsidRPr="009D3664">
              <w:t>fire pump sets</w:t>
            </w:r>
          </w:p>
          <w:p w:rsidR="00000000" w:rsidRPr="009D3664" w:rsidP="009D3664">
            <w:pPr>
              <w:pStyle w:val="ListBullet2"/>
            </w:pPr>
            <w:r w:rsidRPr="009D3664">
              <w:t xml:space="preserve">detection and warning systems technology and components, including: </w:t>
            </w:r>
          </w:p>
          <w:p w:rsidR="00000000" w:rsidRPr="009D3664" w:rsidP="009D3664">
            <w:pPr>
              <w:pStyle w:val="ListBullet3"/>
            </w:pPr>
            <w:r w:rsidRPr="009D3664">
              <w:t xml:space="preserve">emergency warning and </w:t>
            </w:r>
            <w:r w:rsidRPr="009D3664">
              <w:t>intercommunications systems (EWIS)</w:t>
            </w:r>
          </w:p>
          <w:p w:rsidR="00000000" w:rsidRPr="009D3664" w:rsidP="009D3664">
            <w:pPr>
              <w:pStyle w:val="ListBullet3"/>
            </w:pPr>
            <w:r w:rsidRPr="009D3664">
              <w:t>fire detection and alarm systems</w:t>
            </w:r>
          </w:p>
          <w:p w:rsidR="00000000" w:rsidRPr="009D3664" w:rsidP="009D3664">
            <w:pPr>
              <w:pStyle w:val="ListBullet3"/>
            </w:pPr>
            <w:r w:rsidRPr="009D3664">
              <w:t>smoke control systems</w:t>
            </w:r>
          </w:p>
          <w:p w:rsidR="00000000" w:rsidRPr="009D3664" w:rsidP="009D3664">
            <w:pPr>
              <w:pStyle w:val="ListBullet3"/>
            </w:pPr>
            <w:r w:rsidRPr="009D3664">
              <w:t>emergency lighting systems</w:t>
            </w:r>
          </w:p>
          <w:p w:rsidR="00000000" w:rsidRPr="009D3664" w:rsidP="009D3664">
            <w:pPr>
              <w:pStyle w:val="ListBullet2"/>
            </w:pPr>
            <w:r w:rsidRPr="009D3664">
              <w:t>technology and components of special hazard fire systems, including:</w:t>
            </w:r>
          </w:p>
          <w:p w:rsidR="00000000" w:rsidRPr="009D3664" w:rsidP="009D3664">
            <w:pPr>
              <w:pStyle w:val="ListBullet3"/>
            </w:pPr>
            <w:r w:rsidRPr="009D3664">
              <w:t>foam systems (low expansion, medium expansion and high expansion)</w:t>
            </w:r>
          </w:p>
          <w:p w:rsidR="00000000" w:rsidRPr="009D3664" w:rsidP="009D3664">
            <w:pPr>
              <w:pStyle w:val="ListBullet3"/>
            </w:pPr>
            <w:r w:rsidRPr="009D3664">
              <w:t>gaseous agent systems (carbon dioxide, inert gas and halocarbon gases)</w:t>
            </w:r>
          </w:p>
          <w:p w:rsidR="00000000" w:rsidRPr="009D3664" w:rsidP="009D3664">
            <w:pPr>
              <w:pStyle w:val="ListBullet3"/>
            </w:pPr>
            <w:r w:rsidRPr="009D3664">
              <w:t>water spray systems (deluge, medium/high velocity water spray and high speed deluge)</w:t>
            </w:r>
          </w:p>
          <w:p w:rsidR="00000000" w:rsidRPr="009D3664" w:rsidP="009D3664">
            <w:pPr>
              <w:pStyle w:val="ListBullet2"/>
            </w:pPr>
            <w:r w:rsidRPr="009D3664">
              <w:t>chemical systems' technology and components, including:</w:t>
            </w:r>
          </w:p>
          <w:p w:rsidR="00000000" w:rsidRPr="009D3664" w:rsidP="009D3664">
            <w:pPr>
              <w:pStyle w:val="ListBullet3"/>
            </w:pPr>
            <w:r w:rsidRPr="009D3664">
              <w:t>powder</w:t>
            </w:r>
          </w:p>
          <w:p w:rsidR="00000000" w:rsidRPr="009D3664" w:rsidP="009D3664">
            <w:pPr>
              <w:pStyle w:val="ListBullet3"/>
            </w:pPr>
            <w:r w:rsidRPr="009D3664">
              <w:t>wet chemical</w:t>
            </w:r>
          </w:p>
        </w:tc>
      </w:tr>
    </w:tbl>
    <w:p w:rsidR="00982E4E" w:rsidP="009D3664">
      <w:pPr>
        <w:pStyle w:val="BodyText"/>
      </w:pPr>
    </w:p>
    <w:p w:rsidR="00982E4E" w:rsidP="009D3664">
      <w:pPr>
        <w:pStyle w:val="BodyText"/>
      </w:pPr>
    </w:p>
    <w:p w:rsidR="00000000" w:rsidRPr="009D3664" w:rsidP="009D3664">
      <w:pPr>
        <w:pStyle w:val="AllowPageBreak"/>
      </w:pPr>
    </w:p>
    <w:p w:rsidR="00000000" w:rsidRPr="009D3664" w:rsidP="009D3664">
      <w:pPr>
        <w:pStyle w:val="Heading1"/>
      </w:pPr>
      <w:bookmarkStart w:id="10" w:name="O_242485"/>
      <w:bookmarkEnd w:id="10"/>
      <w:r w:rsidRPr="009D3664">
        <w:t>Evidence Guide</w:t>
      </w:r>
    </w:p>
    <w:tbl>
      <w:tblPr>
        <w:tblW w:w="9287" w:type="dxa"/>
        <w:tblLayout w:type="fixed"/>
        <w:tblCellMar>
          <w:left w:w="62" w:type="dxa"/>
          <w:right w:w="62" w:type="dxa"/>
        </w:tblCellMar>
        <w:tblLook w:val="0000"/>
      </w:tblPr>
      <w:tblGrid>
        <w:gridCol w:w="3803"/>
        <w:gridCol w:w="5484"/>
      </w:tblGrid>
      <w:tr w:rsidTr="00982E4E">
        <w:tblPrEx>
          <w:tblW w:w="9287" w:type="dxa"/>
          <w:tblLayout w:type="fixed"/>
          <w:tblCellMar>
            <w:left w:w="62" w:type="dxa"/>
            <w:right w:w="62" w:type="dxa"/>
          </w:tblCellMar>
          <w:tblLook w:val="0000"/>
        </w:tblPrEx>
        <w:trPr>
          <w:tblHeader/>
        </w:trPr>
        <w:tc>
          <w:tcPr>
            <w:tcW w:w="92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EVIDENCE GUIDE</w:t>
            </w:r>
            <w:r w:rsidRPr="009D3664">
              <w:t xml:space="preserve"> </w:t>
            </w:r>
          </w:p>
        </w:tc>
      </w:tr>
      <w:tr w:rsidTr="00982E4E">
        <w:tblPrEx>
          <w:tblW w:w="9287" w:type="dxa"/>
          <w:tblLayout w:type="fixed"/>
          <w:tblCellMar>
            <w:left w:w="62" w:type="dxa"/>
            <w:right w:w="62" w:type="dxa"/>
          </w:tblCellMar>
          <w:tblLook w:val="0000"/>
        </w:tblPrEx>
        <w:tc>
          <w:tcPr>
            <w:tcW w:w="92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t xml:space="preserve">The evidence guide provides advice on assessment and must be read in conjunction with the performance criteria, required skills and knowledge, </w:t>
            </w:r>
            <w:r w:rsidRPr="009D3664">
              <w:t>range statement and the Assessment Guidelines for the Training Package.</w:t>
            </w:r>
          </w:p>
        </w:tc>
      </w:tr>
      <w:tr w:rsidTr="00982E4E">
        <w:tblPrEx>
          <w:tblW w:w="9287" w:type="dxa"/>
          <w:tblLayout w:type="fixed"/>
          <w:tblCellMar>
            <w:left w:w="62" w:type="dxa"/>
            <w:right w:w="62" w:type="dxa"/>
          </w:tblCellMar>
          <w:tblLook w:val="0000"/>
        </w:tblPrEx>
        <w:tc>
          <w:tcPr>
            <w:tcW w:w="3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Overview of assessment</w:t>
            </w:r>
          </w:p>
        </w:tc>
        <w:tc>
          <w:tcPr>
            <w:tcW w:w="5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This unit of competency could be assessed in the workplace or a close simulation of the workplace environment, provided that the simulated or project-based ass</w:t>
            </w:r>
            <w:r w:rsidRPr="009D3664">
              <w:t>essment fully replicates workplace conditions, materials, activities, responsibilities and procedures.</w:t>
            </w:r>
          </w:p>
          <w:p w:rsidR="00000000" w:rsidP="009D3664">
            <w:pPr>
              <w:pStyle w:val="BodyText"/>
              <w:rPr>
                <w:lang w:val="en-NZ"/>
              </w:rPr>
            </w:pPr>
            <w:r w:rsidRPr="009D3664">
              <w:t>This unit could be assessed as an activity involving the establishment and implementation of performance parameters and measures to ensure the accountabi</w:t>
            </w:r>
            <w:r w:rsidRPr="009D3664">
              <w:t>lity and effective delivery of projects and processes.</w:t>
            </w:r>
          </w:p>
        </w:tc>
      </w:tr>
      <w:tr w:rsidTr="00982E4E">
        <w:tblPrEx>
          <w:tblW w:w="9287" w:type="dxa"/>
          <w:tblLayout w:type="fixed"/>
          <w:tblCellMar>
            <w:left w:w="62" w:type="dxa"/>
            <w:right w:w="62" w:type="dxa"/>
          </w:tblCellMar>
          <w:tblLook w:val="0000"/>
        </w:tblPrEx>
        <w:tc>
          <w:tcPr>
            <w:tcW w:w="3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Critical aspects for assessment and evidence required to demonstrate competency in this unit</w:t>
            </w:r>
          </w:p>
        </w:tc>
        <w:tc>
          <w:tcPr>
            <w:tcW w:w="5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A person who demonstrates competency in this unit must be able to provide evidence of the required skills a</w:t>
            </w:r>
            <w:r w:rsidRPr="009D3664">
              <w:t>nd knowledge specified within this unit.</w:t>
            </w:r>
          </w:p>
          <w:p w:rsidR="00000000" w:rsidRPr="009D3664" w:rsidP="009D3664">
            <w:pPr>
              <w:pStyle w:val="BodyText"/>
            </w:pPr>
            <w:r w:rsidRPr="009D3664">
              <w:t xml:space="preserve">In particular the person should demonstrate: </w:t>
            </w:r>
          </w:p>
          <w:p w:rsidR="00000000" w:rsidRPr="009D3664" w:rsidP="009D3664">
            <w:pPr>
              <w:pStyle w:val="ListBullet"/>
            </w:pPr>
            <w:r w:rsidRPr="009D3664">
              <w:t>knowledge of the concepts, principles and tools used in quality management and continuous improvement processes</w:t>
            </w:r>
          </w:p>
          <w:p w:rsidR="00000000" w:rsidRPr="009D3664" w:rsidP="009D3664">
            <w:pPr>
              <w:pStyle w:val="ListBullet"/>
            </w:pPr>
            <w:r w:rsidRPr="009D3664">
              <w:t>knowledge of the concepts, principles and tools of change management</w:t>
            </w:r>
          </w:p>
          <w:p w:rsidR="00000000" w:rsidRPr="009D3664" w:rsidP="009D3664">
            <w:pPr>
              <w:pStyle w:val="ListBullet"/>
            </w:pPr>
            <w:r w:rsidRPr="009D3664">
              <w:t>the mathematical ability to calculate benchmarks and monitor performance</w:t>
            </w:r>
          </w:p>
          <w:p w:rsidR="00000000" w:rsidRPr="009D3664" w:rsidP="009D3664">
            <w:pPr>
              <w:pStyle w:val="ListBullet"/>
            </w:pPr>
            <w:r w:rsidRPr="009D3664">
              <w:t>research skills</w:t>
            </w:r>
          </w:p>
          <w:p w:rsidR="00000000" w:rsidRPr="009D3664" w:rsidP="009D3664">
            <w:pPr>
              <w:pStyle w:val="ListBullet"/>
            </w:pPr>
            <w:r w:rsidRPr="009D3664">
              <w:t>analytical and report writing skills</w:t>
            </w:r>
          </w:p>
          <w:p w:rsidR="00000000" w:rsidRPr="009D3664" w:rsidP="009D3664">
            <w:pPr>
              <w:pStyle w:val="ListBullet"/>
            </w:pPr>
            <w:r w:rsidRPr="009D3664">
              <w:t>leadership skills that facilitate quality outcomes and organi</w:t>
            </w:r>
            <w:r w:rsidRPr="009D3664">
              <w:t xml:space="preserve">sational change </w:t>
            </w:r>
          </w:p>
          <w:p w:rsidR="00000000" w:rsidP="009D3664">
            <w:pPr>
              <w:pStyle w:val="ListBullet"/>
              <w:rPr>
                <w:lang w:val="en-NZ"/>
              </w:rPr>
            </w:pPr>
            <w:r w:rsidRPr="009D3664">
              <w:t>the ability to learn from project outcomes and refine and improve future processes.</w:t>
            </w:r>
          </w:p>
        </w:tc>
      </w:tr>
      <w:tr w:rsidTr="00982E4E">
        <w:tblPrEx>
          <w:tblW w:w="9287" w:type="dxa"/>
          <w:tblLayout w:type="fixed"/>
          <w:tblCellMar>
            <w:left w:w="62" w:type="dxa"/>
            <w:right w:w="62" w:type="dxa"/>
          </w:tblCellMar>
          <w:tblLook w:val="0000"/>
        </w:tblPrEx>
        <w:tc>
          <w:tcPr>
            <w:tcW w:w="3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Context of and specific resources for assessment</w:t>
            </w:r>
          </w:p>
        </w:tc>
        <w:tc>
          <w:tcPr>
            <w:tcW w:w="5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Assessment of essential underpinning knowledge may be conducted in an off-site context. It is to comply with relevant regulatory or Australian standards' requirements.</w:t>
            </w:r>
          </w:p>
          <w:p w:rsidR="00000000" w:rsidRPr="009D3664" w:rsidP="009D3664">
            <w:pPr>
              <w:pStyle w:val="BodyText"/>
            </w:pPr>
            <w:r w:rsidRPr="009D3664">
              <w:t>Resource implications for assessment include:</w:t>
            </w:r>
          </w:p>
          <w:p w:rsidR="00000000" w:rsidRPr="009D3664" w:rsidP="009D3664">
            <w:pPr>
              <w:pStyle w:val="ListBullet"/>
            </w:pPr>
            <w:r w:rsidRPr="009D3664">
              <w:t>access to relevant codes and standards</w:t>
            </w:r>
          </w:p>
          <w:p w:rsidR="00000000" w:rsidRPr="009D3664" w:rsidP="009D3664">
            <w:pPr>
              <w:pStyle w:val="ListBullet"/>
            </w:pPr>
            <w:r w:rsidRPr="009D3664">
              <w:t>ac</w:t>
            </w:r>
            <w:r w:rsidRPr="009D3664">
              <w:t>cess to legislation relevant to the jurisdiction and the project being undertaken</w:t>
            </w:r>
          </w:p>
          <w:p w:rsidR="00000000" w:rsidRPr="009D3664" w:rsidP="009D3664">
            <w:pPr>
              <w:pStyle w:val="ListBullet"/>
            </w:pPr>
            <w:r w:rsidRPr="009D3664">
              <w:t>project, process or service documentation</w:t>
            </w:r>
          </w:p>
          <w:p w:rsidR="00000000" w:rsidRPr="009D3664" w:rsidP="009D3664">
            <w:pPr>
              <w:pStyle w:val="ListBullet"/>
            </w:pPr>
            <w:r w:rsidRPr="009D3664">
              <w:t>research resources, including product, process or technology information and data applicable to the workplace</w:t>
            </w:r>
          </w:p>
          <w:p w:rsidR="00000000" w:rsidRPr="009D3664" w:rsidP="009D3664">
            <w:pPr>
              <w:pStyle w:val="ListBullet"/>
            </w:pPr>
            <w:r w:rsidRPr="009D3664">
              <w:t>theoretical texts and other information to support the assessment of the unit's required skills and knowledge</w:t>
            </w:r>
          </w:p>
          <w:p w:rsidR="00000000" w:rsidP="009D3664">
            <w:pPr>
              <w:pStyle w:val="ListBullet"/>
              <w:rPr>
                <w:lang w:val="en-NZ"/>
              </w:rPr>
            </w:pPr>
            <w:r w:rsidRPr="009D3664">
              <w:t>relevant computer software packages and suitable hardware.</w:t>
            </w:r>
          </w:p>
        </w:tc>
      </w:tr>
      <w:tr w:rsidTr="00982E4E">
        <w:tblPrEx>
          <w:tblW w:w="9287" w:type="dxa"/>
          <w:tblLayout w:type="fixed"/>
          <w:tblCellMar>
            <w:left w:w="62" w:type="dxa"/>
            <w:right w:w="62" w:type="dxa"/>
          </w:tblCellMar>
          <w:tblLook w:val="0000"/>
        </w:tblPrEx>
        <w:tc>
          <w:tcPr>
            <w:tcW w:w="3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Method of assessment</w:t>
            </w:r>
          </w:p>
        </w:tc>
        <w:tc>
          <w:tcPr>
            <w:tcW w:w="5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Assessment methods must:</w:t>
            </w:r>
          </w:p>
          <w:p w:rsidR="00000000" w:rsidRPr="009D3664" w:rsidP="009D3664">
            <w:pPr>
              <w:pStyle w:val="ListBullet"/>
            </w:pPr>
            <w:r w:rsidRPr="009D3664">
              <w:t>satisfy the endorsed Assessment Guideli</w:t>
            </w:r>
            <w:r w:rsidRPr="009D3664">
              <w:t>nes of the Construction, Plumbing and Services Training Package</w:t>
            </w:r>
          </w:p>
          <w:p w:rsidR="00000000" w:rsidRPr="009D3664" w:rsidP="009D3664">
            <w:pPr>
              <w:pStyle w:val="ListBullet"/>
            </w:pPr>
            <w:r w:rsidRPr="009D3664">
              <w:t>include direct observation of tasks in real or simulated work conditions, with questioning to confirm the ability to consistently identify and correctly interpret the essential underpinning kn</w:t>
            </w:r>
            <w:r w:rsidRPr="009D3664">
              <w:t>owledge required for practical application</w:t>
            </w:r>
          </w:p>
          <w:p w:rsidR="00000000" w:rsidRPr="009D3664" w:rsidP="009D3664">
            <w:pPr>
              <w:pStyle w:val="ListBullet"/>
            </w:pPr>
            <w:r w:rsidRPr="009D3664">
              <w:t>reinforce the integration of employability skills with workplace tasks and job roles</w:t>
            </w:r>
          </w:p>
          <w:p w:rsidR="00000000" w:rsidP="009D3664">
            <w:pPr>
              <w:pStyle w:val="ListBullet"/>
              <w:rPr>
                <w:lang w:val="en-NZ"/>
              </w:rPr>
            </w:pPr>
            <w:r w:rsidRPr="009D3664">
              <w:t>confirm that competency is verified and able to be transferred to other circumstances and environments.</w:t>
            </w:r>
          </w:p>
        </w:tc>
      </w:tr>
      <w:tr w:rsidTr="00982E4E">
        <w:tblPrEx>
          <w:tblW w:w="9287" w:type="dxa"/>
          <w:tblLayout w:type="fixed"/>
          <w:tblCellMar>
            <w:left w:w="62" w:type="dxa"/>
            <w:right w:w="62" w:type="dxa"/>
          </w:tblCellMar>
          <w:tblLook w:val="0000"/>
        </w:tblPrEx>
        <w:tc>
          <w:tcPr>
            <w:tcW w:w="3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Guidance information fo</w:t>
            </w:r>
            <w:r w:rsidRPr="009D3664">
              <w:rPr>
                <w:rStyle w:val="SpecialBold"/>
              </w:rPr>
              <w:t>r assessment</w:t>
            </w:r>
          </w:p>
        </w:tc>
        <w:tc>
          <w:tcPr>
            <w:tcW w:w="5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Reasonable adjustments for people with disabilities must be made to assessment processes where required. This could include access to modified equipment and other physical resources, and the provision of appropriate assessment support.</w:t>
            </w:r>
          </w:p>
          <w:p w:rsidR="00000000" w:rsidRPr="009D3664" w:rsidP="009D3664">
            <w:pPr>
              <w:pStyle w:val="BodyText"/>
            </w:pPr>
            <w:r w:rsidRPr="009D3664">
              <w:t>Assessm</w:t>
            </w:r>
            <w:r w:rsidRPr="009D3664">
              <w:t>ent processes and techniques should as far as is practical take into account the language, literacy and numeracy capacity of the candidate in relation to the competency being assessed.</w:t>
            </w:r>
          </w:p>
        </w:tc>
      </w:tr>
    </w:tbl>
    <w:p w:rsidR="00982E4E" w:rsidP="009D3664">
      <w:pPr>
        <w:pStyle w:val="BodyText"/>
      </w:pPr>
    </w:p>
    <w:p w:rsidR="00982E4E" w:rsidP="009D3664">
      <w:pPr>
        <w:pStyle w:val="BodyText"/>
      </w:pPr>
    </w:p>
    <w:p w:rsidR="00000000" w:rsidRPr="009D3664" w:rsidP="009D3664">
      <w:pPr>
        <w:pStyle w:val="Heading1"/>
      </w:pPr>
      <w:bookmarkStart w:id="11" w:name="O_250468"/>
      <w:bookmarkEnd w:id="11"/>
      <w:r w:rsidRPr="009D3664">
        <w:t>Range Statement</w:t>
      </w:r>
    </w:p>
    <w:tbl>
      <w:tblPr>
        <w:tblW w:w="0" w:type="auto"/>
        <w:tblLayout w:type="fixed"/>
        <w:tblCellMar>
          <w:left w:w="62" w:type="dxa"/>
          <w:right w:w="62" w:type="dxa"/>
        </w:tblCellMar>
        <w:tblLook w:val="0000"/>
      </w:tblPr>
      <w:tblGrid>
        <w:gridCol w:w="3577"/>
        <w:gridCol w:w="4945"/>
      </w:tblGrid>
      <w:tr w:rsidTr="00982E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RANGE STATEMENT</w:t>
            </w:r>
          </w:p>
        </w:tc>
      </w:tr>
      <w:tr w:rsidTr="00982E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t>The range statement relates to the unit of competency as a whole. It allows for different work environments and situations that may affect performance. Bold italicised wording, if used in the performance criteria, is detailed below. Essential operating con</w:t>
            </w:r>
            <w:r w:rsidRPr="009D3664">
              <w:t>ditions that may be present with training and assessment (depending on the work situation, needs of the candidate, accessibility of the item, and local industry and regional contexts) may also be included.</w:t>
            </w:r>
          </w:p>
        </w:tc>
      </w:tr>
      <w:tr w:rsidTr="00982E4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BoldandItalics"/>
              </w:rPr>
              <w:t>Concepts</w:t>
            </w:r>
            <w:r w:rsidRPr="009D3664">
              <w:t xml:space="preserve">, </w:t>
            </w:r>
            <w:r w:rsidRPr="009D3664">
              <w:rPr>
                <w:rStyle w:val="BoldandItalics"/>
              </w:rPr>
              <w:t>principles and tools of quality management and continuous improvement</w:t>
            </w:r>
            <w:r w:rsidRPr="009D3664">
              <w:t xml:space="preserve">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ListBullet"/>
            </w:pPr>
            <w:r w:rsidRPr="009D3664">
              <w:t>Total Quality Management (TQM), including Six Sigma</w:t>
            </w:r>
          </w:p>
          <w:p w:rsidR="00000000" w:rsidRPr="009D3664" w:rsidP="009D3664">
            <w:pPr>
              <w:pStyle w:val="ListBullet"/>
            </w:pPr>
            <w:r w:rsidRPr="009D3664">
              <w:t>ISO 9000 and the processes for certification</w:t>
            </w:r>
          </w:p>
          <w:p w:rsidR="00000000" w:rsidRPr="009D3664" w:rsidP="009D3664">
            <w:pPr>
              <w:pStyle w:val="ListBullet"/>
            </w:pPr>
            <w:r w:rsidRPr="009D3664">
              <w:t>failure mode and effects analysis</w:t>
            </w:r>
          </w:p>
          <w:p w:rsidR="00000000" w:rsidRPr="009D3664" w:rsidP="009D3664">
            <w:pPr>
              <w:pStyle w:val="ListBullet"/>
            </w:pPr>
            <w:r w:rsidRPr="009D3664">
              <w:t xml:space="preserve">benchmarking </w:t>
            </w:r>
          </w:p>
          <w:p w:rsidR="00000000" w:rsidRPr="009D3664" w:rsidP="009D3664">
            <w:pPr>
              <w:pStyle w:val="ListBullet"/>
            </w:pPr>
            <w:r w:rsidRPr="009D3664">
              <w:t>continuous improvement methodol</w:t>
            </w:r>
            <w:r w:rsidRPr="009D3664">
              <w:t>ogies, including Kaizen</w:t>
            </w:r>
          </w:p>
          <w:p w:rsidR="00000000" w:rsidP="009D3664">
            <w:pPr>
              <w:pStyle w:val="ListBullet"/>
              <w:rPr>
                <w:lang w:val="en-NZ"/>
              </w:rPr>
            </w:pPr>
            <w:r w:rsidRPr="009D3664">
              <w:t>'lean transformation' processes, sometimes known as the 'Toyota Lean Model' or the 'Toyota Production Model'.</w:t>
            </w:r>
          </w:p>
        </w:tc>
      </w:tr>
      <w:tr w:rsidTr="00982E4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BoldandItalics"/>
              </w:rPr>
              <w:t>Non</w:t>
            </w:r>
            <w:r w:rsidRPr="009D3664">
              <w:t>-</w:t>
            </w:r>
            <w:r w:rsidRPr="009D3664">
              <w:rPr>
                <w:rStyle w:val="BoldandItalics"/>
              </w:rPr>
              <w:t>financial</w:t>
            </w:r>
            <w:r w:rsidRPr="009D3664">
              <w:t xml:space="preserve"> performance indicators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ListBullet"/>
            </w:pPr>
            <w:r w:rsidRPr="009D3664">
              <w:t>customer satisfaction ratings</w:t>
            </w:r>
          </w:p>
          <w:p w:rsidR="00000000" w:rsidRPr="009D3664" w:rsidP="009D3664">
            <w:pPr>
              <w:pStyle w:val="ListBullet"/>
            </w:pPr>
            <w:r w:rsidRPr="009D3664">
              <w:t>completion times for projects measured against project plans</w:t>
            </w:r>
          </w:p>
          <w:p w:rsidR="00000000" w:rsidRPr="009D3664" w:rsidP="009D3664">
            <w:pPr>
              <w:pStyle w:val="ListBullet"/>
            </w:pPr>
            <w:r w:rsidRPr="009D3664">
              <w:t>volume of repeat business</w:t>
            </w:r>
          </w:p>
          <w:p w:rsidR="00000000" w:rsidRPr="009D3664" w:rsidP="009D3664">
            <w:pPr>
              <w:pStyle w:val="ListBullet"/>
            </w:pPr>
            <w:r w:rsidRPr="009D3664">
              <w:t>number of business referrals</w:t>
            </w:r>
          </w:p>
          <w:p w:rsidR="00000000" w:rsidRPr="009D3664" w:rsidP="009D3664">
            <w:pPr>
              <w:pStyle w:val="ListBullet"/>
            </w:pPr>
            <w:r w:rsidRPr="009D3664">
              <w:t>demonstrated compliance of work with codes and standards</w:t>
            </w:r>
          </w:p>
          <w:p w:rsidR="00000000" w:rsidRPr="009D3664" w:rsidP="009D3664">
            <w:pPr>
              <w:pStyle w:val="ListBullet"/>
            </w:pPr>
            <w:r w:rsidRPr="009D3664">
              <w:t>industry awards received</w:t>
            </w:r>
          </w:p>
          <w:p w:rsidR="00000000" w:rsidP="009D3664">
            <w:pPr>
              <w:pStyle w:val="ListBullet"/>
              <w:rPr>
                <w:lang w:val="en-NZ"/>
              </w:rPr>
            </w:pPr>
            <w:r w:rsidRPr="009D3664">
              <w:t>performance in industry benchmarking studies.</w:t>
            </w:r>
          </w:p>
        </w:tc>
      </w:tr>
      <w:tr w:rsidTr="00982E4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t xml:space="preserve">Methods of </w:t>
            </w:r>
            <w:r w:rsidRPr="009D3664">
              <w:t xml:space="preserve">measuring </w:t>
            </w:r>
            <w:r w:rsidRPr="009D3664">
              <w:rPr>
                <w:rStyle w:val="BoldandItalics"/>
              </w:rPr>
              <w:t>customer</w:t>
            </w:r>
            <w:r w:rsidRPr="009D3664">
              <w:t>/</w:t>
            </w:r>
            <w:r w:rsidRPr="009D3664">
              <w:rPr>
                <w:rStyle w:val="BoldandItalics"/>
              </w:rPr>
              <w:t>stakeholder satisfaction</w:t>
            </w:r>
            <w:r w:rsidRPr="009D3664">
              <w:t xml:space="preserve">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ListBullet"/>
            </w:pPr>
            <w:r w:rsidRPr="009D3664">
              <w:t>gap analysis approach</w:t>
            </w:r>
          </w:p>
          <w:p w:rsidR="00000000" w:rsidRPr="009D3664" w:rsidP="009D3664">
            <w:pPr>
              <w:pStyle w:val="ListBullet"/>
            </w:pPr>
            <w:r w:rsidRPr="009D3664">
              <w:t>customer satisfaction monitoring (CSM) approach, e.g. telephone, questionnaires, face-to-face interview or in-depth interview</w:t>
            </w:r>
          </w:p>
          <w:p w:rsidR="00000000" w:rsidP="009D3664">
            <w:pPr>
              <w:pStyle w:val="ListBullet"/>
              <w:rPr>
                <w:lang w:val="en-NZ"/>
              </w:rPr>
            </w:pPr>
            <w:r w:rsidRPr="009D3664">
              <w:t>developing customer-focused key performance indicators</w:t>
            </w:r>
            <w:r w:rsidRPr="009D3664">
              <w:t xml:space="preserve"> (KPI) to support customer monitoring procedures.</w:t>
            </w:r>
          </w:p>
        </w:tc>
      </w:tr>
      <w:tr w:rsidTr="00982E4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BoldandItalics"/>
              </w:rPr>
              <w:t>Reporting mechanisms</w:t>
            </w:r>
            <w:r w:rsidRPr="009D3664">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ListBullet"/>
            </w:pPr>
            <w:r w:rsidRPr="009D3664">
              <w:t>non-financial and financial system reports, including budgets</w:t>
            </w:r>
          </w:p>
          <w:p w:rsidR="00000000" w:rsidP="009D3664">
            <w:pPr>
              <w:pStyle w:val="ListBullet"/>
              <w:rPr>
                <w:lang w:val="en-NZ"/>
              </w:rPr>
            </w:pPr>
            <w:r w:rsidRPr="009D3664">
              <w:t>informal reporting methods, such as regular team and departmental meetings.</w:t>
            </w:r>
          </w:p>
        </w:tc>
      </w:tr>
      <w:tr w:rsidTr="00982E4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BoldandItalics"/>
              </w:rPr>
              <w:t>Service providers</w:t>
            </w:r>
            <w:r w:rsidRPr="009D3664">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ListBullet"/>
            </w:pPr>
            <w:r w:rsidRPr="009D3664">
              <w:t>contractors</w:t>
            </w:r>
          </w:p>
          <w:p w:rsidR="00000000" w:rsidP="009D3664">
            <w:pPr>
              <w:pStyle w:val="ListBullet"/>
              <w:rPr>
                <w:lang w:val="en-NZ"/>
              </w:rPr>
            </w:pPr>
            <w:r w:rsidRPr="009D3664">
              <w:t>suppliers of materials.</w:t>
            </w:r>
          </w:p>
        </w:tc>
      </w:tr>
      <w:tr w:rsidTr="00982E4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t xml:space="preserve">The </w:t>
            </w:r>
            <w:r w:rsidRPr="009D3664">
              <w:rPr>
                <w:rStyle w:val="BoldandItalics"/>
              </w:rPr>
              <w:t>change process</w:t>
            </w:r>
            <w:r w:rsidRPr="009D3664">
              <w:t xml:space="preserve"> should be planned and monitored and may entail:</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ListBullet"/>
            </w:pPr>
            <w:r w:rsidRPr="009D3664">
              <w:t>processes to plan for the change</w:t>
            </w:r>
          </w:p>
          <w:p w:rsidR="00000000" w:rsidRPr="009D3664" w:rsidP="009D3664">
            <w:pPr>
              <w:pStyle w:val="ListBullet"/>
            </w:pPr>
            <w:r w:rsidRPr="009D3664">
              <w:t>processes to implement the change</w:t>
            </w:r>
          </w:p>
          <w:p w:rsidR="00000000" w:rsidRPr="009D3664" w:rsidP="009D3664">
            <w:pPr>
              <w:pStyle w:val="ListBullet"/>
            </w:pPr>
            <w:r w:rsidRPr="009D3664">
              <w:t>processes to reinforce the change</w:t>
            </w:r>
          </w:p>
          <w:p w:rsidR="00000000" w:rsidRPr="009D3664" w:rsidP="009D3664">
            <w:pPr>
              <w:pStyle w:val="ListBullet"/>
            </w:pPr>
            <w:r w:rsidRPr="009D3664">
              <w:t>steps to support staff during the change, includi</w:t>
            </w:r>
            <w:r w:rsidRPr="009D3664">
              <w:t>ng:</w:t>
            </w:r>
          </w:p>
          <w:p w:rsidR="00000000" w:rsidRPr="009D3664" w:rsidP="009D3664">
            <w:pPr>
              <w:pStyle w:val="ListBullet2"/>
            </w:pPr>
            <w:r w:rsidRPr="009D3664">
              <w:t>coaching and mentoring</w:t>
            </w:r>
          </w:p>
          <w:p w:rsidR="00000000" w:rsidRPr="009D3664" w:rsidP="009D3664">
            <w:pPr>
              <w:pStyle w:val="ListBullet2"/>
            </w:pPr>
            <w:r w:rsidRPr="009D3664">
              <w:t>training interventions</w:t>
            </w:r>
          </w:p>
          <w:p w:rsidR="00000000" w:rsidRPr="009D3664" w:rsidP="009D3664">
            <w:pPr>
              <w:pStyle w:val="ListBullet2"/>
            </w:pPr>
            <w:r w:rsidRPr="009D3664">
              <w:t>revised process documentation</w:t>
            </w:r>
          </w:p>
          <w:p w:rsidR="00000000" w:rsidRPr="009D3664" w:rsidP="009D3664">
            <w:pPr>
              <w:pStyle w:val="ListBullet2"/>
            </w:pPr>
            <w:r w:rsidRPr="009D3664">
              <w:t>feedback and appraisal processes</w:t>
            </w:r>
          </w:p>
          <w:p w:rsidR="00000000" w:rsidRPr="009D3664" w:rsidP="009D3664">
            <w:pPr>
              <w:pStyle w:val="ListBullet2"/>
            </w:pPr>
            <w:r w:rsidRPr="009D3664">
              <w:t>reward and recognition processes.</w:t>
            </w:r>
          </w:p>
        </w:tc>
      </w:tr>
    </w:tbl>
    <w:p w:rsidR="00982E4E" w:rsidP="009D3664">
      <w:pPr>
        <w:pStyle w:val="BodyText"/>
      </w:pPr>
    </w:p>
    <w:p w:rsidR="00982E4E" w:rsidP="009D3664">
      <w:pPr>
        <w:pStyle w:val="BodyText"/>
      </w:pPr>
    </w:p>
    <w:p w:rsidR="00000000" w:rsidRPr="009D3664" w:rsidP="009D3664">
      <w:pPr>
        <w:pStyle w:val="Heading1"/>
      </w:pPr>
      <w:bookmarkStart w:id="12" w:name="O_199297"/>
      <w:bookmarkEnd w:id="12"/>
      <w:r w:rsidRPr="009D3664">
        <w:t>Unit Sector(s)</w:t>
      </w:r>
    </w:p>
    <w:tbl>
      <w:tblPr>
        <w:tblW w:w="0" w:type="auto"/>
        <w:tblLayout w:type="fixed"/>
        <w:tblCellMar>
          <w:left w:w="62" w:type="dxa"/>
          <w:right w:w="62" w:type="dxa"/>
        </w:tblCellMar>
        <w:tblLook w:val="0000"/>
      </w:tblPr>
      <w:tblGrid>
        <w:gridCol w:w="2622"/>
        <w:gridCol w:w="5900"/>
      </w:tblGrid>
      <w:tr w:rsidTr="00982E4E">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Common</w:t>
            </w:r>
          </w:p>
        </w:tc>
      </w:tr>
    </w:tbl>
    <w:p w:rsidR="00982E4E" w:rsidP="009D3664">
      <w:pPr>
        <w:pStyle w:val="BodyText"/>
      </w:pPr>
    </w:p>
    <w:p w:rsidR="00982E4E" w:rsidP="009D3664">
      <w:pPr>
        <w:pStyle w:val="BodyText"/>
      </w:pPr>
    </w:p>
    <w:p w:rsidR="00000000" w:rsidRPr="009D3664" w:rsidP="009D3664">
      <w:pPr>
        <w:pStyle w:val="Heading1"/>
      </w:pPr>
      <w:bookmarkStart w:id="13" w:name="O_199294"/>
      <w:bookmarkEnd w:id="13"/>
      <w:r w:rsidRPr="009D3664">
        <w:t>Co-requisite units</w:t>
      </w:r>
    </w:p>
    <w:tbl>
      <w:tblPr>
        <w:tblW w:w="0" w:type="auto"/>
        <w:tblLayout w:type="fixed"/>
        <w:tblCellMar>
          <w:left w:w="62" w:type="dxa"/>
          <w:right w:w="62" w:type="dxa"/>
        </w:tblCellMar>
        <w:tblLook w:val="0000"/>
      </w:tblPr>
      <w:tblGrid>
        <w:gridCol w:w="2626"/>
        <w:gridCol w:w="5896"/>
      </w:tblGrid>
      <w:tr w:rsidTr="00982E4E">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Co-requisite units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Nil</w:t>
            </w:r>
          </w:p>
        </w:tc>
      </w:tr>
    </w:tbl>
    <w:p w:rsidR="00982E4E" w:rsidP="009D3664">
      <w:pPr>
        <w:pStyle w:val="BodyText"/>
      </w:pPr>
    </w:p>
    <w:p w:rsidR="00982E4E" w:rsidP="009D3664">
      <w:pPr>
        <w:pStyle w:val="BodyText"/>
      </w:pPr>
    </w:p>
    <w:p w:rsidR="00000000" w:rsidRPr="009D3664" w:rsidP="009D3664">
      <w:pPr>
        <w:pStyle w:val="Heading1"/>
      </w:pPr>
      <w:bookmarkStart w:id="14" w:name="O_199296"/>
      <w:bookmarkEnd w:id="14"/>
      <w:r w:rsidRPr="009D3664">
        <w:t>Competency field</w:t>
      </w:r>
    </w:p>
    <w:tbl>
      <w:tblPr>
        <w:tblW w:w="0" w:type="auto"/>
        <w:tblLayout w:type="fixed"/>
        <w:tblCellMar>
          <w:left w:w="62" w:type="dxa"/>
          <w:right w:w="62" w:type="dxa"/>
        </w:tblCellMar>
        <w:tblLook w:val="0000"/>
      </w:tblPr>
      <w:tblGrid>
        <w:gridCol w:w="2724"/>
        <w:gridCol w:w="5798"/>
      </w:tblGrid>
      <w:tr w:rsidTr="00982E4E">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664">
            <w:pPr>
              <w:pStyle w:val="BodyText"/>
              <w:rPr>
                <w:lang w:val="en-NZ"/>
              </w:rPr>
            </w:pPr>
            <w:r w:rsidRPr="009D3664">
              <w:rPr>
                <w:rStyle w:val="SpecialBold"/>
              </w:rPr>
              <w:t>Competency field</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664" w:rsidP="009D3664">
            <w:pPr>
              <w:pStyle w:val="BodyText"/>
            </w:pPr>
            <w:r w:rsidRPr="009D3664">
              <w:t>Senior management</w:t>
            </w:r>
          </w:p>
        </w:tc>
      </w:tr>
    </w:tbl>
    <w:p w:rsidR="00982E4E" w:rsidP="009D3664">
      <w:pPr>
        <w:pStyle w:val="BodyText"/>
      </w:pPr>
    </w:p>
    <w:p w:rsidR="00982E4E" w:rsidP="009D3664">
      <w:pPr>
        <w:pStyle w:val="BodyText"/>
      </w:pPr>
    </w:p>
    <w:p w:rsidR="00000000" w:rsidRPr="009D3664" w:rsidP="009D3664"/>
    <w:sectPr w:rsidSect="009D36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E4E" w:rsidP="00982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E4E" w:rsidP="009D36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2E4E" w:rsidP="009D36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82E4E" w:rsidP="009D36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E4E" w:rsidP="00982E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E4E" w:rsidP="009D3664">
    <w:pPr>
      <w:pStyle w:val="Header"/>
      <w:framePr w:wrap="around"/>
    </w:pPr>
    <w:r>
      <w:fldChar w:fldCharType="begin"/>
    </w:r>
    <w:r>
      <w:instrText xml:space="preserve"> TITLE   \* MERGEFORMAT </w:instrText>
    </w:r>
    <w:r>
      <w:fldChar w:fldCharType="separate"/>
    </w:r>
    <w:r>
      <w:t>CPCMCM7002A Manage the quality of projects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2E4E" w:rsidP="009D36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B42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BA9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C2A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6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3664"/>
    <w:pPr>
      <w:spacing w:before="360" w:after="60"/>
      <w:outlineLvl w:val="0"/>
    </w:pPr>
    <w:rPr>
      <w:sz w:val="32"/>
    </w:rPr>
  </w:style>
  <w:style w:type="paragraph" w:styleId="Heading2">
    <w:name w:val="heading 2"/>
    <w:basedOn w:val="HeadingBase"/>
    <w:next w:val="BodyText"/>
    <w:link w:val="Heading2Char"/>
    <w:qFormat/>
    <w:rsid w:val="009D3664"/>
    <w:pPr>
      <w:keepLines/>
      <w:spacing w:before="240" w:after="120"/>
      <w:outlineLvl w:val="1"/>
    </w:pPr>
    <w:rPr>
      <w:sz w:val="28"/>
      <w:szCs w:val="40"/>
    </w:rPr>
  </w:style>
  <w:style w:type="paragraph" w:styleId="Heading3">
    <w:name w:val="heading 3"/>
    <w:basedOn w:val="HeadingBase"/>
    <w:next w:val="BodyText"/>
    <w:link w:val="Heading3Char"/>
    <w:qFormat/>
    <w:rsid w:val="009D3664"/>
    <w:pPr>
      <w:spacing w:before="180" w:after="120"/>
      <w:outlineLvl w:val="2"/>
    </w:pPr>
    <w:rPr>
      <w:spacing w:val="-10"/>
      <w:kern w:val="32"/>
    </w:rPr>
  </w:style>
  <w:style w:type="paragraph" w:styleId="Heading4">
    <w:name w:val="heading 4"/>
    <w:basedOn w:val="HeadingBase"/>
    <w:next w:val="BodyText"/>
    <w:link w:val="Heading4Char"/>
    <w:qFormat/>
    <w:rsid w:val="009D3664"/>
    <w:pPr>
      <w:spacing w:before="160" w:after="120"/>
      <w:outlineLvl w:val="3"/>
    </w:pPr>
    <w:rPr>
      <w:sz w:val="22"/>
    </w:rPr>
  </w:style>
  <w:style w:type="paragraph" w:styleId="Heading5">
    <w:name w:val="heading 5"/>
    <w:basedOn w:val="HeadingBase"/>
    <w:next w:val="Normal"/>
    <w:link w:val="Heading5Char"/>
    <w:qFormat/>
    <w:rsid w:val="009D3664"/>
    <w:pPr>
      <w:spacing w:before="80"/>
      <w:outlineLvl w:val="4"/>
    </w:pPr>
    <w:rPr>
      <w:color w:val="918585"/>
      <w:sz w:val="20"/>
    </w:rPr>
  </w:style>
  <w:style w:type="paragraph" w:styleId="Heading6">
    <w:name w:val="heading 6"/>
    <w:basedOn w:val="HeadingBase"/>
    <w:next w:val="Normal"/>
    <w:link w:val="Heading6Char"/>
    <w:qFormat/>
    <w:rsid w:val="009D3664"/>
    <w:pPr>
      <w:spacing w:before="60"/>
      <w:outlineLvl w:val="5"/>
    </w:pPr>
    <w:rPr>
      <w:color w:val="918585"/>
      <w:sz w:val="20"/>
    </w:rPr>
  </w:style>
  <w:style w:type="paragraph" w:styleId="Heading7">
    <w:name w:val="heading 7"/>
    <w:basedOn w:val="Normal"/>
    <w:next w:val="Normal"/>
    <w:link w:val="Heading7Char"/>
    <w:qFormat/>
    <w:rsid w:val="009D3664"/>
    <w:pPr>
      <w:ind w:left="720"/>
      <w:outlineLvl w:val="6"/>
    </w:pPr>
    <w:rPr>
      <w:i/>
    </w:rPr>
  </w:style>
  <w:style w:type="paragraph" w:styleId="Heading8">
    <w:name w:val="heading 8"/>
    <w:basedOn w:val="Normal"/>
    <w:next w:val="Normal"/>
    <w:link w:val="Heading8Char"/>
    <w:qFormat/>
    <w:rsid w:val="009D3664"/>
    <w:pPr>
      <w:ind w:left="720"/>
      <w:outlineLvl w:val="7"/>
    </w:pPr>
    <w:rPr>
      <w:i/>
    </w:rPr>
  </w:style>
  <w:style w:type="paragraph" w:styleId="Heading9">
    <w:name w:val="heading 9"/>
    <w:basedOn w:val="Normal"/>
    <w:next w:val="Normal"/>
    <w:link w:val="Heading9Char"/>
    <w:qFormat/>
    <w:rsid w:val="009D3664"/>
    <w:pPr>
      <w:ind w:left="720"/>
      <w:outlineLvl w:val="8"/>
    </w:pPr>
    <w:rPr>
      <w:i/>
    </w:rPr>
  </w:style>
  <w:style w:type="character" w:default="1" w:styleId="DefaultParagraphFont">
    <w:name w:val="Default Paragraph Font"/>
    <w:uiPriority w:val="1"/>
    <w:unhideWhenUsed/>
    <w:rsid w:val="009D3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664"/>
  </w:style>
  <w:style w:type="character" w:customStyle="1" w:styleId="Heading1Char">
    <w:name w:val="Heading 1 Char"/>
    <w:basedOn w:val="DefaultParagraphFont"/>
    <w:link w:val="Heading1"/>
    <w:rsid w:val="009D3664"/>
    <w:rPr>
      <w:rFonts w:ascii="Times New Roman" w:eastAsia="Times New Roman" w:hAnsi="Times New Roman" w:cs="Times New Roman"/>
      <w:b/>
      <w:sz w:val="32"/>
      <w:szCs w:val="20"/>
      <w:lang w:eastAsia="en-US"/>
    </w:rPr>
  </w:style>
  <w:style w:type="paragraph" w:styleId="BodyText">
    <w:name w:val="Body Text"/>
    <w:basedOn w:val="Normal"/>
    <w:link w:val="BodyTextChar"/>
    <w:rsid w:val="009D36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664"/>
    <w:rPr>
      <w:rFonts w:ascii="Times New Roman" w:eastAsia="Times New Roman" w:hAnsi="Times New Roman" w:cs="Times New Roman"/>
      <w:sz w:val="24"/>
      <w:lang w:val="en-US" w:eastAsia="en-US"/>
    </w:rPr>
  </w:style>
  <w:style w:type="paragraph" w:styleId="Footer">
    <w:name w:val="footer"/>
    <w:basedOn w:val="Normal"/>
    <w:link w:val="FooterChar"/>
    <w:rsid w:val="009D3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664"/>
    <w:rPr>
      <w:rFonts w:ascii="Times New Roman" w:eastAsia="Times New Roman" w:hAnsi="Times New Roman" w:cs="Times New Roman"/>
      <w:sz w:val="16"/>
      <w:lang w:val="en-US" w:eastAsia="en-US"/>
    </w:rPr>
  </w:style>
  <w:style w:type="paragraph" w:styleId="List">
    <w:name w:val="List"/>
    <w:basedOn w:val="BodyText"/>
    <w:next w:val="BodyText"/>
    <w:rsid w:val="009D3664"/>
    <w:pPr>
      <w:tabs>
        <w:tab w:val="left" w:pos="340"/>
      </w:tabs>
      <w:spacing w:before="60" w:after="60"/>
      <w:ind w:left="340" w:hanging="340"/>
    </w:pPr>
  </w:style>
  <w:style w:type="paragraph" w:styleId="ListBullet">
    <w:name w:val="List Bullet"/>
    <w:basedOn w:val="List"/>
    <w:rsid w:val="009D3664"/>
    <w:pPr>
      <w:numPr>
        <w:numId w:val="14"/>
      </w:numPr>
      <w:tabs>
        <w:tab w:val="clear" w:pos="340"/>
      </w:tabs>
      <w:spacing w:before="40" w:after="40"/>
    </w:pPr>
  </w:style>
  <w:style w:type="character" w:customStyle="1" w:styleId="SpecialBold">
    <w:name w:val="Special Bold"/>
    <w:basedOn w:val="DefaultParagraphFont"/>
    <w:rsid w:val="009D3664"/>
    <w:rPr>
      <w:b/>
      <w:spacing w:val="0"/>
    </w:rPr>
  </w:style>
  <w:style w:type="paragraph" w:styleId="ListBullet2">
    <w:name w:val="List Bullet 2"/>
    <w:basedOn w:val="List2"/>
    <w:rsid w:val="009D3664"/>
    <w:pPr>
      <w:numPr>
        <w:numId w:val="15"/>
      </w:numPr>
      <w:tabs>
        <w:tab w:val="clear" w:pos="680"/>
      </w:tabs>
    </w:pPr>
  </w:style>
  <w:style w:type="paragraph" w:styleId="Header">
    <w:name w:val="header"/>
    <w:basedOn w:val="Normal"/>
    <w:link w:val="HeaderChar"/>
    <w:rsid w:val="009D3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6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3664"/>
    <w:pPr>
      <w:spacing w:before="240" w:after="120"/>
      <w:outlineLvl w:val="0"/>
    </w:pPr>
    <w:rPr>
      <w:rFonts w:ascii="Times New Roman" w:hAnsi="Times New Roman"/>
      <w:b/>
      <w:sz w:val="28"/>
    </w:rPr>
  </w:style>
  <w:style w:type="paragraph" w:customStyle="1" w:styleId="AllowPageBreak">
    <w:name w:val="AllowPageBreak"/>
    <w:rsid w:val="009D36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3664"/>
    <w:pPr>
      <w:tabs>
        <w:tab w:val="left" w:pos="680"/>
      </w:tabs>
      <w:spacing w:before="60" w:after="60"/>
      <w:ind w:left="680" w:hanging="340"/>
    </w:pPr>
  </w:style>
  <w:style w:type="paragraph" w:styleId="ListBullet3">
    <w:name w:val="List Bullet 3"/>
    <w:basedOn w:val="List3"/>
    <w:rsid w:val="009D3664"/>
    <w:pPr>
      <w:numPr>
        <w:numId w:val="3"/>
      </w:numPr>
      <w:tabs>
        <w:tab w:val="clear" w:pos="1021"/>
      </w:tabs>
      <w:ind w:left="1037" w:hanging="357"/>
    </w:pPr>
  </w:style>
  <w:style w:type="character" w:customStyle="1" w:styleId="BoldandItalics">
    <w:name w:val="Bold and Italics"/>
    <w:qFormat/>
    <w:rsid w:val="009D3664"/>
    <w:rPr>
      <w:b/>
      <w:i/>
      <w:u w:val="none"/>
    </w:rPr>
  </w:style>
  <w:style w:type="character" w:customStyle="1" w:styleId="Heading2Char">
    <w:name w:val="Heading 2 Char"/>
    <w:basedOn w:val="DefaultParagraphFont"/>
    <w:link w:val="Heading2"/>
    <w:rsid w:val="009D36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6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6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36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3664"/>
    <w:rPr>
      <w:rFonts w:ascii="Courier New" w:eastAsia="Times New Roman" w:hAnsi="Courier New" w:cs="Times New Roman"/>
      <w:i/>
      <w:szCs w:val="20"/>
      <w:lang w:val="en-US" w:eastAsia="en-US"/>
    </w:rPr>
  </w:style>
  <w:style w:type="paragraph" w:customStyle="1" w:styleId="HeadingBase">
    <w:name w:val="Heading Base"/>
    <w:rsid w:val="009D3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664"/>
    <w:pPr>
      <w:tabs>
        <w:tab w:val="right" w:leader="dot" w:pos="9072"/>
      </w:tabs>
      <w:ind w:left="567"/>
    </w:pPr>
    <w:rPr>
      <w:szCs w:val="22"/>
    </w:rPr>
  </w:style>
  <w:style w:type="paragraph" w:customStyle="1" w:styleId="TOCBase">
    <w:name w:val="TOC Base"/>
    <w:rsid w:val="009D3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664"/>
    <w:pPr>
      <w:tabs>
        <w:tab w:val="right" w:leader="dot" w:pos="9072"/>
      </w:tabs>
      <w:spacing w:before="40" w:after="40"/>
      <w:ind w:left="284"/>
    </w:pPr>
    <w:rPr>
      <w:rFonts w:ascii="Times New Roman" w:hAnsi="Times New Roman"/>
    </w:rPr>
  </w:style>
  <w:style w:type="paragraph" w:styleId="TOC1">
    <w:name w:val="toc 1"/>
    <w:basedOn w:val="TOCBase"/>
    <w:next w:val="Normal"/>
    <w:rsid w:val="009D36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3664"/>
    <w:pPr>
      <w:spacing w:before="5040"/>
      <w:jc w:val="center"/>
    </w:pPr>
    <w:rPr>
      <w:sz w:val="48"/>
      <w:szCs w:val="72"/>
      <w:lang w:val="en-US"/>
    </w:rPr>
  </w:style>
  <w:style w:type="character" w:customStyle="1" w:styleId="TitleChar">
    <w:name w:val="Title Char"/>
    <w:basedOn w:val="DefaultParagraphFont"/>
    <w:link w:val="Title"/>
    <w:rsid w:val="009D3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664"/>
    <w:pPr>
      <w:tabs>
        <w:tab w:val="left" w:pos="3600"/>
        <w:tab w:val="left" w:pos="3958"/>
      </w:tabs>
    </w:pPr>
  </w:style>
  <w:style w:type="paragraph" w:customStyle="1" w:styleId="Note">
    <w:name w:val="Note"/>
    <w:basedOn w:val="BodyText"/>
    <w:rsid w:val="009D36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664"/>
    <w:pPr>
      <w:framePr w:wrap="auto" w:hAnchor="text" w:y="6049"/>
    </w:pPr>
    <w:rPr>
      <w:color w:val="000000"/>
      <w:sz w:val="40"/>
    </w:rPr>
  </w:style>
  <w:style w:type="paragraph" w:customStyle="1" w:styleId="TOCTitle">
    <w:name w:val="TOCTitle"/>
    <w:basedOn w:val="Heading1"/>
    <w:rsid w:val="009D3664"/>
    <w:pPr>
      <w:spacing w:after="240"/>
      <w:jc w:val="center"/>
      <w:outlineLvl w:val="9"/>
    </w:pPr>
    <w:rPr>
      <w:caps/>
    </w:rPr>
  </w:style>
  <w:style w:type="paragraph" w:customStyle="1" w:styleId="Version">
    <w:name w:val="Version"/>
    <w:rsid w:val="009D36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664"/>
    <w:pPr>
      <w:keepNext w:val="0"/>
      <w:tabs>
        <w:tab w:val="right" w:pos="4176"/>
      </w:tabs>
      <w:ind w:left="198" w:hanging="198"/>
    </w:pPr>
    <w:rPr>
      <w:rFonts w:ascii="Garamond" w:hAnsi="Garamond"/>
    </w:rPr>
  </w:style>
  <w:style w:type="paragraph" w:styleId="IndexHeading">
    <w:name w:val="index heading"/>
    <w:basedOn w:val="Normal"/>
    <w:next w:val="Index1"/>
    <w:semiHidden/>
    <w:rsid w:val="009D3664"/>
    <w:pPr>
      <w:spacing w:before="120" w:after="120"/>
    </w:pPr>
    <w:rPr>
      <w:rFonts w:ascii="Arial" w:hAnsi="Arial"/>
      <w:b/>
      <w:color w:val="918585"/>
      <w:sz w:val="24"/>
    </w:rPr>
  </w:style>
  <w:style w:type="paragraph" w:customStyle="1" w:styleId="Chapter">
    <w:name w:val="Chapter"/>
    <w:basedOn w:val="Normal"/>
    <w:rsid w:val="009D3664"/>
    <w:pPr>
      <w:spacing w:before="240"/>
    </w:pPr>
    <w:rPr>
      <w:rFonts w:ascii="Times New Roman" w:hAnsi="Times New Roman"/>
      <w:smallCaps/>
      <w:spacing w:val="80"/>
      <w:sz w:val="28"/>
    </w:rPr>
  </w:style>
  <w:style w:type="paragraph" w:customStyle="1" w:styleId="InChapter">
    <w:name w:val="InChapter"/>
    <w:basedOn w:val="Heading3"/>
    <w:rsid w:val="009D3664"/>
    <w:pPr>
      <w:spacing w:after="240"/>
      <w:outlineLvl w:val="9"/>
    </w:pPr>
    <w:rPr>
      <w:noProof/>
    </w:rPr>
  </w:style>
  <w:style w:type="paragraph" w:styleId="Index2">
    <w:name w:val="index 2"/>
    <w:basedOn w:val="Normal"/>
    <w:next w:val="Normal"/>
    <w:semiHidden/>
    <w:rsid w:val="009D3664"/>
    <w:pPr>
      <w:tabs>
        <w:tab w:val="right" w:pos="4176"/>
      </w:tabs>
      <w:ind w:left="568" w:hanging="284"/>
    </w:pPr>
    <w:rPr>
      <w:rFonts w:ascii="Garamond" w:hAnsi="Garamond"/>
    </w:rPr>
  </w:style>
  <w:style w:type="paragraph" w:customStyle="1" w:styleId="Byline">
    <w:name w:val="Byline"/>
    <w:rsid w:val="009D3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664"/>
    <w:pPr>
      <w:tabs>
        <w:tab w:val="clear" w:pos="3600"/>
        <w:tab w:val="clear" w:pos="3958"/>
      </w:tabs>
      <w:jc w:val="right"/>
    </w:pPr>
  </w:style>
  <w:style w:type="character" w:styleId="Emphasis">
    <w:name w:val="Emphasis"/>
    <w:basedOn w:val="DefaultParagraphFont"/>
    <w:qFormat/>
    <w:rsid w:val="009D3664"/>
    <w:rPr>
      <w:i/>
    </w:rPr>
  </w:style>
  <w:style w:type="paragraph" w:styleId="Caption">
    <w:name w:val="caption"/>
    <w:basedOn w:val="BodyText"/>
    <w:next w:val="Normal"/>
    <w:qFormat/>
    <w:rsid w:val="009D3664"/>
    <w:pPr>
      <w:framePr w:w="2268" w:hSpace="181" w:vSpace="181" w:wrap="around" w:vAnchor="text" w:hAnchor="page" w:x="1135" w:y="285" w:anchorLock="1"/>
    </w:pPr>
    <w:rPr>
      <w:i/>
    </w:rPr>
  </w:style>
  <w:style w:type="paragraph" w:customStyle="1" w:styleId="MiniTOCTitle">
    <w:name w:val="MiniTOCTitle"/>
    <w:basedOn w:val="Heading4"/>
    <w:rsid w:val="009D3664"/>
    <w:pPr>
      <w:spacing w:before="240"/>
      <w:outlineLvl w:val="9"/>
    </w:pPr>
    <w:rPr>
      <w:noProof/>
      <w:sz w:val="24"/>
    </w:rPr>
  </w:style>
  <w:style w:type="paragraph" w:customStyle="1" w:styleId="MiniTOCItem">
    <w:name w:val="MiniTOCItem"/>
    <w:basedOn w:val="ListBullet"/>
    <w:rsid w:val="009D3664"/>
    <w:pPr>
      <w:numPr>
        <w:numId w:val="0"/>
      </w:numPr>
      <w:tabs>
        <w:tab w:val="right" w:leader="dot" w:pos="6521"/>
      </w:tabs>
      <w:spacing w:before="0" w:after="0"/>
    </w:pPr>
  </w:style>
  <w:style w:type="paragraph" w:customStyle="1" w:styleId="TOFTitle">
    <w:name w:val="TOFTitle"/>
    <w:basedOn w:val="TOCTitle"/>
    <w:rsid w:val="009D3664"/>
  </w:style>
  <w:style w:type="paragraph" w:styleId="TableofFigures">
    <w:name w:val="table of figures"/>
    <w:basedOn w:val="Normal"/>
    <w:next w:val="Normal"/>
    <w:semiHidden/>
    <w:rsid w:val="009D3664"/>
    <w:pPr>
      <w:tabs>
        <w:tab w:val="right" w:leader="dot" w:pos="9072"/>
      </w:tabs>
      <w:ind w:left="970" w:hanging="403"/>
    </w:pPr>
    <w:rPr>
      <w:rFonts w:ascii="Times New Roman" w:hAnsi="Times New Roman"/>
      <w:b/>
    </w:rPr>
  </w:style>
  <w:style w:type="paragraph" w:styleId="ListNumber">
    <w:name w:val="List Number"/>
    <w:basedOn w:val="List"/>
    <w:rsid w:val="009D3664"/>
    <w:pPr>
      <w:numPr>
        <w:numId w:val="12"/>
      </w:numPr>
    </w:pPr>
  </w:style>
  <w:style w:type="character" w:customStyle="1" w:styleId="WingdingSymbols">
    <w:name w:val="Wingding Symbols"/>
    <w:rsid w:val="009D3664"/>
    <w:rPr>
      <w:rFonts w:ascii="Wingdings" w:hAnsi="Wingdings"/>
    </w:rPr>
  </w:style>
  <w:style w:type="paragraph" w:customStyle="1" w:styleId="TableHeading">
    <w:name w:val="Table Heading"/>
    <w:basedOn w:val="HeadingBase"/>
    <w:rsid w:val="009D3664"/>
    <w:pPr>
      <w:keepLines/>
      <w:pBdr>
        <w:bottom w:val="single" w:sz="6" w:space="1" w:color="918585"/>
      </w:pBdr>
      <w:spacing w:before="240"/>
    </w:pPr>
  </w:style>
  <w:style w:type="character" w:customStyle="1" w:styleId="HotSpot">
    <w:name w:val="HotSpot"/>
    <w:rsid w:val="009D3664"/>
    <w:rPr>
      <w:color w:val="0033CC"/>
      <w:u w:val="none"/>
    </w:rPr>
  </w:style>
  <w:style w:type="paragraph" w:customStyle="1" w:styleId="BodyTextRight">
    <w:name w:val="Body Text Right"/>
    <w:basedOn w:val="BodyText"/>
    <w:rsid w:val="009D3664"/>
    <w:pPr>
      <w:spacing w:before="0" w:after="0"/>
      <w:jc w:val="right"/>
    </w:pPr>
  </w:style>
  <w:style w:type="paragraph" w:styleId="Index3">
    <w:name w:val="index 3"/>
    <w:basedOn w:val="ListNumber2"/>
    <w:next w:val="Normal"/>
    <w:semiHidden/>
    <w:rsid w:val="009D3664"/>
    <w:pPr>
      <w:numPr>
        <w:numId w:val="0"/>
      </w:numPr>
      <w:tabs>
        <w:tab w:val="right" w:leader="dot" w:pos="4176"/>
      </w:tabs>
    </w:pPr>
  </w:style>
  <w:style w:type="paragraph" w:styleId="ListNumber2">
    <w:name w:val="List Number 2"/>
    <w:basedOn w:val="List2"/>
    <w:rsid w:val="009D3664"/>
    <w:pPr>
      <w:numPr>
        <w:numId w:val="11"/>
      </w:numPr>
      <w:tabs>
        <w:tab w:val="clear" w:pos="1060"/>
      </w:tabs>
    </w:pPr>
  </w:style>
  <w:style w:type="paragraph" w:customStyle="1" w:styleId="MarginNote">
    <w:name w:val="Margin Note"/>
    <w:basedOn w:val="BodyText"/>
    <w:rsid w:val="009D3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6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3664"/>
    <w:rPr>
      <w:sz w:val="32"/>
    </w:rPr>
  </w:style>
  <w:style w:type="paragraph" w:customStyle="1" w:styleId="HeadingProcedure">
    <w:name w:val="Heading Procedure"/>
    <w:basedOn w:val="HeadingBase"/>
    <w:next w:val="Normal"/>
    <w:rsid w:val="009D3664"/>
    <w:pPr>
      <w:tabs>
        <w:tab w:val="left" w:pos="0"/>
      </w:tabs>
      <w:spacing w:before="120" w:after="60"/>
    </w:pPr>
    <w:rPr>
      <w:i/>
      <w:color w:val="918585"/>
      <w:sz w:val="22"/>
    </w:rPr>
  </w:style>
  <w:style w:type="paragraph" w:customStyle="1" w:styleId="TableBodyText">
    <w:name w:val="Table Body Text"/>
    <w:basedOn w:val="BodyText"/>
    <w:rsid w:val="009D3664"/>
    <w:pPr>
      <w:spacing w:before="60" w:after="60"/>
    </w:pPr>
  </w:style>
  <w:style w:type="paragraph" w:styleId="ListContinue">
    <w:name w:val="List Continue"/>
    <w:basedOn w:val="List"/>
    <w:rsid w:val="009D3664"/>
    <w:pPr>
      <w:ind w:firstLine="0"/>
    </w:pPr>
  </w:style>
  <w:style w:type="paragraph" w:customStyle="1" w:styleId="ListNote">
    <w:name w:val="List Note"/>
    <w:basedOn w:val="List"/>
    <w:rsid w:val="009D3664"/>
    <w:pPr>
      <w:pBdr>
        <w:top w:val="single" w:sz="6" w:space="2" w:color="918585"/>
        <w:bottom w:val="single" w:sz="6" w:space="2" w:color="918585"/>
      </w:pBdr>
      <w:tabs>
        <w:tab w:val="left" w:pos="1021"/>
      </w:tabs>
      <w:ind w:firstLine="0"/>
    </w:pPr>
  </w:style>
  <w:style w:type="paragraph" w:customStyle="1" w:styleId="Warning">
    <w:name w:val="Warning"/>
    <w:basedOn w:val="BodyText"/>
    <w:rsid w:val="009D3664"/>
    <w:pPr>
      <w:shd w:val="clear" w:color="auto" w:fill="D9D9D9"/>
      <w:tabs>
        <w:tab w:val="left" w:pos="992"/>
      </w:tabs>
      <w:ind w:left="119" w:right="119"/>
    </w:pPr>
    <w:rPr>
      <w:sz w:val="20"/>
    </w:rPr>
  </w:style>
  <w:style w:type="paragraph" w:customStyle="1" w:styleId="MarginIcons">
    <w:name w:val="Margin Icons"/>
    <w:basedOn w:val="BodyText"/>
    <w:rsid w:val="009D3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664"/>
    <w:rPr>
      <w:rFonts w:ascii="Courier New" w:hAnsi="Courier New"/>
    </w:rPr>
  </w:style>
  <w:style w:type="paragraph" w:customStyle="1" w:styleId="NoteBullet">
    <w:name w:val="Note Bullet"/>
    <w:basedOn w:val="Note"/>
    <w:rsid w:val="009D3664"/>
    <w:pPr>
      <w:tabs>
        <w:tab w:val="clear" w:pos="680"/>
      </w:tabs>
      <w:spacing w:before="60" w:after="60"/>
    </w:pPr>
  </w:style>
  <w:style w:type="paragraph" w:customStyle="1" w:styleId="SubHeading2">
    <w:name w:val="SubHeading2"/>
    <w:basedOn w:val="HeadingBase"/>
    <w:rsid w:val="009D3664"/>
    <w:pPr>
      <w:spacing w:before="240" w:after="60"/>
    </w:pPr>
    <w:rPr>
      <w:sz w:val="20"/>
    </w:rPr>
  </w:style>
  <w:style w:type="paragraph" w:customStyle="1" w:styleId="SubHeading1">
    <w:name w:val="SubHeading1"/>
    <w:basedOn w:val="HeadingBase"/>
    <w:rsid w:val="009D3664"/>
    <w:pPr>
      <w:spacing w:before="240" w:after="60"/>
    </w:pPr>
    <w:rPr>
      <w:color w:val="918585"/>
      <w:sz w:val="22"/>
    </w:rPr>
  </w:style>
  <w:style w:type="paragraph" w:customStyle="1" w:styleId="SideHeading">
    <w:name w:val="Side Heading"/>
    <w:basedOn w:val="HeadingBase"/>
    <w:rsid w:val="009D3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664"/>
    <w:pPr>
      <w:numPr>
        <w:numId w:val="13"/>
      </w:numPr>
    </w:pPr>
  </w:style>
  <w:style w:type="paragraph" w:styleId="PlainText">
    <w:name w:val="Plain Text"/>
    <w:basedOn w:val="Normal"/>
    <w:link w:val="PlainTextChar"/>
    <w:rsid w:val="009D3664"/>
    <w:rPr>
      <w:sz w:val="20"/>
    </w:rPr>
  </w:style>
  <w:style w:type="character" w:customStyle="1" w:styleId="PlainTextChar">
    <w:name w:val="Plain Text Char"/>
    <w:basedOn w:val="DefaultParagraphFont"/>
    <w:link w:val="PlainText"/>
    <w:rsid w:val="009D36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3664"/>
    <w:rPr>
      <w:b/>
      <w:smallCaps/>
    </w:rPr>
  </w:style>
  <w:style w:type="paragraph" w:customStyle="1" w:styleId="TableListNumber">
    <w:name w:val="Table List Number"/>
    <w:basedOn w:val="ListNumber"/>
    <w:rsid w:val="009D3664"/>
    <w:pPr>
      <w:numPr>
        <w:numId w:val="0"/>
      </w:numPr>
    </w:pPr>
  </w:style>
  <w:style w:type="paragraph" w:styleId="TOC4">
    <w:name w:val="toc 4"/>
    <w:basedOn w:val="TOCBase"/>
    <w:next w:val="Normal"/>
    <w:semiHidden/>
    <w:rsid w:val="009D3664"/>
    <w:pPr>
      <w:tabs>
        <w:tab w:val="right" w:leader="dot" w:pos="9071"/>
      </w:tabs>
      <w:ind w:left="1701"/>
    </w:pPr>
  </w:style>
  <w:style w:type="paragraph" w:customStyle="1" w:styleId="ListAlpha">
    <w:name w:val="List Alpha"/>
    <w:basedOn w:val="List"/>
    <w:rsid w:val="009D3664"/>
    <w:pPr>
      <w:numPr>
        <w:numId w:val="10"/>
      </w:numPr>
    </w:pPr>
  </w:style>
  <w:style w:type="paragraph" w:customStyle="1" w:styleId="ListAlpha2">
    <w:name w:val="List Alpha 2"/>
    <w:basedOn w:val="List2"/>
    <w:rsid w:val="009D3664"/>
    <w:pPr>
      <w:numPr>
        <w:numId w:val="9"/>
      </w:numPr>
    </w:pPr>
  </w:style>
  <w:style w:type="paragraph" w:styleId="List3">
    <w:name w:val="List 3"/>
    <w:basedOn w:val="BodyText"/>
    <w:rsid w:val="009D3664"/>
    <w:pPr>
      <w:tabs>
        <w:tab w:val="left" w:pos="1021"/>
      </w:tabs>
      <w:spacing w:before="60" w:after="60"/>
      <w:ind w:left="1020" w:hanging="340"/>
    </w:pPr>
  </w:style>
  <w:style w:type="paragraph" w:styleId="List4">
    <w:name w:val="List 4"/>
    <w:basedOn w:val="BodyText"/>
    <w:rsid w:val="009D3664"/>
    <w:pPr>
      <w:tabs>
        <w:tab w:val="left" w:pos="1361"/>
      </w:tabs>
      <w:spacing w:before="60" w:after="60"/>
      <w:ind w:left="1361" w:hanging="340"/>
    </w:pPr>
  </w:style>
  <w:style w:type="paragraph" w:styleId="List5">
    <w:name w:val="List 5"/>
    <w:basedOn w:val="BodyText"/>
    <w:rsid w:val="009D3664"/>
    <w:pPr>
      <w:tabs>
        <w:tab w:val="left" w:pos="1701"/>
      </w:tabs>
      <w:spacing w:before="60" w:after="60"/>
      <w:ind w:left="1701" w:hanging="340"/>
    </w:pPr>
  </w:style>
  <w:style w:type="paragraph" w:styleId="ListBullet4">
    <w:name w:val="List Bullet 4"/>
    <w:basedOn w:val="List4"/>
    <w:rsid w:val="009D3664"/>
    <w:pPr>
      <w:numPr>
        <w:numId w:val="4"/>
      </w:numPr>
    </w:pPr>
  </w:style>
  <w:style w:type="paragraph" w:styleId="ListBullet5">
    <w:name w:val="List Bullet 5"/>
    <w:basedOn w:val="List5"/>
    <w:rsid w:val="009D3664"/>
    <w:pPr>
      <w:numPr>
        <w:numId w:val="5"/>
      </w:numPr>
    </w:pPr>
  </w:style>
  <w:style w:type="paragraph" w:styleId="ListContinue2">
    <w:name w:val="List Continue 2"/>
    <w:basedOn w:val="List2"/>
    <w:rsid w:val="009D3664"/>
    <w:pPr>
      <w:ind w:firstLine="0"/>
    </w:pPr>
  </w:style>
  <w:style w:type="paragraph" w:styleId="ListContinue3">
    <w:name w:val="List Continue 3"/>
    <w:basedOn w:val="List3"/>
    <w:rsid w:val="009D3664"/>
    <w:pPr>
      <w:ind w:left="1021" w:firstLine="0"/>
    </w:pPr>
  </w:style>
  <w:style w:type="paragraph" w:styleId="ListContinue4">
    <w:name w:val="List Continue 4"/>
    <w:basedOn w:val="List4"/>
    <w:rsid w:val="009D3664"/>
    <w:pPr>
      <w:ind w:firstLine="0"/>
    </w:pPr>
  </w:style>
  <w:style w:type="paragraph" w:styleId="ListContinue5">
    <w:name w:val="List Continue 5"/>
    <w:basedOn w:val="List5"/>
    <w:rsid w:val="009D3664"/>
    <w:pPr>
      <w:ind w:firstLine="0"/>
    </w:pPr>
  </w:style>
  <w:style w:type="paragraph" w:styleId="ListNumber3">
    <w:name w:val="List Number 3"/>
    <w:basedOn w:val="List3"/>
    <w:rsid w:val="009D3664"/>
    <w:pPr>
      <w:numPr>
        <w:numId w:val="6"/>
      </w:numPr>
    </w:pPr>
  </w:style>
  <w:style w:type="paragraph" w:styleId="ListNumber4">
    <w:name w:val="List Number 4"/>
    <w:basedOn w:val="List4"/>
    <w:rsid w:val="009D3664"/>
    <w:pPr>
      <w:numPr>
        <w:numId w:val="7"/>
      </w:numPr>
    </w:pPr>
  </w:style>
  <w:style w:type="paragraph" w:styleId="ListNumber5">
    <w:name w:val="List Number 5"/>
    <w:basedOn w:val="List5"/>
    <w:rsid w:val="009D3664"/>
    <w:pPr>
      <w:numPr>
        <w:numId w:val="8"/>
      </w:numPr>
    </w:pPr>
  </w:style>
  <w:style w:type="paragraph" w:styleId="BlockText">
    <w:name w:val="Block Text"/>
    <w:basedOn w:val="Normal"/>
    <w:rsid w:val="009D3664"/>
    <w:pPr>
      <w:spacing w:after="120"/>
      <w:ind w:left="1440" w:right="1440"/>
    </w:pPr>
  </w:style>
  <w:style w:type="character" w:customStyle="1" w:styleId="Subscript">
    <w:name w:val="Subscript"/>
    <w:basedOn w:val="DefaultParagraphFont"/>
    <w:rsid w:val="009D3664"/>
    <w:rPr>
      <w:sz w:val="16"/>
      <w:vertAlign w:val="subscript"/>
    </w:rPr>
  </w:style>
  <w:style w:type="character" w:customStyle="1" w:styleId="Superscript">
    <w:name w:val="Superscript"/>
    <w:basedOn w:val="DefaultParagraphFont"/>
    <w:rsid w:val="009D3664"/>
    <w:rPr>
      <w:sz w:val="16"/>
      <w:vertAlign w:val="superscript"/>
    </w:rPr>
  </w:style>
  <w:style w:type="character" w:customStyle="1" w:styleId="Symbols">
    <w:name w:val="Symbols"/>
    <w:basedOn w:val="DefaultParagraphFont"/>
    <w:rsid w:val="009D3664"/>
    <w:rPr>
      <w:rFonts w:ascii="Symbol" w:hAnsi="Symbol"/>
    </w:rPr>
  </w:style>
  <w:style w:type="character" w:customStyle="1" w:styleId="MenuOptions">
    <w:name w:val="Menu Options"/>
    <w:basedOn w:val="DefaultParagraphFont"/>
    <w:rsid w:val="009D3664"/>
    <w:rPr>
      <w:rFonts w:ascii="Arial Narrow" w:hAnsi="Arial Narrow"/>
      <w:smallCaps/>
    </w:rPr>
  </w:style>
  <w:style w:type="character" w:customStyle="1" w:styleId="Buttons">
    <w:name w:val="Buttons"/>
    <w:basedOn w:val="DefaultParagraphFont"/>
    <w:rsid w:val="009D3664"/>
    <w:rPr>
      <w:b/>
    </w:rPr>
  </w:style>
  <w:style w:type="character" w:customStyle="1" w:styleId="Underlined">
    <w:name w:val="Underlined"/>
    <w:basedOn w:val="DefaultParagraphFont"/>
    <w:rsid w:val="009D3664"/>
    <w:rPr>
      <w:u w:val="single"/>
    </w:rPr>
  </w:style>
  <w:style w:type="paragraph" w:customStyle="1" w:styleId="TableBodyTextRight">
    <w:name w:val="Table Body Text Right"/>
    <w:basedOn w:val="TableBodyText"/>
    <w:rsid w:val="009D3664"/>
    <w:pPr>
      <w:widowControl w:val="0"/>
      <w:autoSpaceDE w:val="0"/>
      <w:autoSpaceDN w:val="0"/>
      <w:adjustRightInd w:val="0"/>
      <w:jc w:val="right"/>
    </w:pPr>
    <w:rPr>
      <w:rFonts w:cs="Arial"/>
      <w:szCs w:val="18"/>
    </w:rPr>
  </w:style>
  <w:style w:type="paragraph" w:customStyle="1" w:styleId="CopyrightText">
    <w:name w:val="Copyright Text"/>
    <w:basedOn w:val="BodyText"/>
    <w:rsid w:val="009D3664"/>
    <w:rPr>
      <w:sz w:val="18"/>
    </w:rPr>
  </w:style>
  <w:style w:type="paragraph" w:customStyle="1" w:styleId="BodySmallRight">
    <w:name w:val="Body Small Right"/>
    <w:basedOn w:val="BodyTextRight"/>
    <w:rsid w:val="009D3664"/>
    <w:rPr>
      <w:sz w:val="18"/>
      <w:szCs w:val="18"/>
    </w:rPr>
  </w:style>
  <w:style w:type="paragraph" w:customStyle="1" w:styleId="MarginEdition">
    <w:name w:val="Margin Edition"/>
    <w:basedOn w:val="MarginNote"/>
    <w:rsid w:val="009D3664"/>
    <w:pPr>
      <w:spacing w:before="0" w:after="0"/>
    </w:pPr>
    <w:rPr>
      <w:rFonts w:ascii="Times New Roman" w:hAnsi="Times New Roman"/>
      <w:color w:val="999999"/>
    </w:rPr>
  </w:style>
  <w:style w:type="paragraph" w:customStyle="1" w:styleId="Spacer">
    <w:name w:val="Spacer"/>
    <w:basedOn w:val="Normal"/>
    <w:rsid w:val="009D3664"/>
    <w:rPr>
      <w:sz w:val="2"/>
      <w:szCs w:val="2"/>
    </w:rPr>
  </w:style>
  <w:style w:type="character" w:customStyle="1" w:styleId="Small">
    <w:name w:val="Small"/>
    <w:basedOn w:val="DefaultParagraphFont"/>
    <w:rsid w:val="009D3664"/>
    <w:rPr>
      <w:sz w:val="16"/>
    </w:rPr>
  </w:style>
  <w:style w:type="paragraph" w:customStyle="1" w:styleId="WideTable">
    <w:name w:val="Wide Table"/>
    <w:basedOn w:val="Normal"/>
    <w:rsid w:val="009D3664"/>
    <w:pPr>
      <w:ind w:left="-1418"/>
    </w:pPr>
    <w:rPr>
      <w:sz w:val="2"/>
      <w:szCs w:val="2"/>
    </w:rPr>
  </w:style>
  <w:style w:type="character" w:styleId="PageNumber">
    <w:name w:val="page number"/>
    <w:basedOn w:val="DefaultParagraphFont"/>
    <w:rsid w:val="009D3664"/>
  </w:style>
  <w:style w:type="paragraph" w:styleId="Quote">
    <w:name w:val="Quote"/>
    <w:basedOn w:val="Heading1"/>
    <w:link w:val="QuoteChar"/>
    <w:qFormat/>
    <w:rsid w:val="009D3664"/>
    <w:rPr>
      <w:b w:val="0"/>
      <w:sz w:val="72"/>
      <w:szCs w:val="72"/>
      <w:lang w:val="en-NZ"/>
    </w:rPr>
  </w:style>
  <w:style w:type="character" w:customStyle="1" w:styleId="QuoteChar">
    <w:name w:val="Quote Char"/>
    <w:basedOn w:val="DefaultParagraphFont"/>
    <w:link w:val="Quote"/>
    <w:rsid w:val="009D3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664"/>
    <w:pPr>
      <w:pageBreakBefore/>
    </w:pPr>
  </w:style>
  <w:style w:type="paragraph" w:customStyle="1" w:styleId="Border">
    <w:name w:val="Border"/>
    <w:basedOn w:val="Normal"/>
    <w:qFormat/>
    <w:rsid w:val="009D3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664"/>
    <w:rPr>
      <w:b/>
      <w:bCs/>
      <w:i/>
      <w:iCs/>
      <w:color w:val="auto"/>
    </w:rPr>
  </w:style>
  <w:style w:type="paragraph" w:styleId="IntenseQuote">
    <w:name w:val="Intense Quote"/>
    <w:basedOn w:val="Normal"/>
    <w:next w:val="Normal"/>
    <w:link w:val="IntenseQuoteChar"/>
    <w:uiPriority w:val="30"/>
    <w:qFormat/>
    <w:rsid w:val="009D3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6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3664"/>
    <w:rPr>
      <w:smallCaps/>
      <w:color w:val="auto"/>
      <w:u w:val="single"/>
    </w:rPr>
  </w:style>
  <w:style w:type="character" w:styleId="IntenseReference">
    <w:name w:val="Intense Reference"/>
    <w:basedOn w:val="DefaultParagraphFont"/>
    <w:uiPriority w:val="32"/>
    <w:qFormat/>
    <w:rsid w:val="009D3664"/>
    <w:rPr>
      <w:b/>
      <w:bCs/>
      <w:smallCaps/>
      <w:color w:val="auto"/>
      <w:spacing w:val="5"/>
      <w:u w:val="single"/>
    </w:rPr>
  </w:style>
  <w:style w:type="paragraph" w:customStyle="1" w:styleId="2ColumnHeading">
    <w:name w:val="2Column Heading"/>
    <w:basedOn w:val="BodyText"/>
    <w:qFormat/>
    <w:rsid w:val="009D3664"/>
    <w:pPr>
      <w:spacing w:after="60"/>
      <w:ind w:left="-2268"/>
    </w:pPr>
    <w:rPr>
      <w:b/>
    </w:rPr>
  </w:style>
  <w:style w:type="paragraph" w:customStyle="1" w:styleId="Heading1TOC">
    <w:name w:val="Heading1 TOC"/>
    <w:basedOn w:val="Normal"/>
    <w:qFormat/>
    <w:rsid w:val="009D3664"/>
    <w:pPr>
      <w:spacing w:before="240" w:after="120"/>
    </w:pPr>
    <w:rPr>
      <w:rFonts w:ascii="Times New Roman" w:hAnsi="Times New Roman"/>
      <w:b/>
      <w:sz w:val="32"/>
    </w:rPr>
  </w:style>
  <w:style w:type="paragraph" w:customStyle="1" w:styleId="Heading2TOC">
    <w:name w:val="Heading2 TOC"/>
    <w:basedOn w:val="Normal"/>
    <w:qFormat/>
    <w:rsid w:val="009D3664"/>
    <w:pPr>
      <w:spacing w:before="240" w:after="60"/>
    </w:pPr>
    <w:rPr>
      <w:rFonts w:ascii="Times New Roman" w:hAnsi="Times New Roman"/>
      <w:b/>
      <w:sz w:val="28"/>
    </w:rPr>
  </w:style>
  <w:style w:type="character" w:customStyle="1" w:styleId="Underline">
    <w:name w:val="Underline"/>
    <w:basedOn w:val="DefaultParagraphFont"/>
    <w:qFormat/>
    <w:rsid w:val="009D3664"/>
    <w:rPr>
      <w:u w:val="single"/>
    </w:rPr>
  </w:style>
  <w:style w:type="paragraph" w:styleId="BalloonText">
    <w:name w:val="Balloon Text"/>
    <w:basedOn w:val="Normal"/>
    <w:link w:val="BalloonTextChar"/>
    <w:rsid w:val="009D3664"/>
    <w:rPr>
      <w:rFonts w:ascii="Tahoma" w:hAnsi="Tahoma" w:cs="Tahoma"/>
      <w:sz w:val="16"/>
      <w:szCs w:val="16"/>
    </w:rPr>
  </w:style>
  <w:style w:type="character" w:customStyle="1" w:styleId="BalloonTextChar">
    <w:name w:val="Balloon Text Char"/>
    <w:basedOn w:val="DefaultParagraphFont"/>
    <w:link w:val="BalloonText"/>
    <w:rsid w:val="009D36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36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6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1704</Words>
  <Characters>11104</Characters>
  <Application>Microsoft Office Word</Application>
  <DocSecurity>0</DocSecurity>
  <Lines>375</Lines>
  <Paragraphs>195</Paragraphs>
  <ScaleCrop>false</ScaleCrop>
  <Company>Author-it Software Corporation Ltd.</Company>
  <LinksUpToDate>false</LinksUpToDate>
  <CharactersWithSpaces>12720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CPCMCM7002A Manage the quality of projects and processes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2012-05-26T05:43:00Z</dcterms:created>
  <dcterms:modified xsi:type="dcterms:W3CDTF">2012-05-26T05:43:00Z</dcterms:modified>
</cp:coreProperties>
</file>