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C56" w:rsidP="00E11C56">
      <w:pPr>
        <w:pStyle w:val="Title"/>
      </w:pPr>
      <w:r>
        <w:fldChar w:fldCharType="begin"/>
      </w:r>
      <w:r>
        <w:instrText xml:space="preserve"> TITLE   \* MERGEFORMAT </w:instrText>
      </w:r>
      <w:r>
        <w:fldChar w:fldCharType="separate"/>
      </w:r>
      <w:r>
        <w:t>CPCCWF3001A Prepare surfaces for tiling application</w:t>
      </w:r>
      <w:r>
        <w:fldChar w:fldCharType="end"/>
      </w:r>
    </w:p>
    <w:p w:rsidR="00E11C56" w:rsidP="00E11C56">
      <w:pPr>
        <w:pStyle w:val="Version"/>
        <w:sectPr w:rsidSect="00743C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CF2" w:rsidP="00743CF2">
      <w:pPr>
        <w:pStyle w:val="SuperHeading"/>
      </w:pPr>
      <w:r w:rsidRPr="00743CF2">
        <w:t>CPCCWF3001A Prepare surfaces for tiling application</w:t>
      </w:r>
    </w:p>
    <w:p w:rsidR="00000000" w:rsidRPr="00743CF2" w:rsidP="00743CF2">
      <w:pPr>
        <w:pStyle w:val="Heading1"/>
      </w:pPr>
      <w:bookmarkStart w:id="1" w:name="O_269771"/>
      <w:bookmarkEnd w:id="1"/>
      <w:r w:rsidRPr="00743CF2">
        <w:t>Modification History</w:t>
      </w:r>
    </w:p>
    <w:p w:rsidR="00000000" w:rsidRPr="00743CF2" w:rsidP="00743CF2">
      <w:pPr>
        <w:pStyle w:val="BodyText"/>
      </w:pPr>
      <w:r w:rsidRPr="00743CF2">
        <w:t>Not Applicable</w:t>
      </w:r>
    </w:p>
    <w:p w:rsidR="00000000" w:rsidRPr="00743CF2" w:rsidP="00743CF2">
      <w:pPr>
        <w:pStyle w:val="AllowPageBreak"/>
      </w:pPr>
    </w:p>
    <w:p w:rsidR="00000000" w:rsidRPr="00743CF2" w:rsidP="00743CF2">
      <w:pPr>
        <w:pStyle w:val="Heading1"/>
      </w:pPr>
      <w:bookmarkStart w:id="2" w:name="O_199172"/>
      <w:bookmarkEnd w:id="2"/>
      <w:r w:rsidRPr="00743CF2">
        <w:t>Unit Descriptor</w:t>
      </w:r>
    </w:p>
    <w:tbl>
      <w:tblPr>
        <w:tblW w:w="0" w:type="auto"/>
        <w:tblLayout w:type="fixed"/>
        <w:tblCellMar>
          <w:left w:w="62" w:type="dxa"/>
          <w:right w:w="62" w:type="dxa"/>
        </w:tblCellMar>
        <w:tblLook w:val="0000"/>
      </w:tblPr>
      <w:tblGrid>
        <w:gridCol w:w="2500"/>
        <w:gridCol w:w="6022"/>
      </w:tblGrid>
      <w:tr w:rsidTr="00E11C56">
        <w:tblPrEx>
          <w:tblW w:w="0" w:type="auto"/>
          <w:tblLayout w:type="fixed"/>
          <w:tblCellMar>
            <w:left w:w="62" w:type="dxa"/>
            <w:right w:w="62" w:type="dxa"/>
          </w:tblCellMar>
          <w:tblLook w:val="0000"/>
        </w:tblPrEx>
        <w:trPr>
          <w:tblHeader/>
        </w:trPr>
        <w:tc>
          <w:tcPr>
            <w:tcW w:w="2500"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Unit descriptor</w:t>
            </w:r>
          </w:p>
        </w:tc>
        <w:tc>
          <w:tcPr>
            <w:tcW w:w="6022" w:type="dxa"/>
            <w:tcBorders>
              <w:top w:val="nil"/>
              <w:left w:val="nil"/>
              <w:bottom w:val="nil"/>
              <w:right w:val="nil"/>
            </w:tcBorders>
            <w:tcMar>
              <w:top w:w="0" w:type="dxa"/>
              <w:left w:w="62" w:type="dxa"/>
              <w:bottom w:w="0" w:type="dxa"/>
              <w:right w:w="62" w:type="dxa"/>
            </w:tcMar>
          </w:tcPr>
          <w:p w:rsidR="00000000" w:rsidRPr="00743CF2" w:rsidP="00743CF2">
            <w:pPr>
              <w:pStyle w:val="BodyText"/>
            </w:pPr>
            <w:r w:rsidRPr="00743CF2">
              <w:t>This unit of competency specifies the outcomes required to repair and prepare different substrates f</w:t>
            </w:r>
            <w:r w:rsidRPr="00743CF2">
              <w:t>or wall and floor tiling applications.</w:t>
            </w:r>
          </w:p>
          <w:p w:rsidR="00000000" w:rsidRPr="00743CF2" w:rsidP="00743CF2">
            <w:pPr>
              <w:pStyle w:val="BodyText"/>
            </w:pPr>
            <w:r w:rsidRPr="00743CF2">
              <w:t>It includes the preparation of materials and substrates for the tiling process.</w:t>
            </w:r>
          </w:p>
        </w:tc>
      </w:tr>
    </w:tbl>
    <w:p w:rsidR="00E11C56" w:rsidP="00743CF2">
      <w:pPr>
        <w:pStyle w:val="BodyText"/>
      </w:pPr>
    </w:p>
    <w:p w:rsidR="00E11C56" w:rsidP="00743CF2">
      <w:pPr>
        <w:pStyle w:val="BodyText"/>
      </w:pPr>
    </w:p>
    <w:p w:rsidR="00000000" w:rsidRPr="00743CF2" w:rsidP="00743CF2">
      <w:pPr>
        <w:pStyle w:val="Heading1"/>
      </w:pPr>
      <w:bookmarkStart w:id="3" w:name="O_199176"/>
      <w:bookmarkEnd w:id="3"/>
      <w:r w:rsidRPr="00743CF2">
        <w:t>Application of the Unit</w:t>
      </w:r>
    </w:p>
    <w:tbl>
      <w:tblPr>
        <w:tblW w:w="0" w:type="auto"/>
        <w:tblLayout w:type="fixed"/>
        <w:tblCellMar>
          <w:left w:w="62" w:type="dxa"/>
          <w:right w:w="62" w:type="dxa"/>
        </w:tblCellMar>
        <w:tblLook w:val="0000"/>
      </w:tblPr>
      <w:tblGrid>
        <w:gridCol w:w="2577"/>
        <w:gridCol w:w="5945"/>
      </w:tblGrid>
      <w:tr w:rsidTr="00E11C56">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Application of the unit</w:t>
            </w:r>
          </w:p>
        </w:tc>
        <w:tc>
          <w:tcPr>
            <w:tcW w:w="5945" w:type="dxa"/>
            <w:tcBorders>
              <w:top w:val="nil"/>
              <w:left w:val="nil"/>
              <w:bottom w:val="nil"/>
              <w:right w:val="nil"/>
            </w:tcBorders>
            <w:tcMar>
              <w:top w:w="0" w:type="dxa"/>
              <w:left w:w="62" w:type="dxa"/>
              <w:bottom w:w="0" w:type="dxa"/>
              <w:right w:w="62" w:type="dxa"/>
            </w:tcMar>
          </w:tcPr>
          <w:p w:rsidR="00000000" w:rsidRPr="00743CF2" w:rsidP="00743CF2">
            <w:pPr>
              <w:pStyle w:val="BodyText"/>
            </w:pPr>
            <w:r w:rsidRPr="00743CF2">
              <w:t xml:space="preserve">This unit of competency supports the attainment of skills and knowledge to prepare surfaces for tiling application while working with others as a member of a team. </w:t>
            </w:r>
          </w:p>
        </w:tc>
      </w:tr>
    </w:tbl>
    <w:p w:rsidR="00E11C56" w:rsidP="00743CF2">
      <w:pPr>
        <w:pStyle w:val="BodyText"/>
      </w:pPr>
    </w:p>
    <w:p w:rsidR="00E11C56" w:rsidP="00743CF2">
      <w:pPr>
        <w:pStyle w:val="BodyText"/>
      </w:pPr>
    </w:p>
    <w:p w:rsidR="00000000" w:rsidRPr="00743CF2" w:rsidP="00743CF2">
      <w:pPr>
        <w:pStyle w:val="Heading1"/>
      </w:pPr>
      <w:bookmarkStart w:id="4" w:name="O_278031"/>
      <w:bookmarkEnd w:id="4"/>
      <w:r w:rsidRPr="00743CF2">
        <w:t>Licensing/Regulatory Information</w:t>
      </w:r>
    </w:p>
    <w:p w:rsidR="00000000" w:rsidRPr="00743CF2" w:rsidP="00743CF2">
      <w:pPr>
        <w:pStyle w:val="BodyText"/>
      </w:pPr>
      <w:r w:rsidRPr="00743CF2">
        <w:t>Not Applicable</w:t>
      </w:r>
    </w:p>
    <w:p w:rsidR="00000000" w:rsidRPr="00743CF2" w:rsidP="00743CF2">
      <w:pPr>
        <w:pStyle w:val="AllowPageBreak"/>
      </w:pPr>
    </w:p>
    <w:p w:rsidR="00000000" w:rsidRPr="00743CF2" w:rsidP="00743CF2">
      <w:pPr>
        <w:pStyle w:val="Heading1"/>
      </w:pPr>
      <w:bookmarkStart w:id="5" w:name="O_199174"/>
      <w:bookmarkEnd w:id="5"/>
      <w:r w:rsidRPr="00743CF2">
        <w:t>Pre-Requisites</w:t>
      </w:r>
    </w:p>
    <w:tbl>
      <w:tblPr>
        <w:tblW w:w="0" w:type="auto"/>
        <w:tblLayout w:type="fixed"/>
        <w:tblCellMar>
          <w:left w:w="62" w:type="dxa"/>
          <w:right w:w="62" w:type="dxa"/>
        </w:tblCellMar>
        <w:tblLook w:val="0000"/>
      </w:tblPr>
      <w:tblGrid>
        <w:gridCol w:w="2535"/>
        <w:gridCol w:w="2737"/>
        <w:gridCol w:w="3250"/>
      </w:tblGrid>
      <w:tr w:rsidTr="00E11C56">
        <w:tblPrEx>
          <w:tblW w:w="0" w:type="auto"/>
          <w:tblLayout w:type="fixed"/>
          <w:tblCellMar>
            <w:left w:w="62" w:type="dxa"/>
            <w:right w:w="62" w:type="dxa"/>
          </w:tblCellMar>
          <w:tblLook w:val="0000"/>
        </w:tblPrEx>
        <w:trPr>
          <w:tblHeader/>
        </w:trPr>
        <w:tc>
          <w:tcPr>
            <w:tcW w:w="2535"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Prerequisite units</w:t>
            </w:r>
          </w:p>
        </w:tc>
        <w:tc>
          <w:tcPr>
            <w:tcW w:w="5987" w:type="dxa"/>
            <w:gridSpan w:val="2"/>
            <w:tcBorders>
              <w:top w:val="nil"/>
              <w:left w:val="nil"/>
              <w:bottom w:val="nil"/>
              <w:right w:val="nil"/>
            </w:tcBorders>
            <w:tcMar>
              <w:top w:w="0" w:type="dxa"/>
              <w:left w:w="62" w:type="dxa"/>
              <w:bottom w:w="0" w:type="dxa"/>
              <w:right w:w="62" w:type="dxa"/>
            </w:tcMar>
          </w:tcPr>
          <w:p w:rsidR="00000000" w:rsidP="00743CF2">
            <w:pPr>
              <w:pStyle w:val="BodyText"/>
              <w:rPr>
                <w:lang w:val="en-NZ"/>
              </w:rPr>
            </w:pPr>
          </w:p>
        </w:tc>
      </w:tr>
      <w:tr w:rsidTr="00E11C56">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t>CPCCOHS2001A</w:t>
            </w:r>
          </w:p>
        </w:tc>
        <w:tc>
          <w:tcPr>
            <w:tcW w:w="3250"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t>Apply OHS requirements, policies and procedures in the construction industry</w:t>
            </w:r>
          </w:p>
        </w:tc>
      </w:tr>
      <w:tr w:rsidTr="00E11C56">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50" w:type="dxa"/>
            <w:tcBorders>
              <w:top w:val="nil"/>
              <w:left w:val="nil"/>
              <w:bottom w:val="nil"/>
              <w:right w:val="nil"/>
            </w:tcBorders>
            <w:tcMar>
              <w:top w:w="0" w:type="dxa"/>
              <w:left w:w="62" w:type="dxa"/>
              <w:bottom w:w="0" w:type="dxa"/>
              <w:right w:w="62" w:type="dxa"/>
            </w:tcMar>
          </w:tcPr>
          <w:p w:rsidR="00000000" w:rsidRPr="00743CF2" w:rsidP="00743CF2">
            <w:pPr>
              <w:pStyle w:val="BodyText"/>
            </w:pPr>
          </w:p>
        </w:tc>
      </w:tr>
    </w:tbl>
    <w:p w:rsidR="00E11C56" w:rsidP="00743CF2">
      <w:pPr>
        <w:pStyle w:val="BodyText"/>
      </w:pPr>
    </w:p>
    <w:p w:rsidR="00E11C56" w:rsidP="00743CF2">
      <w:pPr>
        <w:pStyle w:val="BodyText"/>
      </w:pPr>
    </w:p>
    <w:p w:rsidR="00000000" w:rsidRPr="00743CF2" w:rsidP="00743CF2">
      <w:pPr>
        <w:pStyle w:val="Heading1"/>
      </w:pPr>
      <w:bookmarkStart w:id="6" w:name="O_199173"/>
      <w:bookmarkEnd w:id="6"/>
      <w:r w:rsidRPr="00743CF2">
        <w:t>Employability Skills Information</w:t>
      </w:r>
    </w:p>
    <w:tbl>
      <w:tblPr>
        <w:tblW w:w="0" w:type="auto"/>
        <w:tblLayout w:type="fixed"/>
        <w:tblCellMar>
          <w:left w:w="62" w:type="dxa"/>
          <w:right w:w="62" w:type="dxa"/>
        </w:tblCellMar>
        <w:tblLook w:val="0000"/>
      </w:tblPr>
      <w:tblGrid>
        <w:gridCol w:w="2624"/>
        <w:gridCol w:w="5898"/>
      </w:tblGrid>
      <w:tr w:rsidTr="00E11C56">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43CF2" w:rsidP="00743CF2">
            <w:pPr>
              <w:pStyle w:val="BodyText"/>
            </w:pPr>
            <w:r w:rsidRPr="00743CF2">
              <w:t>This unit contains employability skills.</w:t>
            </w:r>
          </w:p>
        </w:tc>
      </w:tr>
    </w:tbl>
    <w:p w:rsidR="00E11C56" w:rsidP="00743CF2">
      <w:pPr>
        <w:pStyle w:val="BodyText"/>
      </w:pPr>
    </w:p>
    <w:p w:rsidR="00E11C56" w:rsidP="00743CF2">
      <w:pPr>
        <w:pStyle w:val="BodyText"/>
      </w:pPr>
    </w:p>
    <w:p w:rsidR="00000000" w:rsidRPr="00743CF2" w:rsidP="00743CF2">
      <w:pPr>
        <w:pStyle w:val="Heading1"/>
      </w:pPr>
      <w:bookmarkStart w:id="7" w:name="O_287817"/>
      <w:bookmarkEnd w:id="7"/>
      <w:r w:rsidRPr="00743CF2">
        <w:t>Elements and Performance Criteria Pre-Content</w:t>
      </w:r>
    </w:p>
    <w:tbl>
      <w:tblPr>
        <w:tblW w:w="0" w:type="auto"/>
        <w:tblLayout w:type="fixed"/>
        <w:tblCellMar>
          <w:left w:w="62" w:type="dxa"/>
          <w:right w:w="62" w:type="dxa"/>
        </w:tblCellMar>
        <w:tblLook w:val="0000"/>
      </w:tblPr>
      <w:tblGrid>
        <w:gridCol w:w="2467"/>
        <w:gridCol w:w="6055"/>
      </w:tblGrid>
      <w:tr w:rsidTr="00E11C56">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743CF2">
            <w:pPr>
              <w:pStyle w:val="BodyText"/>
              <w:rPr>
                <w:lang w:val="en-NZ"/>
              </w:rPr>
            </w:pPr>
            <w:r w:rsidRPr="00743CF2">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743CF2" w:rsidP="00743CF2">
            <w:pPr>
              <w:pStyle w:val="BodyText"/>
            </w:pPr>
            <w:r w:rsidRPr="00743CF2">
              <w:t>Performance criteria describe the performance needed to demonstrate achievement of the element. Where bold italicised text is us</w:t>
            </w:r>
            <w:r w:rsidRPr="00743CF2">
              <w:t>ed, further information is detailed in the required skills and knowledge section and the range statement. Assessment of performance is to be consistent with the evidence guide.</w:t>
            </w:r>
          </w:p>
        </w:tc>
      </w:tr>
    </w:tbl>
    <w:p w:rsidR="00000000" w:rsidRPr="00743CF2" w:rsidP="00743CF2">
      <w:pPr>
        <w:pStyle w:val="BodyText"/>
      </w:pPr>
    </w:p>
    <w:p w:rsidR="00000000" w:rsidRPr="00743CF2" w:rsidP="00743CF2">
      <w:pPr>
        <w:pStyle w:val="AllowPageBreak"/>
      </w:pPr>
    </w:p>
    <w:p w:rsidR="00000000" w:rsidRPr="00743CF2" w:rsidP="00743CF2">
      <w:pPr>
        <w:pStyle w:val="Heading1"/>
      </w:pPr>
      <w:bookmarkStart w:id="8" w:name="O_234484"/>
      <w:bookmarkEnd w:id="8"/>
      <w:r w:rsidRPr="00743CF2">
        <w:t>Elements and Performance Criteria</w:t>
      </w:r>
    </w:p>
    <w:tbl>
      <w:tblPr>
        <w:tblW w:w="0" w:type="auto"/>
        <w:tblLayout w:type="fixed"/>
        <w:tblCellMar>
          <w:left w:w="62" w:type="dxa"/>
          <w:right w:w="62" w:type="dxa"/>
        </w:tblCellMar>
        <w:tblLook w:val="0000"/>
      </w:tblPr>
      <w:tblGrid>
        <w:gridCol w:w="2467"/>
        <w:gridCol w:w="6055"/>
      </w:tblGrid>
      <w:tr w:rsidTr="00E11C56">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743CF2" w:rsidP="00743CF2">
            <w:pPr>
              <w:pStyle w:val="BodyText"/>
            </w:pPr>
            <w:r w:rsidRPr="00743CF2">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743CF2">
            <w:pPr>
              <w:pStyle w:val="BodyText"/>
              <w:rPr>
                <w:lang w:val="en-NZ"/>
              </w:rPr>
            </w:pPr>
            <w:r w:rsidRPr="00743CF2">
              <w:rPr>
                <w:rStyle w:val="SpecialBold"/>
              </w:rPr>
              <w:t>PERFORMANCE CRITERIA</w:t>
            </w:r>
          </w:p>
        </w:tc>
      </w:tr>
      <w:tr w:rsidTr="00E11C56">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43CF2">
            <w:pPr>
              <w:pStyle w:val="List"/>
              <w:rPr>
                <w:lang w:val="en-NZ"/>
              </w:rPr>
            </w:pPr>
            <w:r w:rsidRPr="00743CF2">
              <w:t>1.</w:t>
            </w:r>
            <w:r w:rsidRPr="00743CF2">
              <w:tab/>
              <w:t>Plan and prepare.</w:t>
            </w:r>
          </w:p>
        </w:tc>
        <w:tc>
          <w:tcPr>
            <w:tcW w:w="6055" w:type="dxa"/>
            <w:tcBorders>
              <w:top w:val="nil"/>
              <w:left w:val="nil"/>
              <w:bottom w:val="nil"/>
              <w:right w:val="nil"/>
            </w:tcBorders>
            <w:tcMar>
              <w:top w:w="0" w:type="dxa"/>
              <w:left w:w="62" w:type="dxa"/>
              <w:bottom w:w="0" w:type="dxa"/>
              <w:right w:w="62" w:type="dxa"/>
            </w:tcMar>
          </w:tcPr>
          <w:p w:rsidR="00000000" w:rsidRPr="00743CF2" w:rsidP="00743CF2">
            <w:pPr>
              <w:pStyle w:val="List2"/>
            </w:pPr>
            <w:r w:rsidRPr="00743CF2">
              <w:t>1.1.</w:t>
            </w:r>
            <w:r w:rsidRPr="00743CF2">
              <w:tab/>
              <w:t xml:space="preserve">Work instructions and operational details are obtained using relevant </w:t>
            </w:r>
            <w:r w:rsidRPr="00743CF2">
              <w:rPr>
                <w:rStyle w:val="BoldandItalics"/>
              </w:rPr>
              <w:t>information</w:t>
            </w:r>
            <w:r w:rsidRPr="00743CF2">
              <w:t xml:space="preserve">, confirmed and applied for </w:t>
            </w:r>
            <w:r w:rsidRPr="00743CF2">
              <w:rPr>
                <w:rStyle w:val="BoldandItalics"/>
              </w:rPr>
              <w:t>planning and preparation</w:t>
            </w:r>
            <w:r w:rsidRPr="00743CF2">
              <w:t xml:space="preserve"> purposes. </w:t>
            </w:r>
          </w:p>
          <w:p w:rsidR="00000000" w:rsidRPr="00743CF2" w:rsidP="00743CF2">
            <w:pPr>
              <w:pStyle w:val="List2"/>
            </w:pPr>
            <w:r w:rsidRPr="00743CF2">
              <w:t>1.2.</w:t>
            </w:r>
            <w:r w:rsidRPr="00743CF2">
              <w:tab/>
            </w:r>
            <w:r w:rsidRPr="00743CF2">
              <w:rPr>
                <w:rStyle w:val="BoldandItalics"/>
              </w:rPr>
              <w:t>Safety</w:t>
            </w:r>
            <w:r w:rsidRPr="00743CF2">
              <w:t xml:space="preserve"> (</w:t>
            </w:r>
            <w:r w:rsidRPr="00743CF2">
              <w:rPr>
                <w:rStyle w:val="BoldandItalics"/>
              </w:rPr>
              <w:t>OHS</w:t>
            </w:r>
            <w:r w:rsidRPr="00743CF2">
              <w:t xml:space="preserve">) requirements are followed in accordance with </w:t>
            </w:r>
            <w:r w:rsidRPr="00743CF2">
              <w:t xml:space="preserve">safety plans and policies. </w:t>
            </w:r>
          </w:p>
          <w:p w:rsidR="00000000" w:rsidRPr="00743CF2" w:rsidP="00743CF2">
            <w:pPr>
              <w:pStyle w:val="List2"/>
            </w:pPr>
            <w:r w:rsidRPr="00743CF2">
              <w:t>1.3.</w:t>
            </w:r>
            <w:r w:rsidRPr="00743CF2">
              <w:tab/>
              <w:t>Signage and barricade requirements are identified and implemented.</w:t>
            </w:r>
          </w:p>
          <w:p w:rsidR="00000000" w:rsidRPr="00743CF2" w:rsidP="00743CF2">
            <w:pPr>
              <w:pStyle w:val="List2"/>
            </w:pPr>
            <w:r w:rsidRPr="00743CF2">
              <w:t>1.4.</w:t>
            </w:r>
            <w:r w:rsidRPr="00743CF2">
              <w:tab/>
            </w:r>
            <w:r w:rsidRPr="00743CF2">
              <w:rPr>
                <w:rStyle w:val="BoldandItalics"/>
              </w:rPr>
              <w:t>Tools and equipment</w:t>
            </w:r>
            <w:r w:rsidRPr="00743CF2">
              <w:t xml:space="preserve"> selected to carry out tasks are consistent with the requirements of the job, checked for serviceability and any faults are rectifie</w:t>
            </w:r>
            <w:r w:rsidRPr="00743CF2">
              <w:t xml:space="preserve">d or reported prior to commencement. </w:t>
            </w:r>
          </w:p>
          <w:p w:rsidR="00000000" w:rsidRPr="00743CF2" w:rsidP="00743CF2">
            <w:pPr>
              <w:pStyle w:val="List2"/>
            </w:pPr>
            <w:r w:rsidRPr="00743CF2">
              <w:t>1.5.</w:t>
            </w:r>
            <w:r w:rsidRPr="00743CF2">
              <w:tab/>
              <w:t xml:space="preserve">Material quantity requirements are calculated in accordance with plans and specifications and </w:t>
            </w:r>
            <w:r w:rsidRPr="00743CF2">
              <w:rPr>
                <w:rStyle w:val="BoldandItalics"/>
              </w:rPr>
              <w:t>quality requirements</w:t>
            </w:r>
            <w:r w:rsidRPr="00743CF2">
              <w:t xml:space="preserve">. </w:t>
            </w:r>
          </w:p>
          <w:p w:rsidR="00000000" w:rsidRPr="00743CF2" w:rsidP="00743CF2">
            <w:pPr>
              <w:pStyle w:val="List2"/>
            </w:pPr>
            <w:r w:rsidRPr="00743CF2">
              <w:t>1.6.</w:t>
            </w:r>
            <w:r w:rsidRPr="00743CF2">
              <w:tab/>
            </w:r>
            <w:r w:rsidRPr="00743CF2">
              <w:rPr>
                <w:rStyle w:val="BoldandItalics"/>
              </w:rPr>
              <w:t>Materials</w:t>
            </w:r>
            <w:r w:rsidRPr="00743CF2">
              <w:t xml:space="preserve"> appropriate to the work application are identified, obtained, prepared, safely ha</w:t>
            </w:r>
            <w:r w:rsidRPr="00743CF2">
              <w:t xml:space="preserve">ndled and located ready for use. </w:t>
            </w:r>
          </w:p>
          <w:p w:rsidR="00000000" w:rsidP="00743CF2">
            <w:pPr>
              <w:pStyle w:val="List2"/>
              <w:rPr>
                <w:lang w:val="en-NZ"/>
              </w:rPr>
            </w:pPr>
            <w:r w:rsidRPr="00743CF2">
              <w:t>1.7.</w:t>
            </w:r>
            <w:r w:rsidRPr="00743CF2">
              <w:tab/>
            </w:r>
            <w:r w:rsidRPr="00743CF2">
              <w:rPr>
                <w:rStyle w:val="BoldandItalics"/>
              </w:rPr>
              <w:t>Environmental requirements</w:t>
            </w:r>
            <w:r w:rsidRPr="00743CF2">
              <w:t xml:space="preserve"> are identified for the project in accordance with environmental plans and regulatory obligations and applied. </w:t>
            </w:r>
          </w:p>
        </w:tc>
      </w:tr>
      <w:tr w:rsidTr="00E11C56">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43CF2">
            <w:pPr>
              <w:pStyle w:val="List"/>
              <w:rPr>
                <w:lang w:val="en-NZ"/>
              </w:rPr>
            </w:pPr>
            <w:r w:rsidRPr="00743CF2">
              <w:t>2.</w:t>
            </w:r>
            <w:r w:rsidRPr="00743CF2">
              <w:tab/>
              <w:t>Prepare materials for tiling application.</w:t>
            </w:r>
          </w:p>
        </w:tc>
        <w:tc>
          <w:tcPr>
            <w:tcW w:w="6055" w:type="dxa"/>
            <w:tcBorders>
              <w:top w:val="nil"/>
              <w:left w:val="nil"/>
              <w:bottom w:val="nil"/>
              <w:right w:val="nil"/>
            </w:tcBorders>
            <w:tcMar>
              <w:top w:w="0" w:type="dxa"/>
              <w:left w:w="62" w:type="dxa"/>
              <w:bottom w:w="0" w:type="dxa"/>
              <w:right w:w="62" w:type="dxa"/>
            </w:tcMar>
          </w:tcPr>
          <w:p w:rsidR="00000000" w:rsidRPr="00743CF2" w:rsidP="00743CF2">
            <w:pPr>
              <w:pStyle w:val="List2"/>
            </w:pPr>
            <w:r w:rsidRPr="00743CF2">
              <w:t>2.1.</w:t>
            </w:r>
            <w:r w:rsidRPr="00743CF2">
              <w:tab/>
            </w:r>
            <w:r w:rsidRPr="00743CF2">
              <w:t>Floor and wall tiling materials are checked for product suitability, conformity to specification and compatibility with surface material, preparation and installation technique.</w:t>
            </w:r>
          </w:p>
          <w:p w:rsidR="00000000" w:rsidRPr="00743CF2" w:rsidP="00743CF2">
            <w:pPr>
              <w:pStyle w:val="List2"/>
            </w:pPr>
            <w:r w:rsidRPr="00743CF2">
              <w:t>2.2.</w:t>
            </w:r>
            <w:r w:rsidRPr="00743CF2">
              <w:tab/>
              <w:t>Activities for material preparation are identified from specifications, a</w:t>
            </w:r>
            <w:r w:rsidRPr="00743CF2">
              <w:t>nd manufacturers' or supervisor's instructions.</w:t>
            </w:r>
          </w:p>
          <w:p w:rsidR="00000000" w:rsidP="00743CF2">
            <w:pPr>
              <w:pStyle w:val="List2"/>
              <w:rPr>
                <w:lang w:val="en-NZ"/>
              </w:rPr>
            </w:pPr>
            <w:r w:rsidRPr="00743CF2">
              <w:t>2.3.</w:t>
            </w:r>
            <w:r w:rsidRPr="00743CF2">
              <w:tab/>
              <w:t>Material preparation is carried out to satisfy the requirements of the application process.</w:t>
            </w:r>
          </w:p>
        </w:tc>
      </w:tr>
      <w:tr w:rsidTr="00E11C56">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43CF2">
            <w:pPr>
              <w:pStyle w:val="List"/>
              <w:rPr>
                <w:lang w:val="en-NZ"/>
              </w:rPr>
            </w:pPr>
            <w:r w:rsidRPr="00743CF2">
              <w:t>3.</w:t>
            </w:r>
            <w:r w:rsidRPr="00743CF2">
              <w:tab/>
              <w:t>Prepare underlay and sheeting substrate.</w:t>
            </w:r>
          </w:p>
        </w:tc>
        <w:tc>
          <w:tcPr>
            <w:tcW w:w="6055" w:type="dxa"/>
            <w:tcBorders>
              <w:top w:val="nil"/>
              <w:left w:val="nil"/>
              <w:bottom w:val="nil"/>
              <w:right w:val="nil"/>
            </w:tcBorders>
            <w:tcMar>
              <w:top w:w="0" w:type="dxa"/>
              <w:left w:w="62" w:type="dxa"/>
              <w:bottom w:w="0" w:type="dxa"/>
              <w:right w:w="62" w:type="dxa"/>
            </w:tcMar>
          </w:tcPr>
          <w:p w:rsidR="00000000" w:rsidRPr="00743CF2" w:rsidP="00743CF2">
            <w:pPr>
              <w:pStyle w:val="List2"/>
            </w:pPr>
            <w:r w:rsidRPr="00743CF2">
              <w:t>3.1.</w:t>
            </w:r>
            <w:r w:rsidRPr="00743CF2">
              <w:tab/>
              <w:t xml:space="preserve">Assistance with </w:t>
            </w:r>
            <w:r w:rsidRPr="00743CF2">
              <w:rPr>
                <w:rStyle w:val="BoldandItalics"/>
              </w:rPr>
              <w:t>underlay</w:t>
            </w:r>
            <w:r w:rsidRPr="00743CF2">
              <w:t xml:space="preserve"> preparation is provided under instru</w:t>
            </w:r>
            <w:r w:rsidRPr="00743CF2">
              <w:t xml:space="preserve">ctions and supervision. </w:t>
            </w:r>
          </w:p>
          <w:p w:rsidR="00000000" w:rsidP="00743CF2">
            <w:pPr>
              <w:pStyle w:val="List2"/>
              <w:rPr>
                <w:lang w:val="en-NZ"/>
              </w:rPr>
            </w:pPr>
            <w:r w:rsidRPr="00743CF2">
              <w:t>3.2.</w:t>
            </w:r>
            <w:r w:rsidRPr="00743CF2">
              <w:tab/>
            </w:r>
            <w:r w:rsidRPr="00743CF2">
              <w:rPr>
                <w:rStyle w:val="BoldandItalics"/>
              </w:rPr>
              <w:t>Substrate surface</w:t>
            </w:r>
            <w:r w:rsidRPr="00743CF2">
              <w:t xml:space="preserve"> is finished to approved surface standards with joints flush and sealed. </w:t>
            </w:r>
          </w:p>
        </w:tc>
      </w:tr>
      <w:tr w:rsidTr="00E11C56">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43CF2">
            <w:pPr>
              <w:pStyle w:val="List"/>
              <w:rPr>
                <w:lang w:val="en-NZ"/>
              </w:rPr>
            </w:pPr>
            <w:r w:rsidRPr="00743CF2">
              <w:t>4.</w:t>
            </w:r>
            <w:r w:rsidRPr="00743CF2">
              <w:tab/>
              <w:t>Prepare render substrate surface.</w:t>
            </w:r>
          </w:p>
        </w:tc>
        <w:tc>
          <w:tcPr>
            <w:tcW w:w="6055" w:type="dxa"/>
            <w:tcBorders>
              <w:top w:val="nil"/>
              <w:left w:val="nil"/>
              <w:bottom w:val="nil"/>
              <w:right w:val="nil"/>
            </w:tcBorders>
            <w:tcMar>
              <w:top w:w="0" w:type="dxa"/>
              <w:left w:w="62" w:type="dxa"/>
              <w:bottom w:w="0" w:type="dxa"/>
              <w:right w:w="62" w:type="dxa"/>
            </w:tcMar>
          </w:tcPr>
          <w:p w:rsidR="00000000" w:rsidRPr="00743CF2" w:rsidP="00743CF2">
            <w:pPr>
              <w:pStyle w:val="List2"/>
            </w:pPr>
            <w:r w:rsidRPr="00743CF2">
              <w:t>4.1.</w:t>
            </w:r>
            <w:r w:rsidRPr="00743CF2">
              <w:tab/>
            </w:r>
            <w:r w:rsidRPr="00743CF2">
              <w:rPr>
                <w:rStyle w:val="BoldandItalics"/>
              </w:rPr>
              <w:t>Surface</w:t>
            </w:r>
            <w:r w:rsidRPr="00743CF2">
              <w:t>-</w:t>
            </w:r>
            <w:r w:rsidRPr="00743CF2">
              <w:rPr>
                <w:rStyle w:val="BoldandItalics"/>
              </w:rPr>
              <w:t>mounted construction</w:t>
            </w:r>
            <w:r w:rsidRPr="00743CF2">
              <w:t xml:space="preserve"> units and attachments are safely detached, removed or arranged </w:t>
            </w:r>
            <w:r w:rsidRPr="00743CF2">
              <w:t xml:space="preserve">for removal from area and stored. </w:t>
            </w:r>
          </w:p>
          <w:p w:rsidR="00000000" w:rsidRPr="00743CF2" w:rsidP="00743CF2">
            <w:pPr>
              <w:pStyle w:val="List2"/>
            </w:pPr>
            <w:r w:rsidRPr="00743CF2">
              <w:t>4.2.</w:t>
            </w:r>
            <w:r w:rsidRPr="00743CF2">
              <w:tab/>
              <w:t>Substrate structure is identified and surfaces are cleaned to remove all contaminants and loose material in accordance with supervisor's instructions.</w:t>
            </w:r>
          </w:p>
          <w:p w:rsidR="00000000" w:rsidRPr="00743CF2" w:rsidP="00743CF2">
            <w:pPr>
              <w:pStyle w:val="List2"/>
            </w:pPr>
            <w:r w:rsidRPr="00743CF2">
              <w:t>4.3.</w:t>
            </w:r>
            <w:r w:rsidRPr="00743CF2">
              <w:tab/>
              <w:t>Materials for splash coat are proportioned and mixed to inst</w:t>
            </w:r>
            <w:r w:rsidRPr="00743CF2">
              <w:t>ructions ready for application to wet surface.</w:t>
            </w:r>
          </w:p>
          <w:p w:rsidR="00000000" w:rsidRPr="00743CF2" w:rsidP="00743CF2">
            <w:pPr>
              <w:pStyle w:val="List2"/>
            </w:pPr>
            <w:r w:rsidRPr="00743CF2">
              <w:t>4.4.</w:t>
            </w:r>
            <w:r w:rsidRPr="00743CF2">
              <w:tab/>
              <w:t xml:space="preserve">Horizontal and vertical surrounds are prepared for tiling process in accordance with </w:t>
            </w:r>
            <w:r w:rsidRPr="00743CF2">
              <w:rPr>
                <w:rStyle w:val="BoldandItalics"/>
              </w:rPr>
              <w:t>type of tile</w:t>
            </w:r>
            <w:r w:rsidRPr="00743CF2">
              <w:t xml:space="preserve"> and specified finish. </w:t>
            </w:r>
          </w:p>
          <w:p w:rsidR="00000000" w:rsidRPr="00743CF2" w:rsidP="00743CF2">
            <w:pPr>
              <w:pStyle w:val="List2"/>
            </w:pPr>
            <w:r w:rsidRPr="00743CF2">
              <w:t>4.5.</w:t>
            </w:r>
            <w:r w:rsidRPr="00743CF2">
              <w:tab/>
              <w:t>Materials for render coat are proportioned and mixed to instructions ready for</w:t>
            </w:r>
            <w:r w:rsidRPr="00743CF2">
              <w:t xml:space="preserve"> application.</w:t>
            </w:r>
          </w:p>
          <w:p w:rsidR="00000000" w:rsidP="00743CF2">
            <w:pPr>
              <w:pStyle w:val="List2"/>
              <w:rPr>
                <w:lang w:val="en-NZ"/>
              </w:rPr>
            </w:pPr>
            <w:r w:rsidRPr="00743CF2">
              <w:t>4.6.</w:t>
            </w:r>
            <w:r w:rsidRPr="00743CF2">
              <w:tab/>
            </w:r>
            <w:r w:rsidRPr="00743CF2">
              <w:rPr>
                <w:rStyle w:val="BoldandItalics"/>
              </w:rPr>
              <w:t>Surface</w:t>
            </w:r>
            <w:r w:rsidRPr="00743CF2">
              <w:t xml:space="preserve"> is scratched, rendered, cured and dried to instructions in accordance with specifications for tile application. </w:t>
            </w:r>
          </w:p>
        </w:tc>
      </w:tr>
      <w:tr w:rsidTr="00E11C56">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743CF2">
            <w:pPr>
              <w:pStyle w:val="List"/>
              <w:rPr>
                <w:lang w:val="en-NZ"/>
              </w:rPr>
            </w:pPr>
            <w:r w:rsidRPr="00743CF2">
              <w:t>5.</w:t>
            </w:r>
            <w:r w:rsidRPr="00743CF2">
              <w:tab/>
              <w:t>Clean up.</w:t>
            </w:r>
          </w:p>
        </w:tc>
        <w:tc>
          <w:tcPr>
            <w:tcW w:w="6055" w:type="dxa"/>
            <w:tcBorders>
              <w:top w:val="nil"/>
              <w:left w:val="nil"/>
              <w:bottom w:val="nil"/>
              <w:right w:val="nil"/>
            </w:tcBorders>
            <w:tcMar>
              <w:top w:w="0" w:type="dxa"/>
              <w:left w:w="62" w:type="dxa"/>
              <w:bottom w:w="0" w:type="dxa"/>
              <w:right w:w="62" w:type="dxa"/>
            </w:tcMar>
          </w:tcPr>
          <w:p w:rsidR="00000000" w:rsidRPr="00743CF2" w:rsidP="00743CF2">
            <w:pPr>
              <w:pStyle w:val="List2"/>
            </w:pPr>
            <w:r w:rsidRPr="00743CF2">
              <w:t>5.1.</w:t>
            </w:r>
            <w:r w:rsidRPr="00743CF2">
              <w:tab/>
              <w:t>Work area is cleared and materials disposed of, reused or recycled in accordance with legislation</w:t>
            </w:r>
            <w:r w:rsidRPr="00743CF2">
              <w:t>, regulations, codes of practice and job specification.</w:t>
            </w:r>
          </w:p>
          <w:p w:rsidR="00000000" w:rsidRPr="00743CF2" w:rsidP="00743CF2">
            <w:pPr>
              <w:pStyle w:val="List2"/>
            </w:pPr>
            <w:r w:rsidRPr="00743CF2">
              <w:t>5.2.</w:t>
            </w:r>
            <w:r w:rsidRPr="00743CF2">
              <w:tab/>
              <w:t>Plant, tools and equipment are cleaned, checked, maintained and stored in accordance with manufacturer recommendations and standard work practices.</w:t>
            </w:r>
          </w:p>
        </w:tc>
      </w:tr>
    </w:tbl>
    <w:p w:rsidR="00E11C56" w:rsidP="00743CF2">
      <w:pPr>
        <w:pStyle w:val="BodyText"/>
      </w:pPr>
    </w:p>
    <w:p w:rsidR="00E11C56" w:rsidP="00743CF2">
      <w:pPr>
        <w:pStyle w:val="BodyText"/>
      </w:pPr>
    </w:p>
    <w:p w:rsidR="00000000" w:rsidRPr="00743CF2" w:rsidP="00743CF2">
      <w:pPr>
        <w:pStyle w:val="Heading1"/>
      </w:pPr>
      <w:bookmarkStart w:id="9" w:name="O_258434"/>
      <w:bookmarkEnd w:id="9"/>
      <w:r w:rsidRPr="00743CF2">
        <w:t>Required Skills and Knowledge</w:t>
      </w:r>
    </w:p>
    <w:tbl>
      <w:tblPr>
        <w:tblW w:w="0" w:type="auto"/>
        <w:tblLayout w:type="fixed"/>
        <w:tblCellMar>
          <w:left w:w="62" w:type="dxa"/>
          <w:right w:w="62" w:type="dxa"/>
        </w:tblCellMar>
        <w:tblLook w:val="0000"/>
      </w:tblPr>
      <w:tblGrid>
        <w:gridCol w:w="8522"/>
      </w:tblGrid>
      <w:tr w:rsidTr="00E11C5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REQUIRED SKILLS AND KNOWLEDGE</w:t>
            </w:r>
          </w:p>
        </w:tc>
      </w:tr>
      <w:tr w:rsidTr="00E11C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t>This section describes the skills and knowledge required for this unit.</w:t>
            </w:r>
          </w:p>
        </w:tc>
      </w:tr>
      <w:tr w:rsidTr="00E11C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Required skills</w:t>
            </w:r>
          </w:p>
        </w:tc>
      </w:tr>
      <w:tr w:rsidTr="00E11C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43CF2" w:rsidP="00743CF2">
            <w:pPr>
              <w:pStyle w:val="BodyText"/>
            </w:pPr>
            <w:r w:rsidRPr="00743CF2">
              <w:t>Required skills for this unit are:</w:t>
            </w:r>
          </w:p>
          <w:p w:rsidR="00000000" w:rsidRPr="00743CF2" w:rsidP="00743CF2">
            <w:pPr>
              <w:pStyle w:val="ListBullet"/>
            </w:pPr>
            <w:r w:rsidRPr="00743CF2">
              <w:t>communication skills to:</w:t>
            </w:r>
          </w:p>
          <w:p w:rsidR="00000000" w:rsidRPr="00743CF2" w:rsidP="00743CF2">
            <w:pPr>
              <w:pStyle w:val="ListBullet2"/>
            </w:pPr>
            <w:r w:rsidRPr="00743CF2">
              <w:t>follow instructions</w:t>
            </w:r>
          </w:p>
          <w:p w:rsidR="00000000" w:rsidRPr="00743CF2" w:rsidP="00743CF2">
            <w:pPr>
              <w:pStyle w:val="ListBullet2"/>
            </w:pPr>
            <w:r w:rsidRPr="00743CF2">
              <w:t>read and interpret:</w:t>
            </w:r>
          </w:p>
          <w:p w:rsidR="00000000" w:rsidRPr="00743CF2" w:rsidP="00743CF2">
            <w:pPr>
              <w:pStyle w:val="ListBullet3"/>
            </w:pPr>
            <w:r w:rsidRPr="00743CF2">
              <w:t>documentation from a variety of sources</w:t>
            </w:r>
          </w:p>
          <w:p w:rsidR="00000000" w:rsidRPr="00743CF2" w:rsidP="00743CF2">
            <w:pPr>
              <w:pStyle w:val="ListBullet3"/>
            </w:pPr>
            <w:r w:rsidRPr="00743CF2">
              <w:t>drawings and specifications</w:t>
            </w:r>
          </w:p>
          <w:p w:rsidR="00000000" w:rsidRPr="00743CF2" w:rsidP="00743CF2">
            <w:pPr>
              <w:pStyle w:val="ListBullet2"/>
            </w:pPr>
            <w:r w:rsidRPr="00743CF2">
              <w:t>recognise procedures</w:t>
            </w:r>
          </w:p>
          <w:p w:rsidR="00000000" w:rsidRPr="00743CF2" w:rsidP="00743CF2">
            <w:pPr>
              <w:pStyle w:val="ListBullet2"/>
            </w:pPr>
            <w:r w:rsidRPr="00743CF2">
              <w:t>report faults</w:t>
            </w:r>
          </w:p>
          <w:p w:rsidR="00000000" w:rsidRPr="00743CF2" w:rsidP="00743CF2">
            <w:pPr>
              <w:pStyle w:val="ListBullet2"/>
            </w:pPr>
            <w:r w:rsidRPr="00743CF2">
              <w:t>enable clear and direct communication, using questioning to identify and confirm requirements, share information, listen and understand</w:t>
            </w:r>
          </w:p>
          <w:p w:rsidR="00000000" w:rsidRPr="00743CF2" w:rsidP="00743CF2">
            <w:pPr>
              <w:pStyle w:val="ListBullet2"/>
            </w:pPr>
            <w:r w:rsidRPr="00743CF2">
              <w:t>use language and concepts appropriate to cultural differences</w:t>
            </w:r>
          </w:p>
          <w:p w:rsidR="00000000" w:rsidRPr="00743CF2" w:rsidP="00743CF2">
            <w:pPr>
              <w:pStyle w:val="ListBullet2"/>
            </w:pPr>
            <w:r w:rsidRPr="00743CF2">
              <w:t>use and interpret non-verbal communication, such as hand signals</w:t>
            </w:r>
          </w:p>
          <w:p w:rsidR="00000000" w:rsidRPr="00743CF2" w:rsidP="00743CF2">
            <w:pPr>
              <w:pStyle w:val="ListBullet2"/>
            </w:pPr>
            <w:r w:rsidRPr="00743CF2">
              <w:t>written skills to record results of checks and tests and relevant work completion procedures</w:t>
            </w:r>
          </w:p>
          <w:p w:rsidR="00000000" w:rsidRPr="00743CF2" w:rsidP="00743CF2">
            <w:pPr>
              <w:pStyle w:val="ListBullet"/>
            </w:pPr>
            <w:r w:rsidRPr="00743CF2">
              <w:t>evaluate own actions and make judgm</w:t>
            </w:r>
            <w:r w:rsidRPr="00743CF2">
              <w:t>ents about performance and necessary improvements</w:t>
            </w:r>
          </w:p>
          <w:p w:rsidR="00000000" w:rsidRPr="00743CF2" w:rsidP="00743CF2">
            <w:pPr>
              <w:pStyle w:val="ListBullet"/>
            </w:pPr>
            <w:r w:rsidRPr="00743CF2">
              <w:t>identifying and accurately reporting to appropriate personnel any faults in tools, equipment or materials</w:t>
            </w:r>
          </w:p>
          <w:p w:rsidR="00000000" w:rsidRPr="00743CF2" w:rsidP="00743CF2">
            <w:pPr>
              <w:pStyle w:val="ListBullet"/>
            </w:pPr>
            <w:r w:rsidRPr="00743CF2">
              <w:t>organisational skills, including the ability to plan and set out work</w:t>
            </w:r>
          </w:p>
          <w:p w:rsidR="00000000" w:rsidRPr="00743CF2" w:rsidP="00743CF2">
            <w:pPr>
              <w:pStyle w:val="ListBullet"/>
            </w:pPr>
            <w:r w:rsidRPr="00743CF2">
              <w:t>respond to change and contribute to workplace responsibilities, such as current work site environmental and sustainability frameworks and management systems</w:t>
            </w:r>
          </w:p>
          <w:p w:rsidR="00000000" w:rsidRPr="00743CF2" w:rsidP="00743CF2">
            <w:pPr>
              <w:pStyle w:val="ListBullet"/>
            </w:pPr>
            <w:r w:rsidRPr="00743CF2">
              <w:t>teamwork skills to work with others to action tasks and relate to people from a range of cultural a</w:t>
            </w:r>
            <w:r w:rsidRPr="00743CF2">
              <w:t>nd ethnic backgrounds and with varying physical and mental abilities</w:t>
            </w:r>
          </w:p>
          <w:p w:rsidR="00000000" w:rsidRPr="00743CF2" w:rsidP="00743CF2">
            <w:pPr>
              <w:pStyle w:val="ListBullet"/>
            </w:pPr>
            <w:r w:rsidRPr="00743CF2">
              <w:t>technological skills to:</w:t>
            </w:r>
          </w:p>
          <w:p w:rsidR="00000000" w:rsidRPr="00743CF2" w:rsidP="00743CF2">
            <w:pPr>
              <w:pStyle w:val="ListBullet2"/>
            </w:pPr>
            <w:r w:rsidRPr="00743CF2">
              <w:t>use a range of mobile technology, such as two-way radio and mobile phones</w:t>
            </w:r>
          </w:p>
          <w:p w:rsidR="00000000" w:rsidP="00743CF2">
            <w:pPr>
              <w:pStyle w:val="ListBullet2"/>
              <w:rPr>
                <w:lang w:val="en-NZ"/>
              </w:rPr>
            </w:pPr>
            <w:r w:rsidRPr="00743CF2">
              <w:t>voice and hand signals to access and understand site-specific instructions.</w:t>
            </w:r>
          </w:p>
        </w:tc>
      </w:tr>
      <w:tr w:rsidTr="00E11C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Required knowledge</w:t>
            </w:r>
          </w:p>
        </w:tc>
      </w:tr>
      <w:tr w:rsidTr="00E11C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43CF2" w:rsidP="00743CF2">
            <w:pPr>
              <w:pStyle w:val="BodyText"/>
            </w:pPr>
            <w:r w:rsidRPr="00743CF2">
              <w:t>Required knowledge for this unit is:</w:t>
            </w:r>
          </w:p>
          <w:p w:rsidR="00000000" w:rsidRPr="00743CF2" w:rsidP="00743CF2">
            <w:pPr>
              <w:pStyle w:val="ListBullet"/>
            </w:pPr>
            <w:r w:rsidRPr="00743CF2">
              <w:t>general construction terminology</w:t>
            </w:r>
          </w:p>
          <w:p w:rsidR="00000000" w:rsidRPr="00743CF2" w:rsidP="00743CF2">
            <w:pPr>
              <w:pStyle w:val="ListBullet"/>
            </w:pPr>
            <w:r w:rsidRPr="00743CF2">
              <w:t>job safety analysis (JSA) and safe work method statements</w:t>
            </w:r>
          </w:p>
          <w:p w:rsidR="00000000" w:rsidRPr="00743CF2" w:rsidP="00743CF2">
            <w:pPr>
              <w:pStyle w:val="ListBullet"/>
            </w:pPr>
            <w:r w:rsidRPr="00743CF2">
              <w:t>material safety data sheets (MSDS)</w:t>
            </w:r>
          </w:p>
          <w:p w:rsidR="00000000" w:rsidRPr="00743CF2" w:rsidP="00743CF2">
            <w:pPr>
              <w:pStyle w:val="ListBullet"/>
            </w:pPr>
            <w:r w:rsidRPr="00743CF2">
              <w:t>materials storage and environmentally friendly waste management</w:t>
            </w:r>
          </w:p>
          <w:p w:rsidR="00000000" w:rsidRPr="00743CF2" w:rsidP="00743CF2">
            <w:pPr>
              <w:pStyle w:val="ListBullet"/>
            </w:pPr>
            <w:r w:rsidRPr="00743CF2">
              <w:t>plans, d</w:t>
            </w:r>
            <w:r w:rsidRPr="00743CF2">
              <w:t>rawings and specifications</w:t>
            </w:r>
          </w:p>
          <w:p w:rsidR="00000000" w:rsidRPr="00743CF2" w:rsidP="00743CF2">
            <w:pPr>
              <w:pStyle w:val="ListBullet"/>
            </w:pPr>
            <w:r w:rsidRPr="00743CF2">
              <w:t>plant, tools and equipment types, characteristics, uses and limitations</w:t>
            </w:r>
          </w:p>
          <w:p w:rsidR="00000000" w:rsidRPr="00743CF2" w:rsidP="00743CF2">
            <w:pPr>
              <w:pStyle w:val="ListBullet"/>
            </w:pPr>
            <w:r w:rsidRPr="00743CF2">
              <w:t>processes for the calculation of material requirements</w:t>
            </w:r>
          </w:p>
          <w:p w:rsidR="00000000" w:rsidRPr="00743CF2" w:rsidP="00743CF2">
            <w:pPr>
              <w:pStyle w:val="ListBullet"/>
            </w:pPr>
            <w:r w:rsidRPr="00743CF2">
              <w:t>quality requirements</w:t>
            </w:r>
          </w:p>
          <w:p w:rsidR="00000000" w:rsidRPr="00743CF2" w:rsidP="00743CF2">
            <w:pPr>
              <w:pStyle w:val="ListBullet"/>
            </w:pPr>
            <w:r w:rsidRPr="00743CF2">
              <w:t>surface preparation materials and techniques</w:t>
            </w:r>
          </w:p>
          <w:p w:rsidR="00000000" w:rsidRPr="00743CF2" w:rsidP="00743CF2">
            <w:pPr>
              <w:pStyle w:val="ListBullet"/>
            </w:pPr>
            <w:r w:rsidRPr="00743CF2">
              <w:t>workplace and equipment safety requi</w:t>
            </w:r>
            <w:r w:rsidRPr="00743CF2">
              <w:t>rements.</w:t>
            </w:r>
          </w:p>
        </w:tc>
      </w:tr>
    </w:tbl>
    <w:p w:rsidR="00E11C56" w:rsidP="00743CF2">
      <w:pPr>
        <w:pStyle w:val="BodyText"/>
      </w:pPr>
    </w:p>
    <w:p w:rsidR="00E11C56" w:rsidP="00743CF2">
      <w:pPr>
        <w:pStyle w:val="BodyText"/>
      </w:pPr>
    </w:p>
    <w:p w:rsidR="00000000" w:rsidRPr="00743CF2" w:rsidP="00743CF2">
      <w:pPr>
        <w:pStyle w:val="AllowPageBreak"/>
      </w:pPr>
    </w:p>
    <w:p w:rsidR="00000000" w:rsidRPr="00743CF2" w:rsidP="00743CF2">
      <w:pPr>
        <w:pStyle w:val="Heading1"/>
      </w:pPr>
      <w:bookmarkStart w:id="10" w:name="O_242468"/>
      <w:bookmarkEnd w:id="10"/>
      <w:r w:rsidRPr="00743CF2">
        <w:t>Evidence Guide</w:t>
      </w:r>
    </w:p>
    <w:tbl>
      <w:tblPr>
        <w:tblW w:w="0" w:type="auto"/>
        <w:tblLayout w:type="fixed"/>
        <w:tblCellMar>
          <w:left w:w="62" w:type="dxa"/>
          <w:right w:w="62" w:type="dxa"/>
        </w:tblCellMar>
        <w:tblLook w:val="0000"/>
      </w:tblPr>
      <w:tblGrid>
        <w:gridCol w:w="3469"/>
        <w:gridCol w:w="5053"/>
      </w:tblGrid>
      <w:tr w:rsidTr="00E11C5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43CF2">
            <w:pPr>
              <w:pStyle w:val="BodyText"/>
              <w:rPr>
                <w:lang w:val="en-NZ"/>
              </w:rPr>
            </w:pPr>
            <w:r w:rsidRPr="00743CF2">
              <w:rPr>
                <w:rStyle w:val="SpecialBold"/>
              </w:rPr>
              <w:t>EVIDENCE GUIDE</w:t>
            </w:r>
          </w:p>
        </w:tc>
      </w:tr>
      <w:tr w:rsidTr="00E11C5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43CF2">
            <w:pPr>
              <w:pStyle w:val="BodyText"/>
              <w:rPr>
                <w:lang w:val="en-NZ"/>
              </w:rPr>
            </w:pPr>
            <w:r w:rsidRPr="00743CF2">
              <w:t xml:space="preserve">The evidence guide provides advice on assessment and must be read in conjunction with the performance criteria, required skills and knowledge, </w:t>
            </w:r>
            <w:r w:rsidRPr="00743CF2">
              <w:t>range statement and the Assessment Guidelines for the Training Package.</w:t>
            </w:r>
          </w:p>
        </w:tc>
      </w:tr>
      <w:tr w:rsidTr="00E11C5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Overview of assessment</w:t>
            </w:r>
          </w:p>
        </w:tc>
        <w:tc>
          <w:tcPr>
            <w:tcW w:w="5053"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t>This unit of competency could be assessed in the workplace or a close simulation of the workplace environment, provided that simulated or project-based assessm</w:t>
            </w:r>
            <w:r w:rsidRPr="00743CF2">
              <w:t xml:space="preserve">ent techniques fully replicate construction workplace conditions, materials, activities, responsibilities and procedures. </w:t>
            </w:r>
          </w:p>
        </w:tc>
      </w:tr>
      <w:tr w:rsidTr="00E11C5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Critical aspects for assessment and evidence required to demonstrate competency in this unit</w:t>
            </w:r>
          </w:p>
        </w:tc>
        <w:tc>
          <w:tcPr>
            <w:tcW w:w="5053" w:type="dxa"/>
            <w:tcBorders>
              <w:top w:val="nil"/>
              <w:left w:val="nil"/>
              <w:bottom w:val="nil"/>
              <w:right w:val="nil"/>
            </w:tcBorders>
            <w:tcMar>
              <w:top w:w="0" w:type="dxa"/>
              <w:left w:w="62" w:type="dxa"/>
              <w:bottom w:w="0" w:type="dxa"/>
              <w:right w:w="62" w:type="dxa"/>
            </w:tcMar>
          </w:tcPr>
          <w:p w:rsidR="00000000" w:rsidRPr="00743CF2" w:rsidP="00743CF2">
            <w:pPr>
              <w:pStyle w:val="BodyText"/>
            </w:pPr>
            <w:r w:rsidRPr="00743CF2">
              <w:t>A person who demonstrates competency in</w:t>
            </w:r>
            <w:r w:rsidRPr="00743CF2">
              <w:t xml:space="preserve"> this unit must be able to provide evidence of the ability to:</w:t>
            </w:r>
          </w:p>
          <w:p w:rsidR="00000000" w:rsidRPr="00743CF2" w:rsidP="00743CF2">
            <w:pPr>
              <w:pStyle w:val="ListBullet"/>
            </w:pPr>
            <w:r w:rsidRPr="00743CF2">
              <w:t>locate, interpret and apply relevant information, standards and specifications</w:t>
            </w:r>
          </w:p>
          <w:p w:rsidR="00000000" w:rsidRPr="00743CF2" w:rsidP="00743CF2">
            <w:pPr>
              <w:pStyle w:val="ListBullet"/>
            </w:pPr>
            <w:r w:rsidRPr="00743CF2">
              <w:t>comply with site safety plan and OHS legislation, regulations and codes of practice applicable to workplace operations</w:t>
            </w:r>
          </w:p>
          <w:p w:rsidR="00000000" w:rsidRPr="00743CF2" w:rsidP="00743CF2">
            <w:pPr>
              <w:pStyle w:val="ListBullet"/>
            </w:pPr>
            <w:r w:rsidRPr="00743CF2">
              <w:t>comply with organisational policies and procedures including quality requirements</w:t>
            </w:r>
          </w:p>
          <w:p w:rsidR="00000000" w:rsidRPr="00743CF2" w:rsidP="00743CF2">
            <w:pPr>
              <w:pStyle w:val="ListBullet"/>
            </w:pPr>
            <w:r w:rsidRPr="00743CF2">
              <w:t>safely and effectively operate and use tools, plant and</w:t>
            </w:r>
            <w:r w:rsidRPr="00743CF2">
              <w:t xml:space="preserve"> equipment</w:t>
            </w:r>
          </w:p>
          <w:p w:rsidR="00000000" w:rsidRPr="00743CF2" w:rsidP="00743CF2">
            <w:pPr>
              <w:pStyle w:val="ListBullet"/>
            </w:pPr>
            <w:r w:rsidRPr="00743CF2">
              <w:t>communicate and work effectively and safely with others</w:t>
            </w:r>
          </w:p>
          <w:p w:rsidR="00000000" w:rsidRPr="00743CF2" w:rsidP="00743CF2">
            <w:pPr>
              <w:pStyle w:val="ListBullet"/>
            </w:pPr>
            <w:r w:rsidRPr="00743CF2">
              <w:t>as a minimum (using a combination of underlay, render and mechanical and chemical techniques), prepare a bathroom work area for wall and floor tiling; prepare a timber bathroom floor and po</w:t>
            </w:r>
            <w:r w:rsidRPr="00743CF2">
              <w:t>inted fibre cement sheet wall for tiling; and prepare a concrete bathroom floor and pointed fibre cement sheet wall for tiling, ensuring:</w:t>
            </w:r>
          </w:p>
          <w:p w:rsidR="00000000" w:rsidRPr="00743CF2" w:rsidP="00743CF2">
            <w:pPr>
              <w:pStyle w:val="ListBullet2"/>
            </w:pPr>
            <w:r w:rsidRPr="00743CF2">
              <w:t>correct identification of requirement and completion of the preparation</w:t>
            </w:r>
          </w:p>
          <w:p w:rsidR="00000000" w:rsidRPr="00743CF2" w:rsidP="00743CF2">
            <w:pPr>
              <w:pStyle w:val="ListBullet2"/>
            </w:pPr>
            <w:r w:rsidRPr="00743CF2">
              <w:t>correct selection and use of appropriate proc</w:t>
            </w:r>
            <w:r w:rsidRPr="00743CF2">
              <w:t>esses, tools and equipment</w:t>
            </w:r>
          </w:p>
          <w:p w:rsidR="00000000" w:rsidRPr="00743CF2" w:rsidP="00743CF2">
            <w:pPr>
              <w:pStyle w:val="ListBullet2"/>
            </w:pPr>
            <w:r w:rsidRPr="00743CF2">
              <w:t>completing all work to specification</w:t>
            </w:r>
          </w:p>
          <w:p w:rsidR="00000000" w:rsidP="00743CF2">
            <w:pPr>
              <w:pStyle w:val="ListBullet2"/>
              <w:rPr>
                <w:lang w:val="en-NZ"/>
              </w:rPr>
            </w:pPr>
            <w:r w:rsidRPr="00743CF2">
              <w:t>compliance with regulations, standards and organisational quality procedures and processes.</w:t>
            </w:r>
          </w:p>
        </w:tc>
      </w:tr>
      <w:tr w:rsidTr="00E11C5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Context of and specific resources for assessment</w:t>
            </w:r>
          </w:p>
        </w:tc>
        <w:tc>
          <w:tcPr>
            <w:tcW w:w="5053" w:type="dxa"/>
            <w:tcBorders>
              <w:top w:val="nil"/>
              <w:left w:val="nil"/>
              <w:bottom w:val="nil"/>
              <w:right w:val="nil"/>
            </w:tcBorders>
            <w:tcMar>
              <w:top w:w="0" w:type="dxa"/>
              <w:left w:w="62" w:type="dxa"/>
              <w:bottom w:w="0" w:type="dxa"/>
              <w:right w:w="62" w:type="dxa"/>
            </w:tcMar>
          </w:tcPr>
          <w:p w:rsidR="00000000" w:rsidRPr="00743CF2" w:rsidP="00743CF2">
            <w:pPr>
              <w:pStyle w:val="BodyText"/>
            </w:pPr>
            <w:r w:rsidRPr="00743CF2">
              <w:t>This competency is to be assessed using standard and authorised work practices, safety requirements and environmental constraints.</w:t>
            </w:r>
          </w:p>
          <w:p w:rsidR="00000000" w:rsidRPr="00743CF2" w:rsidP="00743CF2">
            <w:pPr>
              <w:pStyle w:val="BodyText"/>
            </w:pPr>
            <w:r w:rsidRPr="00743CF2">
              <w:t>Assessment of essential underpinning knowledge will usually be conducted in an off-site context.</w:t>
            </w:r>
          </w:p>
          <w:p w:rsidR="00000000" w:rsidRPr="00743CF2" w:rsidP="00743CF2">
            <w:pPr>
              <w:pStyle w:val="BodyText"/>
            </w:pPr>
            <w:r w:rsidRPr="00743CF2">
              <w:t>Assessment is to comply with</w:t>
            </w:r>
            <w:r w:rsidRPr="00743CF2">
              <w:t xml:space="preserve"> relevant regulatory or Australian standards' requirements.</w:t>
            </w:r>
          </w:p>
          <w:p w:rsidR="00000000" w:rsidRPr="00743CF2" w:rsidP="00743CF2">
            <w:pPr>
              <w:pStyle w:val="BodyText"/>
            </w:pPr>
            <w:r w:rsidRPr="00743CF2">
              <w:t>Resource implications for assessment include:</w:t>
            </w:r>
          </w:p>
          <w:p w:rsidR="00000000" w:rsidRPr="00743CF2" w:rsidP="00743CF2">
            <w:pPr>
              <w:pStyle w:val="ListBullet"/>
            </w:pPr>
            <w:r w:rsidRPr="00743CF2">
              <w:t>workplace location or simulated workplace</w:t>
            </w:r>
          </w:p>
          <w:p w:rsidR="00000000" w:rsidRPr="00743CF2" w:rsidP="00743CF2">
            <w:pPr>
              <w:pStyle w:val="ListBullet"/>
            </w:pPr>
            <w:r w:rsidRPr="00743CF2">
              <w:t>materials relevant to preparing surfaces for tiling</w:t>
            </w:r>
          </w:p>
          <w:p w:rsidR="00000000" w:rsidRPr="00743CF2" w:rsidP="00743CF2">
            <w:pPr>
              <w:pStyle w:val="ListBullet"/>
            </w:pPr>
            <w:r w:rsidRPr="00743CF2">
              <w:t>hand and power tools, plant and equipment appropriate t</w:t>
            </w:r>
            <w:r w:rsidRPr="00743CF2">
              <w:t>o preparing surfaces for tiling</w:t>
            </w:r>
          </w:p>
          <w:p w:rsidR="00000000" w:rsidRPr="00743CF2" w:rsidP="00743CF2">
            <w:pPr>
              <w:pStyle w:val="ListBullet"/>
            </w:pPr>
            <w:r w:rsidRPr="00743CF2">
              <w:t>realistic activities covering the mandatory task requirements</w:t>
            </w:r>
          </w:p>
          <w:p w:rsidR="00000000" w:rsidRPr="00743CF2" w:rsidP="00743CF2">
            <w:pPr>
              <w:pStyle w:val="ListBullet"/>
            </w:pPr>
            <w:r w:rsidRPr="00743CF2">
              <w:t>specifications and work instructions.</w:t>
            </w:r>
          </w:p>
          <w:p w:rsidR="00000000" w:rsidRPr="00743CF2" w:rsidP="00743CF2">
            <w:pPr>
              <w:pStyle w:val="BodyText"/>
            </w:pPr>
            <w:r w:rsidRPr="00743CF2">
              <w:t>Assessment of this unit of competency may be in conjunction with assessment of other units commonly performed at the same ti</w:t>
            </w:r>
            <w:r w:rsidRPr="00743CF2">
              <w:t>me in normal job roles.</w:t>
            </w:r>
          </w:p>
          <w:p w:rsidR="00000000" w:rsidP="00743CF2">
            <w:pPr>
              <w:pStyle w:val="BodyText"/>
              <w:rPr>
                <w:lang w:val="en-NZ"/>
              </w:rPr>
            </w:pPr>
            <w:r w:rsidRPr="00743CF2">
              <w:t>Reasonable adjustments for people with disabilities must be made to assessment processes where required. This could include access to modified equipment and other physical resources, and the provision of appropriate assessment suppo</w:t>
            </w:r>
            <w:r w:rsidRPr="00743CF2">
              <w:t xml:space="preserve">rt. </w:t>
            </w:r>
          </w:p>
        </w:tc>
      </w:tr>
      <w:tr w:rsidTr="00E11C56">
        <w:tblPrEx>
          <w:tblW w:w="0" w:type="auto"/>
          <w:tblLayout w:type="fixed"/>
          <w:tblCellMar>
            <w:left w:w="62" w:type="dxa"/>
            <w:right w:w="62" w:type="dxa"/>
          </w:tblCellMar>
          <w:tblLook w:val="0000"/>
        </w:tblPrEx>
        <w:tc>
          <w:tcPr>
            <w:tcW w:w="3469"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Method of assessment</w:t>
            </w:r>
          </w:p>
        </w:tc>
        <w:tc>
          <w:tcPr>
            <w:tcW w:w="5053" w:type="dxa"/>
            <w:tcBorders>
              <w:top w:val="nil"/>
              <w:left w:val="nil"/>
              <w:bottom w:val="nil"/>
              <w:right w:val="nil"/>
            </w:tcBorders>
            <w:tcMar>
              <w:top w:w="0" w:type="dxa"/>
              <w:left w:w="62" w:type="dxa"/>
              <w:bottom w:w="0" w:type="dxa"/>
              <w:right w:w="62" w:type="dxa"/>
            </w:tcMar>
          </w:tcPr>
          <w:p w:rsidR="00000000" w:rsidRPr="00743CF2" w:rsidP="00743CF2">
            <w:pPr>
              <w:pStyle w:val="BodyText"/>
            </w:pPr>
            <w:r w:rsidRPr="00743CF2">
              <w:t>Assessment methods must:</w:t>
            </w:r>
          </w:p>
          <w:p w:rsidR="00000000" w:rsidRPr="00743CF2" w:rsidP="00743CF2">
            <w:pPr>
              <w:pStyle w:val="ListBullet"/>
            </w:pPr>
            <w:r w:rsidRPr="00743CF2">
              <w:t>satisfy the endorsed Assessment Guidelines of the Construction, Plumbing and Services Training Package</w:t>
            </w:r>
          </w:p>
          <w:p w:rsidR="00000000" w:rsidRPr="00743CF2" w:rsidP="00743CF2">
            <w:pPr>
              <w:pStyle w:val="ListBullet"/>
            </w:pPr>
            <w:r w:rsidRPr="00743CF2">
              <w:t>include direct observation of tasks in real or simulated work conditions, with questioning to confirm the ability to consistently identify and correctly interpret the essential underpinning knowledge required for practical application</w:t>
            </w:r>
          </w:p>
          <w:p w:rsidR="00000000" w:rsidRPr="00743CF2" w:rsidP="00743CF2">
            <w:pPr>
              <w:pStyle w:val="ListBullet"/>
            </w:pPr>
            <w:r w:rsidRPr="00743CF2">
              <w:t>reinforce the integra</w:t>
            </w:r>
            <w:r w:rsidRPr="00743CF2">
              <w:t>tion of employability skills with workplace tasks and job roles</w:t>
            </w:r>
          </w:p>
          <w:p w:rsidR="00000000" w:rsidRPr="00743CF2" w:rsidP="00743CF2">
            <w:pPr>
              <w:pStyle w:val="ListBullet"/>
            </w:pPr>
            <w:r w:rsidRPr="00743CF2">
              <w:t>confirm that competency is verified and able to be transferred to other circumstances and environments.</w:t>
            </w:r>
          </w:p>
          <w:p w:rsidR="00000000" w:rsidRPr="00743CF2" w:rsidP="00743CF2">
            <w:pPr>
              <w:pStyle w:val="BodyText"/>
            </w:pPr>
            <w:r w:rsidRPr="00743CF2">
              <w:t>Validity and sufficiency of evidence requires that:</w:t>
            </w:r>
          </w:p>
          <w:p w:rsidR="00000000" w:rsidRPr="00743CF2" w:rsidP="00743CF2">
            <w:pPr>
              <w:pStyle w:val="ListBullet"/>
            </w:pPr>
            <w:r w:rsidRPr="00743CF2">
              <w:t>competency will need to be demonstr</w:t>
            </w:r>
            <w:r w:rsidRPr="00743CF2">
              <w:t>ated over a period of time reflecting the scope of the role and the practical requirements of the workplace</w:t>
            </w:r>
          </w:p>
          <w:p w:rsidR="00000000" w:rsidRPr="00743CF2" w:rsidP="00743CF2">
            <w:pPr>
              <w:pStyle w:val="ListBullet"/>
            </w:pPr>
            <w:r w:rsidRPr="00743CF2">
              <w:t>where the assessment is part of a structured learning experience the evidence collected must relate to a number of performances assessed at differen</w:t>
            </w:r>
            <w:r w:rsidRPr="00743CF2">
              <w:t>t points in time and separated by further learning and practice, with a decision on competency only taken at the point when the assessor has complete confidence in the person's demonstrated ability and applied knowledge</w:t>
            </w:r>
          </w:p>
          <w:p w:rsidR="00000000" w:rsidRPr="00743CF2" w:rsidP="00743CF2">
            <w:pPr>
              <w:pStyle w:val="ListBullet"/>
            </w:pPr>
            <w:r w:rsidRPr="00743CF2">
              <w:t>all assessment that is part of a str</w:t>
            </w:r>
            <w:r w:rsidRPr="00743CF2">
              <w:t>uctured learning experience must include a combination of direct, indirect and supplementary evidence.</w:t>
            </w:r>
          </w:p>
          <w:p w:rsidR="00000000" w:rsidRPr="00743CF2" w:rsidP="00743CF2">
            <w:pPr>
              <w:pStyle w:val="BodyText"/>
            </w:pPr>
            <w:r w:rsidRPr="00743CF2">
              <w:t>Assessment processes and techniques should as far as is practical take into account the language, literacy and numeracy capacity of the candidate in rela</w:t>
            </w:r>
            <w:r w:rsidRPr="00743CF2">
              <w:t>tion to the competency being assessed.</w:t>
            </w:r>
          </w:p>
          <w:p w:rsidR="00000000" w:rsidRPr="00743CF2" w:rsidP="00743CF2">
            <w:pPr>
              <w:pStyle w:val="BodyText"/>
            </w:pPr>
            <w:r w:rsidRPr="00743CF2">
              <w:t xml:space="preserve">Supplementary evidence of competency may be obtained from relevant authenticated documentation from third parties, such as existing supervisors, team leaders or specialist training staff. </w:t>
            </w:r>
          </w:p>
        </w:tc>
      </w:tr>
    </w:tbl>
    <w:p w:rsidR="00E11C56" w:rsidP="00743CF2">
      <w:pPr>
        <w:pStyle w:val="BodyText"/>
      </w:pPr>
    </w:p>
    <w:p w:rsidR="00E11C56" w:rsidP="00743CF2">
      <w:pPr>
        <w:pStyle w:val="BodyText"/>
      </w:pPr>
    </w:p>
    <w:p w:rsidR="00000000" w:rsidRPr="00743CF2" w:rsidP="00743CF2">
      <w:pPr>
        <w:pStyle w:val="Heading1"/>
      </w:pPr>
      <w:bookmarkStart w:id="11" w:name="O_250451"/>
      <w:bookmarkEnd w:id="11"/>
      <w:r w:rsidRPr="00743CF2">
        <w:t>Range Statement</w:t>
      </w:r>
    </w:p>
    <w:tbl>
      <w:tblPr>
        <w:tblW w:w="0" w:type="auto"/>
        <w:tblLayout w:type="fixed"/>
        <w:tblCellMar>
          <w:left w:w="62" w:type="dxa"/>
          <w:right w:w="62" w:type="dxa"/>
        </w:tblCellMar>
        <w:tblLook w:val="0000"/>
      </w:tblPr>
      <w:tblGrid>
        <w:gridCol w:w="3487"/>
        <w:gridCol w:w="5035"/>
      </w:tblGrid>
      <w:tr w:rsidTr="00E11C5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43CF2">
            <w:pPr>
              <w:pStyle w:val="BodyText"/>
              <w:rPr>
                <w:lang w:val="en-NZ"/>
              </w:rPr>
            </w:pPr>
            <w:r w:rsidRPr="00743CF2">
              <w:rPr>
                <w:rStyle w:val="SpecialBold"/>
              </w:rPr>
              <w:t>RANGE STATEMENT</w:t>
            </w:r>
          </w:p>
        </w:tc>
      </w:tr>
      <w:tr w:rsidTr="00E11C5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43CF2">
            <w:pPr>
              <w:pStyle w:val="BodyText"/>
              <w:rPr>
                <w:lang w:val="en-NZ"/>
              </w:rPr>
            </w:pPr>
            <w:r w:rsidRPr="00743CF2">
              <w:t>The range statement relates to the unit of competency as a whole. It allows for different work environments and situations that may affect performance. Bold italicised wording, if used in the performance criteria, is detai</w:t>
            </w:r>
            <w:r w:rsidRPr="00743CF2">
              <w:t>led below. Essential operating conditions that may be present with training and assessment (depending on the work situation, needs of the candidate, accessibility of the item, and local industry and regional contexts) may also be included.</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Information</w:t>
            </w:r>
            <w:r w:rsidRPr="00743CF2">
              <w:t xml:space="preserve"> in</w:t>
            </w:r>
            <w:r w:rsidRPr="00743CF2">
              <w:t>cludes:</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diagrams or sketches</w:t>
            </w:r>
          </w:p>
          <w:p w:rsidR="00000000" w:rsidRPr="00743CF2" w:rsidP="00743CF2">
            <w:pPr>
              <w:pStyle w:val="ListBullet"/>
            </w:pPr>
            <w:r w:rsidRPr="00743CF2">
              <w:t>instructions issued by authorised organisational or external personnel</w:t>
            </w:r>
          </w:p>
          <w:p w:rsidR="00000000" w:rsidRPr="00743CF2" w:rsidP="00743CF2">
            <w:pPr>
              <w:pStyle w:val="ListBullet"/>
            </w:pPr>
            <w:r w:rsidRPr="00743CF2">
              <w:t>manufacturer specifications and instructions, where specified</w:t>
            </w:r>
          </w:p>
          <w:p w:rsidR="00000000" w:rsidRPr="00743CF2" w:rsidP="00743CF2">
            <w:pPr>
              <w:pStyle w:val="ListBullet"/>
            </w:pPr>
            <w:r w:rsidRPr="00743CF2">
              <w:t>MSDS</w:t>
            </w:r>
          </w:p>
          <w:p w:rsidR="00000000" w:rsidRPr="00743CF2" w:rsidP="00743CF2">
            <w:pPr>
              <w:pStyle w:val="ListBullet"/>
            </w:pPr>
            <w:r w:rsidRPr="00743CF2">
              <w:t>memos</w:t>
            </w:r>
          </w:p>
          <w:p w:rsidR="00000000" w:rsidRPr="00743CF2" w:rsidP="00743CF2">
            <w:pPr>
              <w:pStyle w:val="ListBullet"/>
            </w:pPr>
            <w:r w:rsidRPr="00743CF2">
              <w:t>regulatory and legislative requirements pertaining to preparing surfaces for tiling</w:t>
            </w:r>
          </w:p>
          <w:p w:rsidR="00000000" w:rsidRPr="00743CF2" w:rsidP="00743CF2">
            <w:pPr>
              <w:pStyle w:val="ListBullet"/>
            </w:pPr>
            <w:r w:rsidRPr="00743CF2">
              <w:t>relevant Australian standards</w:t>
            </w:r>
          </w:p>
          <w:p w:rsidR="00000000" w:rsidRPr="00743CF2" w:rsidP="00743CF2">
            <w:pPr>
              <w:pStyle w:val="ListBullet"/>
            </w:pPr>
            <w:r w:rsidRPr="00743CF2">
              <w:t>safe work procedures relating to preparing surfaces for tiling</w:t>
            </w:r>
          </w:p>
          <w:p w:rsidR="00000000" w:rsidRPr="00743CF2" w:rsidP="00743CF2">
            <w:pPr>
              <w:pStyle w:val="ListBullet"/>
            </w:pPr>
            <w:r w:rsidRPr="00743CF2">
              <w:t>signage</w:t>
            </w:r>
          </w:p>
          <w:p w:rsidR="00000000" w:rsidRPr="00743CF2" w:rsidP="00743CF2">
            <w:pPr>
              <w:pStyle w:val="ListBullet"/>
            </w:pPr>
            <w:r w:rsidRPr="00743CF2">
              <w:t>verbal, written and graphical instructions</w:t>
            </w:r>
          </w:p>
          <w:p w:rsidR="00000000" w:rsidRPr="00743CF2" w:rsidP="00743CF2">
            <w:pPr>
              <w:pStyle w:val="ListBullet"/>
            </w:pPr>
            <w:r w:rsidRPr="00743CF2">
              <w:t>work bulletins</w:t>
            </w:r>
          </w:p>
          <w:p w:rsidR="00000000" w:rsidP="00743CF2">
            <w:pPr>
              <w:pStyle w:val="ListBullet"/>
              <w:rPr>
                <w:lang w:val="en-NZ"/>
              </w:rPr>
            </w:pPr>
            <w:r w:rsidRPr="00743CF2">
              <w:t>work schedule</w:t>
            </w:r>
            <w:r w:rsidRPr="00743CF2">
              <w:t>s, plans and specifications.</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Planning and preparation</w:t>
            </w:r>
            <w:r w:rsidRPr="00743CF2">
              <w:t xml:space="preserve"> include:</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assessment of conditions and hazards</w:t>
            </w:r>
          </w:p>
          <w:p w:rsidR="00000000" w:rsidRPr="00743CF2" w:rsidP="00743CF2">
            <w:pPr>
              <w:pStyle w:val="ListBullet"/>
            </w:pPr>
            <w:r w:rsidRPr="00743CF2">
              <w:t>determination of work requirements and safety plans and policies</w:t>
            </w:r>
          </w:p>
          <w:p w:rsidR="00000000" w:rsidRPr="00743CF2" w:rsidP="00743CF2">
            <w:pPr>
              <w:pStyle w:val="ListBullet"/>
            </w:pPr>
            <w:r w:rsidRPr="00743CF2">
              <w:t>equipment defect identification</w:t>
            </w:r>
          </w:p>
          <w:p w:rsidR="00000000" w:rsidP="00743CF2">
            <w:pPr>
              <w:pStyle w:val="ListBullet"/>
              <w:rPr>
                <w:lang w:val="en-NZ"/>
              </w:rPr>
            </w:pPr>
            <w:r w:rsidRPr="00743CF2">
              <w:t>work site inspection.</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Safety</w:t>
            </w:r>
            <w:r w:rsidRPr="00743CF2">
              <w:t xml:space="preserve"> (</w:t>
            </w:r>
            <w:r w:rsidRPr="00743CF2">
              <w:rPr>
                <w:rStyle w:val="BoldandItalics"/>
              </w:rPr>
              <w:t>OHS</w:t>
            </w:r>
            <w:r w:rsidRPr="00743CF2">
              <w:t xml:space="preserve">) is to </w:t>
            </w:r>
            <w:r w:rsidRPr="00743CF2">
              <w:t>be in accordance with state and territory legislation and regulations and project safety plan and may include:</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emergency procedures, including extinguishing fires, organisational first aid requirements and evacuation</w:t>
            </w:r>
          </w:p>
          <w:p w:rsidR="00000000" w:rsidRPr="00743CF2" w:rsidP="00743CF2">
            <w:pPr>
              <w:pStyle w:val="ListBullet"/>
            </w:pPr>
            <w:r w:rsidRPr="00743CF2">
              <w:t>hazard control</w:t>
            </w:r>
          </w:p>
          <w:p w:rsidR="00000000" w:rsidRPr="00743CF2" w:rsidP="00743CF2">
            <w:pPr>
              <w:pStyle w:val="ListBullet"/>
            </w:pPr>
            <w:r w:rsidRPr="00743CF2">
              <w:t>hazardous materials and</w:t>
            </w:r>
            <w:r w:rsidRPr="00743CF2">
              <w:t xml:space="preserve"> substances</w:t>
            </w:r>
          </w:p>
          <w:p w:rsidR="00000000" w:rsidRPr="00743CF2" w:rsidP="00743CF2">
            <w:pPr>
              <w:pStyle w:val="ListBullet"/>
            </w:pPr>
            <w:r w:rsidRPr="00743CF2">
              <w:t>organisational first aid</w:t>
            </w:r>
          </w:p>
          <w:p w:rsidR="00000000" w:rsidRPr="00743CF2" w:rsidP="00743CF2">
            <w:pPr>
              <w:pStyle w:val="ListBullet"/>
            </w:pPr>
            <w:r w:rsidRPr="00743CF2">
              <w:t>PPE prescribed under legislation, regulations and workplace policies and practices</w:t>
            </w:r>
          </w:p>
          <w:p w:rsidR="00000000" w:rsidRPr="00743CF2" w:rsidP="00743CF2">
            <w:pPr>
              <w:pStyle w:val="ListBullet"/>
            </w:pPr>
            <w:r w:rsidRPr="00743CF2">
              <w:t>safe operating procedures, including the conduct of operational risk assessment and treatments associated with:</w:t>
            </w:r>
          </w:p>
          <w:p w:rsidR="00000000" w:rsidRPr="00743CF2" w:rsidP="00743CF2">
            <w:pPr>
              <w:pStyle w:val="ListBullet2"/>
            </w:pPr>
            <w:r w:rsidRPr="00743CF2">
              <w:t>concealed services (wat</w:t>
            </w:r>
            <w:r w:rsidRPr="00743CF2">
              <w:t>er, power and gas)</w:t>
            </w:r>
          </w:p>
          <w:p w:rsidR="00000000" w:rsidRPr="00743CF2" w:rsidP="00743CF2">
            <w:pPr>
              <w:pStyle w:val="ListBullet2"/>
            </w:pPr>
            <w:r w:rsidRPr="00743CF2">
              <w:t>lighting</w:t>
            </w:r>
          </w:p>
          <w:p w:rsidR="00000000" w:rsidRPr="00743CF2" w:rsidP="00743CF2">
            <w:pPr>
              <w:pStyle w:val="ListBullet2"/>
            </w:pPr>
            <w:r w:rsidRPr="00743CF2">
              <w:t>traffic control</w:t>
            </w:r>
          </w:p>
          <w:p w:rsidR="00000000" w:rsidRPr="00743CF2" w:rsidP="00743CF2">
            <w:pPr>
              <w:pStyle w:val="ListBullet2"/>
            </w:pPr>
            <w:r w:rsidRPr="00743CF2">
              <w:t>restricted access barriers</w:t>
            </w:r>
          </w:p>
          <w:p w:rsidR="00000000" w:rsidRPr="00743CF2" w:rsidP="00743CF2">
            <w:pPr>
              <w:pStyle w:val="ListBullet2"/>
            </w:pPr>
            <w:r w:rsidRPr="00743CF2">
              <w:t>trip hazards</w:t>
            </w:r>
          </w:p>
          <w:p w:rsidR="00000000" w:rsidRPr="00743CF2" w:rsidP="00743CF2">
            <w:pPr>
              <w:pStyle w:val="ListBullet2"/>
            </w:pPr>
            <w:r w:rsidRPr="00743CF2">
              <w:t>work site visitors and the public</w:t>
            </w:r>
          </w:p>
          <w:p w:rsidR="00000000" w:rsidRPr="00743CF2" w:rsidP="00743CF2">
            <w:pPr>
              <w:pStyle w:val="ListBullet2"/>
            </w:pPr>
            <w:r w:rsidRPr="00743CF2">
              <w:t>working at heights</w:t>
            </w:r>
          </w:p>
          <w:p w:rsidR="00000000" w:rsidRPr="00743CF2" w:rsidP="00743CF2">
            <w:pPr>
              <w:pStyle w:val="ListBullet2"/>
            </w:pPr>
            <w:r w:rsidRPr="00743CF2">
              <w:t>working in confined spaces</w:t>
            </w:r>
          </w:p>
          <w:p w:rsidR="00000000" w:rsidRPr="00743CF2" w:rsidP="00743CF2">
            <w:pPr>
              <w:pStyle w:val="ListBullet2"/>
            </w:pPr>
            <w:r w:rsidRPr="00743CF2">
              <w:t>working in proximity to others</w:t>
            </w:r>
          </w:p>
          <w:p w:rsidR="00000000" w:rsidRPr="00743CF2" w:rsidP="00743CF2">
            <w:pPr>
              <w:pStyle w:val="ListBullet"/>
            </w:pPr>
            <w:r w:rsidRPr="00743CF2">
              <w:t>use of firefighting equipment</w:t>
            </w:r>
          </w:p>
          <w:p w:rsidR="00000000" w:rsidRPr="00743CF2" w:rsidP="00743CF2">
            <w:pPr>
              <w:pStyle w:val="ListBullet"/>
            </w:pPr>
            <w:r w:rsidRPr="00743CF2">
              <w:t>use of tools and equipment</w:t>
            </w:r>
          </w:p>
          <w:p w:rsidR="00000000" w:rsidP="00743CF2">
            <w:pPr>
              <w:pStyle w:val="ListBullet"/>
              <w:rPr>
                <w:lang w:val="en-NZ"/>
              </w:rPr>
            </w:pPr>
            <w:r w:rsidRPr="00743CF2">
              <w:t>workplace environmental requirements and safety.</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Tools and equipment</w:t>
            </w:r>
            <w:r w:rsidRPr="00743CF2">
              <w:t xml:space="preserve"> include:</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brooms</w:t>
            </w:r>
          </w:p>
          <w:p w:rsidR="00000000" w:rsidRPr="00743CF2" w:rsidP="00743CF2">
            <w:pPr>
              <w:pStyle w:val="ListBullet"/>
            </w:pPr>
            <w:r w:rsidRPr="00743CF2">
              <w:t>brushes</w:t>
            </w:r>
          </w:p>
          <w:p w:rsidR="00000000" w:rsidRPr="00743CF2" w:rsidP="00743CF2">
            <w:pPr>
              <w:pStyle w:val="ListBullet"/>
            </w:pPr>
            <w:r w:rsidRPr="00743CF2">
              <w:t>buckets</w:t>
            </w:r>
          </w:p>
          <w:p w:rsidR="00000000" w:rsidRPr="00743CF2" w:rsidP="00743CF2">
            <w:pPr>
              <w:pStyle w:val="ListBullet"/>
            </w:pPr>
            <w:r w:rsidRPr="00743CF2">
              <w:t>caulking guns</w:t>
            </w:r>
          </w:p>
          <w:p w:rsidR="00000000" w:rsidRPr="00743CF2" w:rsidP="00743CF2">
            <w:pPr>
              <w:pStyle w:val="ListBullet"/>
            </w:pPr>
            <w:r w:rsidRPr="00743CF2">
              <w:t>cement sheet cutters</w:t>
            </w:r>
          </w:p>
          <w:p w:rsidR="00000000" w:rsidRPr="00743CF2" w:rsidP="00743CF2">
            <w:pPr>
              <w:pStyle w:val="ListBullet"/>
            </w:pPr>
            <w:r w:rsidRPr="00743CF2">
              <w:t>concrete mixers</w:t>
            </w:r>
          </w:p>
          <w:p w:rsidR="00000000" w:rsidRPr="00743CF2" w:rsidP="00743CF2">
            <w:pPr>
              <w:pStyle w:val="ListBullet"/>
            </w:pPr>
            <w:r w:rsidRPr="00743CF2">
              <w:t>electrical leads</w:t>
            </w:r>
          </w:p>
          <w:p w:rsidR="00000000" w:rsidRPr="00743CF2" w:rsidP="00743CF2">
            <w:pPr>
              <w:pStyle w:val="ListBullet"/>
            </w:pPr>
            <w:r w:rsidRPr="00743CF2">
              <w:t>hammers</w:t>
            </w:r>
          </w:p>
          <w:p w:rsidR="00000000" w:rsidRPr="00743CF2" w:rsidP="00743CF2">
            <w:pPr>
              <w:pStyle w:val="ListBullet"/>
            </w:pPr>
            <w:r w:rsidRPr="00743CF2">
              <w:t>hose and water sprays</w:t>
            </w:r>
          </w:p>
          <w:p w:rsidR="00000000" w:rsidRPr="00743CF2" w:rsidP="00743CF2">
            <w:pPr>
              <w:pStyle w:val="ListBullet"/>
            </w:pPr>
            <w:r w:rsidRPr="00743CF2">
              <w:t>ladders</w:t>
            </w:r>
          </w:p>
          <w:p w:rsidR="00000000" w:rsidRPr="00743CF2" w:rsidP="00743CF2">
            <w:pPr>
              <w:pStyle w:val="ListBullet"/>
            </w:pPr>
            <w:r w:rsidRPr="00743CF2">
              <w:t>levelling equipment</w:t>
            </w:r>
          </w:p>
          <w:p w:rsidR="00000000" w:rsidRPr="00743CF2" w:rsidP="00743CF2">
            <w:pPr>
              <w:pStyle w:val="ListBullet"/>
            </w:pPr>
            <w:r w:rsidRPr="00743CF2">
              <w:t>lump hammers</w:t>
            </w:r>
          </w:p>
          <w:p w:rsidR="00000000" w:rsidRPr="00743CF2" w:rsidP="00743CF2">
            <w:pPr>
              <w:pStyle w:val="ListBullet"/>
            </w:pPr>
            <w:r w:rsidRPr="00743CF2">
              <w:t>measuring tapes and rules</w:t>
            </w:r>
          </w:p>
          <w:p w:rsidR="00000000" w:rsidRPr="00743CF2" w:rsidP="00743CF2">
            <w:pPr>
              <w:pStyle w:val="ListBullet"/>
            </w:pPr>
            <w:r w:rsidRPr="00743CF2">
              <w:t>mortar boards</w:t>
            </w:r>
          </w:p>
          <w:p w:rsidR="00000000" w:rsidRPr="00743CF2" w:rsidP="00743CF2">
            <w:pPr>
              <w:pStyle w:val="ListBullet"/>
            </w:pPr>
            <w:r w:rsidRPr="00743CF2">
              <w:t>nippers</w:t>
            </w:r>
          </w:p>
          <w:p w:rsidR="00000000" w:rsidRPr="00743CF2" w:rsidP="00743CF2">
            <w:pPr>
              <w:pStyle w:val="ListBullet"/>
            </w:pPr>
            <w:r w:rsidRPr="00743CF2">
              <w:t>pointed grouters</w:t>
            </w:r>
          </w:p>
          <w:p w:rsidR="00000000" w:rsidRPr="00743CF2" w:rsidP="00743CF2">
            <w:pPr>
              <w:pStyle w:val="ListBullet"/>
            </w:pPr>
            <w:r w:rsidRPr="00743CF2">
              <w:t>power drills and screwdrivers</w:t>
            </w:r>
          </w:p>
          <w:p w:rsidR="00000000" w:rsidRPr="00743CF2" w:rsidP="00743CF2">
            <w:pPr>
              <w:pStyle w:val="ListBullet"/>
            </w:pPr>
            <w:r w:rsidRPr="00743CF2">
              <w:t>power grinders and sanders</w:t>
            </w:r>
          </w:p>
          <w:p w:rsidR="00000000" w:rsidRPr="00743CF2" w:rsidP="00743CF2">
            <w:pPr>
              <w:pStyle w:val="ListBullet"/>
            </w:pPr>
            <w:r w:rsidRPr="00743CF2">
              <w:t>rags</w:t>
            </w:r>
          </w:p>
          <w:p w:rsidR="00000000" w:rsidRPr="00743CF2" w:rsidP="00743CF2">
            <w:pPr>
              <w:pStyle w:val="ListBullet"/>
            </w:pPr>
            <w:r w:rsidRPr="00743CF2">
              <w:t>rubber mallets</w:t>
            </w:r>
          </w:p>
          <w:p w:rsidR="00000000" w:rsidRPr="00743CF2" w:rsidP="00743CF2">
            <w:pPr>
              <w:pStyle w:val="ListBullet"/>
            </w:pPr>
            <w:r w:rsidRPr="00743CF2">
              <w:t>sanding blocks</w:t>
            </w:r>
          </w:p>
          <w:p w:rsidR="00000000" w:rsidRPr="00743CF2" w:rsidP="00743CF2">
            <w:pPr>
              <w:pStyle w:val="ListBullet"/>
            </w:pPr>
            <w:r w:rsidRPr="00743CF2">
              <w:t>saws</w:t>
            </w:r>
          </w:p>
          <w:p w:rsidR="00000000" w:rsidRPr="00743CF2" w:rsidP="00743CF2">
            <w:pPr>
              <w:pStyle w:val="ListBullet"/>
            </w:pPr>
            <w:r w:rsidRPr="00743CF2">
              <w:t>scrapers</w:t>
            </w:r>
          </w:p>
          <w:p w:rsidR="00000000" w:rsidRPr="00743CF2" w:rsidP="00743CF2">
            <w:pPr>
              <w:pStyle w:val="ListBullet"/>
            </w:pPr>
            <w:r w:rsidRPr="00743CF2">
              <w:t>shovels</w:t>
            </w:r>
          </w:p>
          <w:p w:rsidR="00000000" w:rsidRPr="00743CF2" w:rsidP="00743CF2">
            <w:pPr>
              <w:pStyle w:val="ListBullet"/>
            </w:pPr>
            <w:r w:rsidRPr="00743CF2">
              <w:t>spacers and wedges</w:t>
            </w:r>
          </w:p>
          <w:p w:rsidR="00000000" w:rsidRPr="00743CF2" w:rsidP="00743CF2">
            <w:pPr>
              <w:pStyle w:val="ListBullet"/>
            </w:pPr>
            <w:r w:rsidRPr="00743CF2">
              <w:t>spatulas</w:t>
            </w:r>
          </w:p>
          <w:p w:rsidR="00000000" w:rsidRPr="00743CF2" w:rsidP="00743CF2">
            <w:pPr>
              <w:pStyle w:val="ListBullet"/>
            </w:pPr>
            <w:r w:rsidRPr="00743CF2">
              <w:t>sponges</w:t>
            </w:r>
          </w:p>
          <w:p w:rsidR="00000000" w:rsidRPr="00743CF2" w:rsidP="00743CF2">
            <w:pPr>
              <w:pStyle w:val="ListBullet"/>
            </w:pPr>
            <w:r w:rsidRPr="00743CF2">
              <w:t>squares</w:t>
            </w:r>
          </w:p>
          <w:p w:rsidR="00000000" w:rsidRPr="00743CF2" w:rsidP="00743CF2">
            <w:pPr>
              <w:pStyle w:val="ListBullet"/>
            </w:pPr>
            <w:r w:rsidRPr="00743CF2">
              <w:t>squeegees</w:t>
            </w:r>
          </w:p>
          <w:p w:rsidR="00000000" w:rsidRPr="00743CF2" w:rsidP="00743CF2">
            <w:pPr>
              <w:pStyle w:val="ListBullet"/>
            </w:pPr>
            <w:r w:rsidRPr="00743CF2">
              <w:t>straight edges</w:t>
            </w:r>
          </w:p>
          <w:p w:rsidR="00000000" w:rsidRPr="00743CF2" w:rsidP="00743CF2">
            <w:pPr>
              <w:pStyle w:val="ListBullet"/>
            </w:pPr>
            <w:r w:rsidRPr="00743CF2">
              <w:t>stringlines</w:t>
            </w:r>
          </w:p>
          <w:p w:rsidR="00000000" w:rsidRPr="00743CF2" w:rsidP="00743CF2">
            <w:pPr>
              <w:pStyle w:val="ListBullet"/>
            </w:pPr>
            <w:r w:rsidRPr="00743CF2">
              <w:t>trowels</w:t>
            </w:r>
          </w:p>
          <w:p w:rsidR="00000000" w:rsidRPr="00743CF2" w:rsidP="00743CF2">
            <w:pPr>
              <w:pStyle w:val="ListBullet"/>
            </w:pPr>
            <w:r w:rsidRPr="00743CF2">
              <w:t>wet and dry diamond saws</w:t>
            </w:r>
          </w:p>
          <w:p w:rsidR="00000000" w:rsidRPr="00743CF2" w:rsidP="00743CF2">
            <w:pPr>
              <w:pStyle w:val="ListBullet"/>
            </w:pPr>
            <w:r w:rsidRPr="00743CF2">
              <w:t>wheelbarrows</w:t>
            </w:r>
          </w:p>
          <w:p w:rsidR="00000000" w:rsidRPr="00743CF2" w:rsidP="00743CF2">
            <w:pPr>
              <w:pStyle w:val="ListBullet"/>
            </w:pPr>
            <w:r w:rsidRPr="00743CF2">
              <w:t>wire brushes</w:t>
            </w:r>
          </w:p>
          <w:p w:rsidR="00000000" w:rsidRPr="00743CF2" w:rsidP="00743CF2">
            <w:pPr>
              <w:pStyle w:val="ListBullet"/>
            </w:pPr>
            <w:r w:rsidRPr="00743CF2">
              <w:t>wooden floats</w:t>
            </w:r>
          </w:p>
          <w:p w:rsidR="00000000" w:rsidP="00743CF2">
            <w:pPr>
              <w:pStyle w:val="ListBullet"/>
              <w:rPr>
                <w:lang w:val="en-NZ"/>
              </w:rPr>
            </w:pPr>
            <w:r w:rsidRPr="00743CF2">
              <w:t>work platforms.</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Quality requirements</w:t>
            </w:r>
            <w:r w:rsidRPr="00743CF2">
              <w:t xml:space="preserve"> include relevant regulations, including:</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Australian standards</w:t>
            </w:r>
          </w:p>
          <w:p w:rsidR="00000000" w:rsidRPr="00743CF2" w:rsidP="00743CF2">
            <w:pPr>
              <w:pStyle w:val="ListBullet"/>
            </w:pPr>
            <w:r w:rsidRPr="00743CF2">
              <w:t>internal company quality policy and standards</w:t>
            </w:r>
          </w:p>
          <w:p w:rsidR="00000000" w:rsidRPr="00743CF2" w:rsidP="00743CF2">
            <w:pPr>
              <w:pStyle w:val="ListBullet"/>
            </w:pPr>
            <w:r w:rsidRPr="00743CF2">
              <w:t>manufacturer specifications</w:t>
            </w:r>
          </w:p>
          <w:p w:rsidR="00000000" w:rsidP="00743CF2">
            <w:pPr>
              <w:pStyle w:val="ListBullet"/>
              <w:rPr>
                <w:lang w:val="en-NZ"/>
              </w:rPr>
            </w:pPr>
            <w:r w:rsidRPr="00743CF2">
              <w:t>workplace operations and procedures.</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Materials</w:t>
            </w:r>
            <w:r w:rsidRPr="00743CF2">
              <w:t>:</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include:</w:t>
            </w:r>
          </w:p>
          <w:p w:rsidR="00000000" w:rsidRPr="00743CF2" w:rsidP="00743CF2">
            <w:pPr>
              <w:pStyle w:val="ListBullet2"/>
            </w:pPr>
            <w:r w:rsidRPr="00743CF2">
              <w:t>adhesives</w:t>
            </w:r>
          </w:p>
          <w:p w:rsidR="00000000" w:rsidRPr="00743CF2" w:rsidP="00743CF2">
            <w:pPr>
              <w:pStyle w:val="ListBullet2"/>
            </w:pPr>
            <w:r w:rsidRPr="00743CF2">
              <w:t>caulking compound</w:t>
            </w:r>
          </w:p>
          <w:p w:rsidR="00000000" w:rsidRPr="00743CF2" w:rsidP="00743CF2">
            <w:pPr>
              <w:pStyle w:val="ListBullet2"/>
            </w:pPr>
            <w:r w:rsidRPr="00743CF2">
              <w:t>cement mortar (with and without additives)</w:t>
            </w:r>
          </w:p>
          <w:p w:rsidR="00000000" w:rsidRPr="00743CF2" w:rsidP="00743CF2">
            <w:pPr>
              <w:pStyle w:val="ListBullet2"/>
            </w:pPr>
            <w:r w:rsidRPr="00743CF2">
              <w:t>clouts</w:t>
            </w:r>
          </w:p>
          <w:p w:rsidR="00000000" w:rsidRPr="00743CF2" w:rsidP="00743CF2">
            <w:pPr>
              <w:pStyle w:val="ListBullet2"/>
            </w:pPr>
            <w:r w:rsidRPr="00743CF2">
              <w:t>cornice adhesive</w:t>
            </w:r>
          </w:p>
          <w:p w:rsidR="00000000" w:rsidRPr="00743CF2" w:rsidP="00743CF2">
            <w:pPr>
              <w:pStyle w:val="ListBullet2"/>
            </w:pPr>
            <w:r w:rsidRPr="00743CF2">
              <w:t>fixings and fasteners</w:t>
            </w:r>
          </w:p>
          <w:p w:rsidR="00000000" w:rsidRPr="00743CF2" w:rsidP="00743CF2">
            <w:pPr>
              <w:pStyle w:val="ListBullet2"/>
            </w:pPr>
            <w:r w:rsidRPr="00743CF2">
              <w:t>patching materials</w:t>
            </w:r>
          </w:p>
          <w:p w:rsidR="00000000" w:rsidRPr="00743CF2" w:rsidP="00743CF2">
            <w:pPr>
              <w:pStyle w:val="ListBullet2"/>
            </w:pPr>
            <w:r w:rsidRPr="00743CF2">
              <w:t>plasterboard nails</w:t>
            </w:r>
          </w:p>
          <w:p w:rsidR="00000000" w:rsidRPr="00743CF2" w:rsidP="00743CF2">
            <w:pPr>
              <w:pStyle w:val="ListBullet2"/>
            </w:pPr>
            <w:r w:rsidRPr="00743CF2">
              <w:t>pre-mixed and mixed fillers</w:t>
            </w:r>
          </w:p>
          <w:p w:rsidR="00000000" w:rsidRPr="00743CF2" w:rsidP="00743CF2">
            <w:pPr>
              <w:pStyle w:val="ListBullet2"/>
            </w:pPr>
            <w:r w:rsidRPr="00743CF2">
              <w:t>sand and cement</w:t>
            </w:r>
          </w:p>
          <w:p w:rsidR="00000000" w:rsidRPr="00743CF2" w:rsidP="00743CF2">
            <w:pPr>
              <w:pStyle w:val="ListBullet2"/>
            </w:pPr>
            <w:r w:rsidRPr="00743CF2">
              <w:t>self-tapping screws</w:t>
            </w:r>
          </w:p>
          <w:p w:rsidR="00000000" w:rsidRPr="00743CF2" w:rsidP="00743CF2">
            <w:pPr>
              <w:pStyle w:val="ListBullet2"/>
            </w:pPr>
            <w:r w:rsidRPr="00743CF2">
              <w:t>soft sheet nails</w:t>
            </w:r>
          </w:p>
          <w:p w:rsidR="00000000" w:rsidRPr="00743CF2" w:rsidP="00743CF2">
            <w:pPr>
              <w:pStyle w:val="ListBullet2"/>
            </w:pPr>
            <w:r w:rsidRPr="00743CF2">
              <w:t>wall board adhesive</w:t>
            </w:r>
          </w:p>
          <w:p w:rsidR="00000000" w:rsidRPr="00743CF2" w:rsidP="00743CF2">
            <w:pPr>
              <w:pStyle w:val="ListBullet"/>
            </w:pPr>
            <w:r w:rsidRPr="00743CF2">
              <w:t>may include:</w:t>
            </w:r>
          </w:p>
          <w:p w:rsidR="00000000" w:rsidRPr="00743CF2" w:rsidP="00743CF2">
            <w:pPr>
              <w:pStyle w:val="ListBullet2"/>
            </w:pPr>
            <w:r w:rsidRPr="00743CF2">
              <w:t>acoustic underlay material</w:t>
            </w:r>
          </w:p>
          <w:p w:rsidR="00000000" w:rsidP="00743CF2">
            <w:pPr>
              <w:pStyle w:val="ListBullet2"/>
              <w:rPr>
                <w:lang w:val="en-NZ"/>
              </w:rPr>
            </w:pPr>
            <w:r w:rsidRPr="00743CF2">
              <w:t>crack suppression membrane.</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Environmental requirements</w:t>
            </w:r>
            <w:r w:rsidRPr="00743CF2">
              <w:t xml:space="preserve"> include:</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clean-up management</w:t>
            </w:r>
          </w:p>
          <w:p w:rsidR="00000000" w:rsidRPr="00743CF2" w:rsidP="00743CF2">
            <w:pPr>
              <w:pStyle w:val="ListBullet"/>
            </w:pPr>
            <w:r w:rsidRPr="00743CF2">
              <w:t>dust and noise</w:t>
            </w:r>
          </w:p>
          <w:p w:rsidR="00000000" w:rsidRPr="00743CF2" w:rsidP="00743CF2">
            <w:pPr>
              <w:pStyle w:val="ListBullet"/>
            </w:pPr>
            <w:r w:rsidRPr="00743CF2">
              <w:t>sedimentation control</w:t>
            </w:r>
          </w:p>
          <w:p w:rsidR="00000000" w:rsidRPr="00743CF2" w:rsidP="00743CF2">
            <w:pPr>
              <w:pStyle w:val="ListBullet"/>
            </w:pPr>
            <w:r w:rsidRPr="00743CF2">
              <w:t>vibration</w:t>
            </w:r>
          </w:p>
          <w:p w:rsidR="00000000" w:rsidP="00743CF2">
            <w:pPr>
              <w:pStyle w:val="ListBullet"/>
              <w:rPr>
                <w:lang w:val="en-NZ"/>
              </w:rPr>
            </w:pPr>
            <w:r w:rsidRPr="00743CF2">
              <w:t>waste management.</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Underlay</w:t>
            </w:r>
            <w:r w:rsidRPr="00743CF2">
              <w:t xml:space="preserve"> material may be:</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acoustic</w:t>
            </w:r>
          </w:p>
          <w:p w:rsidR="00000000" w:rsidRPr="00743CF2" w:rsidP="00743CF2">
            <w:pPr>
              <w:pStyle w:val="ListBullet"/>
            </w:pPr>
            <w:r w:rsidRPr="00743CF2">
              <w:t>in sheet or liquid form</w:t>
            </w:r>
          </w:p>
          <w:p w:rsidR="00000000" w:rsidP="00743CF2">
            <w:pPr>
              <w:pStyle w:val="ListBullet"/>
              <w:rPr>
                <w:lang w:val="en-NZ"/>
              </w:rPr>
            </w:pPr>
            <w:r w:rsidRPr="00743CF2">
              <w:t>provide for crack suppression (in membrane form).</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Substrate</w:t>
            </w:r>
            <w:r w:rsidRPr="00743CF2">
              <w:t xml:space="preserve"> preparation includes:</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chemical and mechanical preparation of surfaces</w:t>
            </w:r>
          </w:p>
          <w:p w:rsidR="00000000" w:rsidRPr="00743CF2" w:rsidP="00743CF2">
            <w:pPr>
              <w:pStyle w:val="ListBullet"/>
            </w:pPr>
            <w:r w:rsidRPr="00743CF2">
              <w:t xml:space="preserve">rendering to </w:t>
            </w:r>
            <w:r w:rsidRPr="00743CF2">
              <w:t>provide a flat surface</w:t>
            </w:r>
          </w:p>
          <w:p w:rsidR="00000000" w:rsidP="00743CF2">
            <w:pPr>
              <w:pStyle w:val="ListBullet"/>
              <w:rPr>
                <w:lang w:val="en-NZ"/>
              </w:rPr>
            </w:pPr>
            <w:r w:rsidRPr="00743CF2">
              <w:t>use of underlay material.</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Substrate surface</w:t>
            </w:r>
            <w:r w:rsidRPr="00743CF2">
              <w:t xml:space="preserve"> materials include:</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fibre cement sheets or other lining material or cladding of a similar nature</w:t>
            </w:r>
          </w:p>
          <w:p w:rsidR="00000000" w:rsidRPr="00743CF2" w:rsidP="00743CF2">
            <w:pPr>
              <w:pStyle w:val="ListBullet"/>
            </w:pPr>
            <w:r w:rsidRPr="00743CF2">
              <w:t>painted surfaces</w:t>
            </w:r>
          </w:p>
          <w:p w:rsidR="00000000" w:rsidRPr="00743CF2" w:rsidP="00743CF2">
            <w:pPr>
              <w:pStyle w:val="ListBullet"/>
            </w:pPr>
            <w:r w:rsidRPr="00743CF2">
              <w:t>pre-cast cladding</w:t>
            </w:r>
          </w:p>
          <w:p w:rsidR="00000000" w:rsidRPr="00743CF2" w:rsidP="00743CF2">
            <w:pPr>
              <w:pStyle w:val="ListBullet"/>
            </w:pPr>
            <w:r w:rsidRPr="00743CF2">
              <w:t>solid plaster</w:t>
            </w:r>
          </w:p>
          <w:p w:rsidR="00000000" w:rsidRPr="00743CF2" w:rsidP="00743CF2">
            <w:pPr>
              <w:pStyle w:val="ListBullet"/>
            </w:pPr>
            <w:r w:rsidRPr="00743CF2">
              <w:t>stone, concrete, timber, waterproof plasterboard, masonry and brick/block</w:t>
            </w:r>
          </w:p>
          <w:p w:rsidR="00000000" w:rsidRPr="00743CF2" w:rsidP="00743CF2">
            <w:pPr>
              <w:pStyle w:val="ListBullet"/>
            </w:pPr>
            <w:r w:rsidRPr="00743CF2">
              <w:t>terrazzo</w:t>
            </w:r>
          </w:p>
          <w:p w:rsidR="00000000" w:rsidP="00743CF2">
            <w:pPr>
              <w:pStyle w:val="ListBullet"/>
              <w:rPr>
                <w:lang w:val="en-NZ"/>
              </w:rPr>
            </w:pPr>
            <w:r w:rsidRPr="00743CF2">
              <w:t>wall and floor tiles.</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Surface</w:t>
            </w:r>
            <w:r w:rsidRPr="00743CF2">
              <w:t>-</w:t>
            </w:r>
            <w:r w:rsidRPr="00743CF2">
              <w:rPr>
                <w:rStyle w:val="BoldandItalics"/>
              </w:rPr>
              <w:t>mounted construction</w:t>
            </w:r>
            <w:r w:rsidRPr="00743CF2">
              <w:t xml:space="preserve"> includes:</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aluminium framework fixing</w:t>
            </w:r>
          </w:p>
          <w:p w:rsidR="00000000" w:rsidRPr="00743CF2" w:rsidP="00743CF2">
            <w:pPr>
              <w:pStyle w:val="ListBullet"/>
            </w:pPr>
            <w:r w:rsidRPr="00743CF2">
              <w:t>attachment of steel brackets or fabricated units</w:t>
            </w:r>
          </w:p>
          <w:p w:rsidR="00000000" w:rsidRPr="00743CF2" w:rsidP="00743CF2">
            <w:pPr>
              <w:pStyle w:val="ListBullet"/>
            </w:pPr>
            <w:r w:rsidRPr="00743CF2">
              <w:t>brick or block walls or abutments</w:t>
            </w:r>
          </w:p>
          <w:p w:rsidR="00000000" w:rsidRPr="00743CF2" w:rsidP="00743CF2">
            <w:pPr>
              <w:pStyle w:val="ListBullet"/>
            </w:pPr>
            <w:r w:rsidRPr="00743CF2">
              <w:t>curtain walling fixing</w:t>
            </w:r>
          </w:p>
          <w:p w:rsidR="00000000" w:rsidRPr="00743CF2" w:rsidP="00743CF2">
            <w:pPr>
              <w:pStyle w:val="ListBullet"/>
            </w:pPr>
            <w:r w:rsidRPr="00743CF2">
              <w:t>fitment units</w:t>
            </w:r>
          </w:p>
          <w:p w:rsidR="00000000" w:rsidRPr="00743CF2" w:rsidP="00743CF2">
            <w:pPr>
              <w:pStyle w:val="ListBullet"/>
            </w:pPr>
            <w:r w:rsidRPr="00743CF2">
              <w:t>formwork and falsework construction</w:t>
            </w:r>
          </w:p>
          <w:p w:rsidR="00000000" w:rsidRPr="00743CF2" w:rsidP="00743CF2">
            <w:pPr>
              <w:pStyle w:val="ListBullet"/>
            </w:pPr>
            <w:r w:rsidRPr="00743CF2">
              <w:t>light steel partition walls</w:t>
            </w:r>
          </w:p>
          <w:p w:rsidR="00000000" w:rsidRPr="00743CF2" w:rsidP="00743CF2">
            <w:pPr>
              <w:pStyle w:val="ListBullet"/>
            </w:pPr>
            <w:r w:rsidRPr="00743CF2">
              <w:t>stair installations</w:t>
            </w:r>
          </w:p>
          <w:p w:rsidR="00000000" w:rsidP="00743CF2">
            <w:pPr>
              <w:pStyle w:val="ListBullet"/>
              <w:rPr>
                <w:lang w:val="en-NZ"/>
              </w:rPr>
            </w:pPr>
            <w:r w:rsidRPr="00743CF2">
              <w:t>timber partition walls.</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Types of tiles</w:t>
            </w:r>
            <w:r w:rsidRPr="00743CF2">
              <w:t xml:space="preserve"> include:</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ceramic</w:t>
            </w:r>
          </w:p>
          <w:p w:rsidR="00000000" w:rsidRPr="00743CF2" w:rsidP="00743CF2">
            <w:pPr>
              <w:pStyle w:val="ListBullet"/>
            </w:pPr>
            <w:r w:rsidRPr="00743CF2">
              <w:t>glass</w:t>
            </w:r>
          </w:p>
          <w:p w:rsidR="00000000" w:rsidRPr="00743CF2" w:rsidP="00743CF2">
            <w:pPr>
              <w:pStyle w:val="ListBullet"/>
            </w:pPr>
            <w:r w:rsidRPr="00743CF2">
              <w:t>granite</w:t>
            </w:r>
          </w:p>
          <w:p w:rsidR="00000000" w:rsidRPr="00743CF2" w:rsidP="00743CF2">
            <w:pPr>
              <w:pStyle w:val="ListBullet"/>
            </w:pPr>
            <w:r w:rsidRPr="00743CF2">
              <w:t>marble</w:t>
            </w:r>
          </w:p>
          <w:p w:rsidR="00000000" w:rsidRPr="00743CF2" w:rsidP="00743CF2">
            <w:pPr>
              <w:pStyle w:val="ListBullet"/>
            </w:pPr>
            <w:r w:rsidRPr="00743CF2">
              <w:t>porcelain</w:t>
            </w:r>
          </w:p>
          <w:p w:rsidR="00000000" w:rsidRPr="00743CF2" w:rsidP="00743CF2">
            <w:pPr>
              <w:pStyle w:val="ListBullet"/>
            </w:pPr>
            <w:r w:rsidRPr="00743CF2">
              <w:t>stone</w:t>
            </w:r>
          </w:p>
          <w:p w:rsidR="00000000" w:rsidP="00743CF2">
            <w:pPr>
              <w:pStyle w:val="ListBullet"/>
              <w:rPr>
                <w:lang w:val="en-NZ"/>
              </w:rPr>
            </w:pPr>
            <w:r w:rsidRPr="00743CF2">
              <w:t>terracotta.</w:t>
            </w:r>
          </w:p>
        </w:tc>
      </w:tr>
      <w:tr w:rsidTr="00E11C56">
        <w:tblPrEx>
          <w:tblW w:w="0" w:type="auto"/>
          <w:tblLayout w:type="fixed"/>
          <w:tblCellMar>
            <w:left w:w="62" w:type="dxa"/>
            <w:right w:w="62" w:type="dxa"/>
          </w:tblCellMar>
          <w:tblLook w:val="0000"/>
        </w:tblPrEx>
        <w:tc>
          <w:tcPr>
            <w:tcW w:w="3487"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BoldandItalics"/>
              </w:rPr>
              <w:t>Surfaces</w:t>
            </w:r>
            <w:r w:rsidRPr="00743CF2">
              <w:t xml:space="preserve"> include:</w:t>
            </w:r>
          </w:p>
        </w:tc>
        <w:tc>
          <w:tcPr>
            <w:tcW w:w="5035" w:type="dxa"/>
            <w:tcBorders>
              <w:top w:val="nil"/>
              <w:left w:val="nil"/>
              <w:bottom w:val="nil"/>
              <w:right w:val="nil"/>
            </w:tcBorders>
            <w:tcMar>
              <w:top w:w="0" w:type="dxa"/>
              <w:left w:w="62" w:type="dxa"/>
              <w:bottom w:w="0" w:type="dxa"/>
              <w:right w:w="62" w:type="dxa"/>
            </w:tcMar>
          </w:tcPr>
          <w:p w:rsidR="00000000" w:rsidRPr="00743CF2" w:rsidP="00743CF2">
            <w:pPr>
              <w:pStyle w:val="ListBullet"/>
            </w:pPr>
            <w:r w:rsidRPr="00743CF2">
              <w:t>blockwork</w:t>
            </w:r>
          </w:p>
          <w:p w:rsidR="00000000" w:rsidRPr="00743CF2" w:rsidP="00743CF2">
            <w:pPr>
              <w:pStyle w:val="ListBullet"/>
            </w:pPr>
            <w:r w:rsidRPr="00743CF2">
              <w:t>brickwork</w:t>
            </w:r>
          </w:p>
          <w:p w:rsidR="00000000" w:rsidRPr="00743CF2" w:rsidP="00743CF2">
            <w:pPr>
              <w:pStyle w:val="ListBullet"/>
            </w:pPr>
            <w:r w:rsidRPr="00743CF2">
              <w:t>ceramic or fibro cement underlay</w:t>
            </w:r>
          </w:p>
          <w:p w:rsidR="00000000" w:rsidRPr="00743CF2" w:rsidP="00743CF2">
            <w:pPr>
              <w:pStyle w:val="ListBullet"/>
            </w:pPr>
            <w:r w:rsidRPr="00743CF2">
              <w:t>concrete walls</w:t>
            </w:r>
          </w:p>
          <w:p w:rsidR="00000000" w:rsidRPr="00743CF2" w:rsidP="00743CF2">
            <w:pPr>
              <w:pStyle w:val="ListBullet"/>
            </w:pPr>
            <w:r w:rsidRPr="00743CF2">
              <w:t>fibre cement sheet</w:t>
            </w:r>
          </w:p>
          <w:p w:rsidR="00000000" w:rsidRPr="00743CF2" w:rsidP="00743CF2">
            <w:pPr>
              <w:pStyle w:val="ListBullet"/>
            </w:pPr>
            <w:r w:rsidRPr="00743CF2">
              <w:t>rendered surfaces</w:t>
            </w:r>
          </w:p>
          <w:p w:rsidR="00000000" w:rsidRPr="00743CF2" w:rsidP="00743CF2">
            <w:pPr>
              <w:pStyle w:val="ListBullet"/>
            </w:pPr>
            <w:r w:rsidRPr="00743CF2">
              <w:t>timber</w:t>
            </w:r>
          </w:p>
          <w:p w:rsidR="00000000" w:rsidRPr="00743CF2" w:rsidP="00743CF2">
            <w:pPr>
              <w:pStyle w:val="ListBullet"/>
            </w:pPr>
            <w:r w:rsidRPr="00743CF2">
              <w:t>other approved waterproof surfaces.</w:t>
            </w:r>
          </w:p>
        </w:tc>
      </w:tr>
    </w:tbl>
    <w:p w:rsidR="00E11C56" w:rsidP="00743CF2">
      <w:pPr>
        <w:pStyle w:val="BodyText"/>
      </w:pPr>
    </w:p>
    <w:p w:rsidR="00E11C56" w:rsidP="00743CF2">
      <w:pPr>
        <w:pStyle w:val="BodyText"/>
      </w:pPr>
    </w:p>
    <w:p w:rsidR="00000000" w:rsidRPr="00743CF2" w:rsidP="00743CF2">
      <w:pPr>
        <w:pStyle w:val="Heading1"/>
      </w:pPr>
      <w:bookmarkStart w:id="12" w:name="O_199178"/>
      <w:bookmarkEnd w:id="12"/>
      <w:r w:rsidRPr="00743CF2">
        <w:t>Unit Sector(s)</w:t>
      </w:r>
    </w:p>
    <w:tbl>
      <w:tblPr>
        <w:tblW w:w="0" w:type="auto"/>
        <w:tblLayout w:type="fixed"/>
        <w:tblCellMar>
          <w:left w:w="62" w:type="dxa"/>
          <w:right w:w="62" w:type="dxa"/>
        </w:tblCellMar>
        <w:tblLook w:val="0000"/>
      </w:tblPr>
      <w:tblGrid>
        <w:gridCol w:w="2471"/>
        <w:gridCol w:w="6051"/>
      </w:tblGrid>
      <w:tr w:rsidTr="00E11C56">
        <w:tblPrEx>
          <w:tblW w:w="0" w:type="auto"/>
          <w:tblLayout w:type="fixed"/>
          <w:tblCellMar>
            <w:left w:w="62" w:type="dxa"/>
            <w:right w:w="62" w:type="dxa"/>
          </w:tblCellMar>
          <w:tblLook w:val="0000"/>
        </w:tblPrEx>
        <w:trPr>
          <w:tblHeader/>
        </w:trPr>
        <w:tc>
          <w:tcPr>
            <w:tcW w:w="2471"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Unit sector</w:t>
            </w:r>
          </w:p>
        </w:tc>
        <w:tc>
          <w:tcPr>
            <w:tcW w:w="6051" w:type="dxa"/>
            <w:tcBorders>
              <w:top w:val="nil"/>
              <w:left w:val="nil"/>
              <w:bottom w:val="nil"/>
              <w:right w:val="nil"/>
            </w:tcBorders>
            <w:tcMar>
              <w:top w:w="0" w:type="dxa"/>
              <w:left w:w="62" w:type="dxa"/>
              <w:bottom w:w="0" w:type="dxa"/>
              <w:right w:w="62" w:type="dxa"/>
            </w:tcMar>
          </w:tcPr>
          <w:p w:rsidR="00000000" w:rsidRPr="00743CF2" w:rsidP="00743CF2">
            <w:pPr>
              <w:pStyle w:val="BodyText"/>
            </w:pPr>
            <w:r w:rsidRPr="00743CF2">
              <w:t>Construction</w:t>
            </w:r>
          </w:p>
        </w:tc>
      </w:tr>
    </w:tbl>
    <w:p w:rsidR="00E11C56" w:rsidP="00743CF2">
      <w:pPr>
        <w:pStyle w:val="BodyText"/>
      </w:pPr>
    </w:p>
    <w:p w:rsidR="00E11C56" w:rsidP="00743CF2">
      <w:pPr>
        <w:pStyle w:val="BodyText"/>
      </w:pPr>
    </w:p>
    <w:p w:rsidR="00000000" w:rsidRPr="00743CF2" w:rsidP="00743CF2">
      <w:pPr>
        <w:pStyle w:val="Heading1"/>
      </w:pPr>
      <w:bookmarkStart w:id="13" w:name="O_199175"/>
      <w:bookmarkEnd w:id="13"/>
      <w:r w:rsidRPr="00743CF2">
        <w:t>Co-requisite units</w:t>
      </w:r>
    </w:p>
    <w:tbl>
      <w:tblPr>
        <w:tblW w:w="0" w:type="auto"/>
        <w:tblLayout w:type="fixed"/>
        <w:tblCellMar>
          <w:left w:w="62" w:type="dxa"/>
          <w:right w:w="62" w:type="dxa"/>
        </w:tblCellMar>
        <w:tblLook w:val="0000"/>
      </w:tblPr>
      <w:tblGrid>
        <w:gridCol w:w="2483"/>
        <w:gridCol w:w="2126"/>
        <w:gridCol w:w="3913"/>
      </w:tblGrid>
      <w:tr w:rsidTr="00E11C56">
        <w:tblPrEx>
          <w:tblW w:w="0" w:type="auto"/>
          <w:tblLayout w:type="fixed"/>
          <w:tblCellMar>
            <w:left w:w="62" w:type="dxa"/>
            <w:right w:w="62" w:type="dxa"/>
          </w:tblCellMar>
          <w:tblLook w:val="0000"/>
        </w:tblPrEx>
        <w:trPr>
          <w:tblHeader/>
        </w:trPr>
        <w:tc>
          <w:tcPr>
            <w:tcW w:w="2483"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Co-requisite units</w:t>
            </w:r>
          </w:p>
        </w:tc>
        <w:tc>
          <w:tcPr>
            <w:tcW w:w="6039" w:type="dxa"/>
            <w:gridSpan w:val="2"/>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t>Nil</w:t>
            </w:r>
          </w:p>
        </w:tc>
      </w:tr>
      <w:tr w:rsidTr="00E11C56">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p>
        </w:tc>
      </w:tr>
      <w:tr w:rsidTr="00E11C56">
        <w:tblPrEx>
          <w:tblW w:w="0" w:type="auto"/>
          <w:tblLayout w:type="fixed"/>
          <w:tblCellMar>
            <w:left w:w="62" w:type="dxa"/>
            <w:right w:w="62" w:type="dxa"/>
          </w:tblCellMar>
          <w:tblLook w:val="0000"/>
        </w:tblPrEx>
        <w:tc>
          <w:tcPr>
            <w:tcW w:w="24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913" w:type="dxa"/>
            <w:tcBorders>
              <w:top w:val="nil"/>
              <w:left w:val="nil"/>
              <w:bottom w:val="nil"/>
              <w:right w:val="nil"/>
            </w:tcBorders>
            <w:tcMar>
              <w:top w:w="0" w:type="dxa"/>
              <w:left w:w="62" w:type="dxa"/>
              <w:bottom w:w="0" w:type="dxa"/>
              <w:right w:w="62" w:type="dxa"/>
            </w:tcMar>
          </w:tcPr>
          <w:p w:rsidR="00000000" w:rsidRPr="00743CF2" w:rsidP="00743CF2">
            <w:pPr>
              <w:pStyle w:val="BodyText"/>
            </w:pPr>
          </w:p>
        </w:tc>
      </w:tr>
    </w:tbl>
    <w:p w:rsidR="00E11C56" w:rsidP="00743CF2">
      <w:pPr>
        <w:pStyle w:val="BodyText"/>
      </w:pPr>
    </w:p>
    <w:p w:rsidR="00E11C56" w:rsidP="00743CF2">
      <w:pPr>
        <w:pStyle w:val="BodyText"/>
      </w:pPr>
    </w:p>
    <w:p w:rsidR="00000000" w:rsidRPr="00743CF2" w:rsidP="00743CF2">
      <w:pPr>
        <w:pStyle w:val="Heading1"/>
      </w:pPr>
      <w:bookmarkStart w:id="14" w:name="O_199177"/>
      <w:bookmarkEnd w:id="14"/>
      <w:r w:rsidRPr="00743CF2">
        <w:t>Functional area</w:t>
      </w:r>
    </w:p>
    <w:tbl>
      <w:tblPr>
        <w:tblW w:w="0" w:type="auto"/>
        <w:tblLayout w:type="fixed"/>
        <w:tblCellMar>
          <w:left w:w="62" w:type="dxa"/>
          <w:right w:w="62" w:type="dxa"/>
        </w:tblCellMar>
        <w:tblLook w:val="0000"/>
      </w:tblPr>
      <w:tblGrid>
        <w:gridCol w:w="2572"/>
        <w:gridCol w:w="5950"/>
      </w:tblGrid>
      <w:tr w:rsidTr="00E11C56">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P="00743CF2">
            <w:pPr>
              <w:pStyle w:val="BodyText"/>
              <w:rPr>
                <w:lang w:val="en-NZ"/>
              </w:rPr>
            </w:pPr>
            <w:r w:rsidRPr="00743CF2">
              <w:rPr>
                <w:rStyle w:val="SpecialBold"/>
              </w:rPr>
              <w:t>Functional area</w:t>
            </w:r>
          </w:p>
        </w:tc>
        <w:tc>
          <w:tcPr>
            <w:tcW w:w="5950" w:type="dxa"/>
            <w:tcBorders>
              <w:top w:val="nil"/>
              <w:left w:val="nil"/>
              <w:bottom w:val="nil"/>
              <w:right w:val="nil"/>
            </w:tcBorders>
            <w:tcMar>
              <w:top w:w="0" w:type="dxa"/>
              <w:left w:w="62" w:type="dxa"/>
              <w:bottom w:w="0" w:type="dxa"/>
              <w:right w:w="62" w:type="dxa"/>
            </w:tcMar>
          </w:tcPr>
          <w:p w:rsidR="00000000" w:rsidRPr="00743CF2" w:rsidP="00743CF2">
            <w:pPr>
              <w:pStyle w:val="BodyText"/>
            </w:pPr>
          </w:p>
        </w:tc>
      </w:tr>
    </w:tbl>
    <w:p w:rsidR="00E11C56" w:rsidP="00743CF2">
      <w:pPr>
        <w:pStyle w:val="BodyText"/>
      </w:pPr>
    </w:p>
    <w:p w:rsidR="00E11C56" w:rsidP="00743CF2">
      <w:pPr>
        <w:pStyle w:val="BodyText"/>
      </w:pPr>
    </w:p>
    <w:p w:rsidR="00000000" w:rsidRPr="00743CF2" w:rsidP="00743CF2"/>
    <w:sectPr w:rsidSect="00743C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C56" w:rsidP="00E11C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56" w:rsidP="00743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11C56" w:rsidP="00743C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11C56" w:rsidP="00743C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1C56" w:rsidP="00E11C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C56" w:rsidP="00743CF2">
    <w:pPr>
      <w:pStyle w:val="Header"/>
      <w:framePr w:wrap="around"/>
    </w:pPr>
    <w:r>
      <w:fldChar w:fldCharType="begin"/>
    </w:r>
    <w:r>
      <w:instrText xml:space="preserve"> TITLE   \* MERGEFORMAT </w:instrText>
    </w:r>
    <w:r>
      <w:fldChar w:fldCharType="separate"/>
    </w:r>
    <w:r>
      <w:t>CPCCWF3001A Prepare surfaces for tiling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11C56" w:rsidP="00743C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CCE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C43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506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C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3CF2"/>
    <w:pPr>
      <w:spacing w:before="360" w:after="60"/>
      <w:outlineLvl w:val="0"/>
    </w:pPr>
    <w:rPr>
      <w:sz w:val="32"/>
    </w:rPr>
  </w:style>
  <w:style w:type="paragraph" w:styleId="Heading2">
    <w:name w:val="heading 2"/>
    <w:basedOn w:val="HeadingBase"/>
    <w:next w:val="BodyText"/>
    <w:link w:val="Heading2Char"/>
    <w:qFormat/>
    <w:rsid w:val="00743CF2"/>
    <w:pPr>
      <w:keepLines/>
      <w:spacing w:before="240" w:after="120"/>
      <w:outlineLvl w:val="1"/>
    </w:pPr>
    <w:rPr>
      <w:sz w:val="28"/>
      <w:szCs w:val="40"/>
    </w:rPr>
  </w:style>
  <w:style w:type="paragraph" w:styleId="Heading3">
    <w:name w:val="heading 3"/>
    <w:basedOn w:val="HeadingBase"/>
    <w:next w:val="BodyText"/>
    <w:link w:val="Heading3Char"/>
    <w:qFormat/>
    <w:rsid w:val="00743CF2"/>
    <w:pPr>
      <w:spacing w:before="180" w:after="120"/>
      <w:outlineLvl w:val="2"/>
    </w:pPr>
    <w:rPr>
      <w:spacing w:val="-10"/>
      <w:kern w:val="32"/>
    </w:rPr>
  </w:style>
  <w:style w:type="paragraph" w:styleId="Heading4">
    <w:name w:val="heading 4"/>
    <w:basedOn w:val="HeadingBase"/>
    <w:next w:val="BodyText"/>
    <w:link w:val="Heading4Char"/>
    <w:qFormat/>
    <w:rsid w:val="00743CF2"/>
    <w:pPr>
      <w:spacing w:before="160" w:after="120"/>
      <w:outlineLvl w:val="3"/>
    </w:pPr>
    <w:rPr>
      <w:sz w:val="22"/>
    </w:rPr>
  </w:style>
  <w:style w:type="paragraph" w:styleId="Heading5">
    <w:name w:val="heading 5"/>
    <w:basedOn w:val="HeadingBase"/>
    <w:next w:val="Normal"/>
    <w:link w:val="Heading5Char"/>
    <w:qFormat/>
    <w:rsid w:val="00743CF2"/>
    <w:pPr>
      <w:spacing w:before="80"/>
      <w:outlineLvl w:val="4"/>
    </w:pPr>
    <w:rPr>
      <w:color w:val="918585"/>
      <w:sz w:val="20"/>
    </w:rPr>
  </w:style>
  <w:style w:type="paragraph" w:styleId="Heading6">
    <w:name w:val="heading 6"/>
    <w:basedOn w:val="HeadingBase"/>
    <w:next w:val="Normal"/>
    <w:link w:val="Heading6Char"/>
    <w:qFormat/>
    <w:rsid w:val="00743CF2"/>
    <w:pPr>
      <w:spacing w:before="60"/>
      <w:outlineLvl w:val="5"/>
    </w:pPr>
    <w:rPr>
      <w:color w:val="918585"/>
      <w:sz w:val="20"/>
    </w:rPr>
  </w:style>
  <w:style w:type="paragraph" w:styleId="Heading7">
    <w:name w:val="heading 7"/>
    <w:basedOn w:val="Normal"/>
    <w:next w:val="Normal"/>
    <w:link w:val="Heading7Char"/>
    <w:qFormat/>
    <w:rsid w:val="00743CF2"/>
    <w:pPr>
      <w:ind w:left="720"/>
      <w:outlineLvl w:val="6"/>
    </w:pPr>
    <w:rPr>
      <w:i/>
    </w:rPr>
  </w:style>
  <w:style w:type="paragraph" w:styleId="Heading8">
    <w:name w:val="heading 8"/>
    <w:basedOn w:val="Normal"/>
    <w:next w:val="Normal"/>
    <w:link w:val="Heading8Char"/>
    <w:qFormat/>
    <w:rsid w:val="00743CF2"/>
    <w:pPr>
      <w:ind w:left="720"/>
      <w:outlineLvl w:val="7"/>
    </w:pPr>
    <w:rPr>
      <w:i/>
    </w:rPr>
  </w:style>
  <w:style w:type="paragraph" w:styleId="Heading9">
    <w:name w:val="heading 9"/>
    <w:basedOn w:val="Normal"/>
    <w:next w:val="Normal"/>
    <w:link w:val="Heading9Char"/>
    <w:qFormat/>
    <w:rsid w:val="00743CF2"/>
    <w:pPr>
      <w:ind w:left="720"/>
      <w:outlineLvl w:val="8"/>
    </w:pPr>
    <w:rPr>
      <w:i/>
    </w:rPr>
  </w:style>
  <w:style w:type="character" w:default="1" w:styleId="DefaultParagraphFont">
    <w:name w:val="Default Paragraph Font"/>
    <w:uiPriority w:val="1"/>
    <w:unhideWhenUsed/>
    <w:rsid w:val="00743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CF2"/>
  </w:style>
  <w:style w:type="character" w:customStyle="1" w:styleId="Heading1Char">
    <w:name w:val="Heading 1 Char"/>
    <w:basedOn w:val="DefaultParagraphFont"/>
    <w:link w:val="Heading1"/>
    <w:rsid w:val="00743CF2"/>
    <w:rPr>
      <w:rFonts w:ascii="Times New Roman" w:eastAsia="Times New Roman" w:hAnsi="Times New Roman" w:cs="Times New Roman"/>
      <w:b/>
      <w:sz w:val="32"/>
      <w:szCs w:val="20"/>
      <w:lang w:eastAsia="en-US"/>
    </w:rPr>
  </w:style>
  <w:style w:type="paragraph" w:styleId="BodyText">
    <w:name w:val="Body Text"/>
    <w:basedOn w:val="Normal"/>
    <w:link w:val="BodyTextChar"/>
    <w:rsid w:val="00743C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3CF2"/>
    <w:rPr>
      <w:rFonts w:ascii="Times New Roman" w:eastAsia="Times New Roman" w:hAnsi="Times New Roman" w:cs="Times New Roman"/>
      <w:sz w:val="24"/>
      <w:lang w:val="en-US" w:eastAsia="en-US"/>
    </w:rPr>
  </w:style>
  <w:style w:type="paragraph" w:styleId="Footer">
    <w:name w:val="footer"/>
    <w:basedOn w:val="Normal"/>
    <w:link w:val="FooterChar"/>
    <w:rsid w:val="00743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CF2"/>
    <w:rPr>
      <w:rFonts w:ascii="Times New Roman" w:eastAsia="Times New Roman" w:hAnsi="Times New Roman" w:cs="Times New Roman"/>
      <w:sz w:val="16"/>
      <w:lang w:val="en-US" w:eastAsia="en-US"/>
    </w:rPr>
  </w:style>
  <w:style w:type="paragraph" w:styleId="List">
    <w:name w:val="List"/>
    <w:basedOn w:val="BodyText"/>
    <w:next w:val="BodyText"/>
    <w:rsid w:val="00743CF2"/>
    <w:pPr>
      <w:tabs>
        <w:tab w:val="left" w:pos="340"/>
      </w:tabs>
      <w:spacing w:before="60" w:after="60"/>
      <w:ind w:left="340" w:hanging="340"/>
    </w:pPr>
  </w:style>
  <w:style w:type="paragraph" w:styleId="ListBullet">
    <w:name w:val="List Bullet"/>
    <w:basedOn w:val="List"/>
    <w:rsid w:val="00743CF2"/>
    <w:pPr>
      <w:numPr>
        <w:numId w:val="14"/>
      </w:numPr>
      <w:tabs>
        <w:tab w:val="clear" w:pos="340"/>
      </w:tabs>
      <w:spacing w:before="40" w:after="40"/>
    </w:pPr>
  </w:style>
  <w:style w:type="character" w:customStyle="1" w:styleId="SpecialBold">
    <w:name w:val="Special Bold"/>
    <w:basedOn w:val="DefaultParagraphFont"/>
    <w:rsid w:val="00743CF2"/>
    <w:rPr>
      <w:b/>
      <w:spacing w:val="0"/>
    </w:rPr>
  </w:style>
  <w:style w:type="paragraph" w:styleId="ListBullet2">
    <w:name w:val="List Bullet 2"/>
    <w:basedOn w:val="List2"/>
    <w:rsid w:val="00743CF2"/>
    <w:pPr>
      <w:numPr>
        <w:numId w:val="15"/>
      </w:numPr>
      <w:tabs>
        <w:tab w:val="clear" w:pos="680"/>
      </w:tabs>
    </w:pPr>
  </w:style>
  <w:style w:type="paragraph" w:styleId="Header">
    <w:name w:val="header"/>
    <w:basedOn w:val="Normal"/>
    <w:link w:val="HeaderChar"/>
    <w:rsid w:val="00743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C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3CF2"/>
    <w:pPr>
      <w:spacing w:before="240" w:after="120"/>
      <w:outlineLvl w:val="0"/>
    </w:pPr>
    <w:rPr>
      <w:rFonts w:ascii="Times New Roman" w:hAnsi="Times New Roman"/>
      <w:b/>
      <w:sz w:val="28"/>
    </w:rPr>
  </w:style>
  <w:style w:type="paragraph" w:customStyle="1" w:styleId="AllowPageBreak">
    <w:name w:val="AllowPageBreak"/>
    <w:rsid w:val="00743C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3CF2"/>
    <w:pPr>
      <w:tabs>
        <w:tab w:val="left" w:pos="680"/>
      </w:tabs>
      <w:spacing w:before="60" w:after="60"/>
      <w:ind w:left="680" w:hanging="340"/>
    </w:pPr>
  </w:style>
  <w:style w:type="paragraph" w:styleId="ListBullet3">
    <w:name w:val="List Bullet 3"/>
    <w:basedOn w:val="List3"/>
    <w:rsid w:val="00743CF2"/>
    <w:pPr>
      <w:numPr>
        <w:numId w:val="3"/>
      </w:numPr>
      <w:tabs>
        <w:tab w:val="clear" w:pos="1021"/>
      </w:tabs>
      <w:ind w:left="1037" w:hanging="357"/>
    </w:pPr>
  </w:style>
  <w:style w:type="character" w:customStyle="1" w:styleId="BoldandItalics">
    <w:name w:val="Bold and Italics"/>
    <w:qFormat/>
    <w:rsid w:val="00743CF2"/>
    <w:rPr>
      <w:b/>
      <w:i/>
      <w:u w:val="none"/>
    </w:rPr>
  </w:style>
  <w:style w:type="character" w:customStyle="1" w:styleId="Heading2Char">
    <w:name w:val="Heading 2 Char"/>
    <w:basedOn w:val="DefaultParagraphFont"/>
    <w:link w:val="Heading2"/>
    <w:rsid w:val="00743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C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3C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3CF2"/>
    <w:rPr>
      <w:rFonts w:ascii="Courier New" w:eastAsia="Times New Roman" w:hAnsi="Courier New" w:cs="Times New Roman"/>
      <w:i/>
      <w:szCs w:val="20"/>
      <w:lang w:val="en-US" w:eastAsia="en-US"/>
    </w:rPr>
  </w:style>
  <w:style w:type="paragraph" w:customStyle="1" w:styleId="HeadingBase">
    <w:name w:val="Heading Base"/>
    <w:rsid w:val="00743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CF2"/>
    <w:pPr>
      <w:tabs>
        <w:tab w:val="right" w:leader="dot" w:pos="9072"/>
      </w:tabs>
      <w:ind w:left="567"/>
    </w:pPr>
    <w:rPr>
      <w:szCs w:val="22"/>
    </w:rPr>
  </w:style>
  <w:style w:type="paragraph" w:customStyle="1" w:styleId="TOCBase">
    <w:name w:val="TOC Base"/>
    <w:rsid w:val="00743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CF2"/>
    <w:pPr>
      <w:tabs>
        <w:tab w:val="right" w:leader="dot" w:pos="9072"/>
      </w:tabs>
      <w:spacing w:before="40" w:after="40"/>
      <w:ind w:left="284"/>
    </w:pPr>
    <w:rPr>
      <w:rFonts w:ascii="Times New Roman" w:hAnsi="Times New Roman"/>
    </w:rPr>
  </w:style>
  <w:style w:type="paragraph" w:styleId="TOC1">
    <w:name w:val="toc 1"/>
    <w:basedOn w:val="TOCBase"/>
    <w:next w:val="Normal"/>
    <w:rsid w:val="00743C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3CF2"/>
    <w:pPr>
      <w:spacing w:before="5040"/>
      <w:jc w:val="center"/>
    </w:pPr>
    <w:rPr>
      <w:sz w:val="48"/>
      <w:szCs w:val="72"/>
      <w:lang w:val="en-US"/>
    </w:rPr>
  </w:style>
  <w:style w:type="character" w:customStyle="1" w:styleId="TitleChar">
    <w:name w:val="Title Char"/>
    <w:basedOn w:val="DefaultParagraphFont"/>
    <w:link w:val="Title"/>
    <w:rsid w:val="00743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CF2"/>
    <w:pPr>
      <w:tabs>
        <w:tab w:val="left" w:pos="3600"/>
        <w:tab w:val="left" w:pos="3958"/>
      </w:tabs>
    </w:pPr>
  </w:style>
  <w:style w:type="paragraph" w:customStyle="1" w:styleId="Note">
    <w:name w:val="Note"/>
    <w:basedOn w:val="BodyText"/>
    <w:rsid w:val="00743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CF2"/>
    <w:pPr>
      <w:framePr w:wrap="auto" w:hAnchor="text" w:y="6049"/>
    </w:pPr>
    <w:rPr>
      <w:color w:val="000000"/>
      <w:sz w:val="40"/>
    </w:rPr>
  </w:style>
  <w:style w:type="paragraph" w:customStyle="1" w:styleId="TOCTitle">
    <w:name w:val="TOCTitle"/>
    <w:basedOn w:val="Heading1"/>
    <w:rsid w:val="00743CF2"/>
    <w:pPr>
      <w:spacing w:after="240"/>
      <w:jc w:val="center"/>
      <w:outlineLvl w:val="9"/>
    </w:pPr>
    <w:rPr>
      <w:caps/>
    </w:rPr>
  </w:style>
  <w:style w:type="paragraph" w:customStyle="1" w:styleId="Version">
    <w:name w:val="Version"/>
    <w:rsid w:val="00743C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3CF2"/>
    <w:pPr>
      <w:keepNext w:val="0"/>
      <w:tabs>
        <w:tab w:val="right" w:pos="4176"/>
      </w:tabs>
      <w:ind w:left="198" w:hanging="198"/>
    </w:pPr>
    <w:rPr>
      <w:rFonts w:ascii="Garamond" w:hAnsi="Garamond"/>
    </w:rPr>
  </w:style>
  <w:style w:type="paragraph" w:styleId="IndexHeading">
    <w:name w:val="index heading"/>
    <w:basedOn w:val="Normal"/>
    <w:next w:val="Index1"/>
    <w:semiHidden/>
    <w:rsid w:val="00743CF2"/>
    <w:pPr>
      <w:spacing w:before="120" w:after="120"/>
    </w:pPr>
    <w:rPr>
      <w:rFonts w:ascii="Arial" w:hAnsi="Arial"/>
      <w:b/>
      <w:color w:val="918585"/>
      <w:sz w:val="24"/>
    </w:rPr>
  </w:style>
  <w:style w:type="paragraph" w:customStyle="1" w:styleId="Chapter">
    <w:name w:val="Chapter"/>
    <w:basedOn w:val="Normal"/>
    <w:rsid w:val="00743CF2"/>
    <w:pPr>
      <w:spacing w:before="240"/>
    </w:pPr>
    <w:rPr>
      <w:rFonts w:ascii="Times New Roman" w:hAnsi="Times New Roman"/>
      <w:smallCaps/>
      <w:spacing w:val="80"/>
      <w:sz w:val="28"/>
    </w:rPr>
  </w:style>
  <w:style w:type="paragraph" w:customStyle="1" w:styleId="InChapter">
    <w:name w:val="InChapter"/>
    <w:basedOn w:val="Heading3"/>
    <w:rsid w:val="00743CF2"/>
    <w:pPr>
      <w:spacing w:after="240"/>
      <w:outlineLvl w:val="9"/>
    </w:pPr>
    <w:rPr>
      <w:noProof/>
    </w:rPr>
  </w:style>
  <w:style w:type="paragraph" w:styleId="Index2">
    <w:name w:val="index 2"/>
    <w:basedOn w:val="Normal"/>
    <w:next w:val="Normal"/>
    <w:semiHidden/>
    <w:rsid w:val="00743CF2"/>
    <w:pPr>
      <w:tabs>
        <w:tab w:val="right" w:pos="4176"/>
      </w:tabs>
      <w:ind w:left="568" w:hanging="284"/>
    </w:pPr>
    <w:rPr>
      <w:rFonts w:ascii="Garamond" w:hAnsi="Garamond"/>
    </w:rPr>
  </w:style>
  <w:style w:type="paragraph" w:customStyle="1" w:styleId="Byline">
    <w:name w:val="Byline"/>
    <w:rsid w:val="00743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CF2"/>
    <w:pPr>
      <w:tabs>
        <w:tab w:val="clear" w:pos="3600"/>
        <w:tab w:val="clear" w:pos="3958"/>
      </w:tabs>
      <w:jc w:val="right"/>
    </w:pPr>
  </w:style>
  <w:style w:type="character" w:styleId="Emphasis">
    <w:name w:val="Emphasis"/>
    <w:basedOn w:val="DefaultParagraphFont"/>
    <w:qFormat/>
    <w:rsid w:val="00743CF2"/>
    <w:rPr>
      <w:i/>
    </w:rPr>
  </w:style>
  <w:style w:type="paragraph" w:styleId="Caption">
    <w:name w:val="caption"/>
    <w:basedOn w:val="BodyText"/>
    <w:next w:val="Normal"/>
    <w:qFormat/>
    <w:rsid w:val="00743CF2"/>
    <w:pPr>
      <w:framePr w:w="2268" w:hSpace="181" w:vSpace="181" w:wrap="around" w:vAnchor="text" w:hAnchor="page" w:x="1135" w:y="285" w:anchorLock="1"/>
    </w:pPr>
    <w:rPr>
      <w:i/>
    </w:rPr>
  </w:style>
  <w:style w:type="paragraph" w:customStyle="1" w:styleId="MiniTOCTitle">
    <w:name w:val="MiniTOCTitle"/>
    <w:basedOn w:val="Heading4"/>
    <w:rsid w:val="00743CF2"/>
    <w:pPr>
      <w:spacing w:before="240"/>
      <w:outlineLvl w:val="9"/>
    </w:pPr>
    <w:rPr>
      <w:noProof/>
      <w:sz w:val="24"/>
    </w:rPr>
  </w:style>
  <w:style w:type="paragraph" w:customStyle="1" w:styleId="MiniTOCItem">
    <w:name w:val="MiniTOCItem"/>
    <w:basedOn w:val="ListBullet"/>
    <w:rsid w:val="00743CF2"/>
    <w:pPr>
      <w:numPr>
        <w:numId w:val="0"/>
      </w:numPr>
      <w:tabs>
        <w:tab w:val="right" w:leader="dot" w:pos="6521"/>
      </w:tabs>
      <w:spacing w:before="0" w:after="0"/>
    </w:pPr>
  </w:style>
  <w:style w:type="paragraph" w:customStyle="1" w:styleId="TOFTitle">
    <w:name w:val="TOFTitle"/>
    <w:basedOn w:val="TOCTitle"/>
    <w:rsid w:val="00743CF2"/>
  </w:style>
  <w:style w:type="paragraph" w:styleId="TableofFigures">
    <w:name w:val="table of figures"/>
    <w:basedOn w:val="Normal"/>
    <w:next w:val="Normal"/>
    <w:semiHidden/>
    <w:rsid w:val="00743CF2"/>
    <w:pPr>
      <w:tabs>
        <w:tab w:val="right" w:leader="dot" w:pos="9072"/>
      </w:tabs>
      <w:ind w:left="970" w:hanging="403"/>
    </w:pPr>
    <w:rPr>
      <w:rFonts w:ascii="Times New Roman" w:hAnsi="Times New Roman"/>
      <w:b/>
    </w:rPr>
  </w:style>
  <w:style w:type="paragraph" w:styleId="ListNumber">
    <w:name w:val="List Number"/>
    <w:basedOn w:val="List"/>
    <w:rsid w:val="00743CF2"/>
    <w:pPr>
      <w:numPr>
        <w:numId w:val="12"/>
      </w:numPr>
    </w:pPr>
  </w:style>
  <w:style w:type="character" w:customStyle="1" w:styleId="WingdingSymbols">
    <w:name w:val="Wingding Symbols"/>
    <w:rsid w:val="00743CF2"/>
    <w:rPr>
      <w:rFonts w:ascii="Wingdings" w:hAnsi="Wingdings"/>
    </w:rPr>
  </w:style>
  <w:style w:type="paragraph" w:customStyle="1" w:styleId="TableHeading">
    <w:name w:val="Table Heading"/>
    <w:basedOn w:val="HeadingBase"/>
    <w:rsid w:val="00743CF2"/>
    <w:pPr>
      <w:keepLines/>
      <w:pBdr>
        <w:bottom w:val="single" w:sz="6" w:space="1" w:color="918585"/>
      </w:pBdr>
      <w:spacing w:before="240"/>
    </w:pPr>
  </w:style>
  <w:style w:type="character" w:customStyle="1" w:styleId="HotSpot">
    <w:name w:val="HotSpot"/>
    <w:rsid w:val="00743CF2"/>
    <w:rPr>
      <w:color w:val="0033CC"/>
      <w:u w:val="none"/>
    </w:rPr>
  </w:style>
  <w:style w:type="paragraph" w:customStyle="1" w:styleId="BodyTextRight">
    <w:name w:val="Body Text Right"/>
    <w:basedOn w:val="BodyText"/>
    <w:rsid w:val="00743CF2"/>
    <w:pPr>
      <w:spacing w:before="0" w:after="0"/>
      <w:jc w:val="right"/>
    </w:pPr>
  </w:style>
  <w:style w:type="paragraph" w:styleId="Index3">
    <w:name w:val="index 3"/>
    <w:basedOn w:val="ListNumber2"/>
    <w:next w:val="Normal"/>
    <w:semiHidden/>
    <w:rsid w:val="00743CF2"/>
    <w:pPr>
      <w:numPr>
        <w:numId w:val="0"/>
      </w:numPr>
      <w:tabs>
        <w:tab w:val="right" w:leader="dot" w:pos="4176"/>
      </w:tabs>
    </w:pPr>
  </w:style>
  <w:style w:type="paragraph" w:styleId="ListNumber2">
    <w:name w:val="List Number 2"/>
    <w:basedOn w:val="List2"/>
    <w:rsid w:val="00743CF2"/>
    <w:pPr>
      <w:numPr>
        <w:numId w:val="11"/>
      </w:numPr>
      <w:tabs>
        <w:tab w:val="clear" w:pos="1060"/>
      </w:tabs>
    </w:pPr>
  </w:style>
  <w:style w:type="paragraph" w:customStyle="1" w:styleId="MarginNote">
    <w:name w:val="Margin Note"/>
    <w:basedOn w:val="BodyText"/>
    <w:rsid w:val="00743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C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3CF2"/>
    <w:rPr>
      <w:sz w:val="32"/>
    </w:rPr>
  </w:style>
  <w:style w:type="paragraph" w:customStyle="1" w:styleId="HeadingProcedure">
    <w:name w:val="Heading Procedure"/>
    <w:basedOn w:val="HeadingBase"/>
    <w:next w:val="Normal"/>
    <w:rsid w:val="00743CF2"/>
    <w:pPr>
      <w:tabs>
        <w:tab w:val="left" w:pos="0"/>
      </w:tabs>
      <w:spacing w:before="120" w:after="60"/>
    </w:pPr>
    <w:rPr>
      <w:i/>
      <w:color w:val="918585"/>
      <w:sz w:val="22"/>
    </w:rPr>
  </w:style>
  <w:style w:type="paragraph" w:customStyle="1" w:styleId="TableBodyText">
    <w:name w:val="Table Body Text"/>
    <w:basedOn w:val="BodyText"/>
    <w:rsid w:val="00743CF2"/>
    <w:pPr>
      <w:spacing w:before="60" w:after="60"/>
    </w:pPr>
  </w:style>
  <w:style w:type="paragraph" w:styleId="ListContinue">
    <w:name w:val="List Continue"/>
    <w:basedOn w:val="List"/>
    <w:rsid w:val="00743CF2"/>
    <w:pPr>
      <w:ind w:firstLine="0"/>
    </w:pPr>
  </w:style>
  <w:style w:type="paragraph" w:customStyle="1" w:styleId="ListNote">
    <w:name w:val="List Note"/>
    <w:basedOn w:val="List"/>
    <w:rsid w:val="00743CF2"/>
    <w:pPr>
      <w:pBdr>
        <w:top w:val="single" w:sz="6" w:space="2" w:color="918585"/>
        <w:bottom w:val="single" w:sz="6" w:space="2" w:color="918585"/>
      </w:pBdr>
      <w:tabs>
        <w:tab w:val="left" w:pos="1021"/>
      </w:tabs>
      <w:ind w:firstLine="0"/>
    </w:pPr>
  </w:style>
  <w:style w:type="paragraph" w:customStyle="1" w:styleId="Warning">
    <w:name w:val="Warning"/>
    <w:basedOn w:val="BodyText"/>
    <w:rsid w:val="00743CF2"/>
    <w:pPr>
      <w:shd w:val="clear" w:color="auto" w:fill="D9D9D9"/>
      <w:tabs>
        <w:tab w:val="left" w:pos="992"/>
      </w:tabs>
      <w:ind w:left="119" w:right="119"/>
    </w:pPr>
    <w:rPr>
      <w:sz w:val="20"/>
    </w:rPr>
  </w:style>
  <w:style w:type="paragraph" w:customStyle="1" w:styleId="MarginIcons">
    <w:name w:val="Margin Icons"/>
    <w:basedOn w:val="BodyText"/>
    <w:rsid w:val="00743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CF2"/>
    <w:rPr>
      <w:rFonts w:ascii="Courier New" w:hAnsi="Courier New"/>
    </w:rPr>
  </w:style>
  <w:style w:type="paragraph" w:customStyle="1" w:styleId="NoteBullet">
    <w:name w:val="Note Bullet"/>
    <w:basedOn w:val="Note"/>
    <w:rsid w:val="00743CF2"/>
    <w:pPr>
      <w:tabs>
        <w:tab w:val="clear" w:pos="680"/>
      </w:tabs>
      <w:spacing w:before="60" w:after="60"/>
    </w:pPr>
  </w:style>
  <w:style w:type="paragraph" w:customStyle="1" w:styleId="SubHeading2">
    <w:name w:val="SubHeading2"/>
    <w:basedOn w:val="HeadingBase"/>
    <w:rsid w:val="00743CF2"/>
    <w:pPr>
      <w:spacing w:before="240" w:after="60"/>
    </w:pPr>
    <w:rPr>
      <w:sz w:val="20"/>
    </w:rPr>
  </w:style>
  <w:style w:type="paragraph" w:customStyle="1" w:styleId="SubHeading1">
    <w:name w:val="SubHeading1"/>
    <w:basedOn w:val="HeadingBase"/>
    <w:rsid w:val="00743CF2"/>
    <w:pPr>
      <w:spacing w:before="240" w:after="60"/>
    </w:pPr>
    <w:rPr>
      <w:color w:val="918585"/>
      <w:sz w:val="22"/>
    </w:rPr>
  </w:style>
  <w:style w:type="paragraph" w:customStyle="1" w:styleId="SideHeading">
    <w:name w:val="Side Heading"/>
    <w:basedOn w:val="HeadingBase"/>
    <w:rsid w:val="00743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CF2"/>
    <w:pPr>
      <w:numPr>
        <w:numId w:val="13"/>
      </w:numPr>
    </w:pPr>
  </w:style>
  <w:style w:type="paragraph" w:styleId="PlainText">
    <w:name w:val="Plain Text"/>
    <w:basedOn w:val="Normal"/>
    <w:link w:val="PlainTextChar"/>
    <w:rsid w:val="00743CF2"/>
    <w:rPr>
      <w:sz w:val="20"/>
    </w:rPr>
  </w:style>
  <w:style w:type="character" w:customStyle="1" w:styleId="PlainTextChar">
    <w:name w:val="Plain Text Char"/>
    <w:basedOn w:val="DefaultParagraphFont"/>
    <w:link w:val="PlainText"/>
    <w:rsid w:val="00743C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3CF2"/>
    <w:rPr>
      <w:b/>
      <w:smallCaps/>
    </w:rPr>
  </w:style>
  <w:style w:type="paragraph" w:customStyle="1" w:styleId="TableListNumber">
    <w:name w:val="Table List Number"/>
    <w:basedOn w:val="ListNumber"/>
    <w:rsid w:val="00743CF2"/>
    <w:pPr>
      <w:numPr>
        <w:numId w:val="0"/>
      </w:numPr>
    </w:pPr>
  </w:style>
  <w:style w:type="paragraph" w:styleId="TOC4">
    <w:name w:val="toc 4"/>
    <w:basedOn w:val="TOCBase"/>
    <w:next w:val="Normal"/>
    <w:semiHidden/>
    <w:rsid w:val="00743CF2"/>
    <w:pPr>
      <w:tabs>
        <w:tab w:val="right" w:leader="dot" w:pos="9071"/>
      </w:tabs>
      <w:ind w:left="1701"/>
    </w:pPr>
  </w:style>
  <w:style w:type="paragraph" w:customStyle="1" w:styleId="ListAlpha">
    <w:name w:val="List Alpha"/>
    <w:basedOn w:val="List"/>
    <w:rsid w:val="00743CF2"/>
    <w:pPr>
      <w:numPr>
        <w:numId w:val="10"/>
      </w:numPr>
    </w:pPr>
  </w:style>
  <w:style w:type="paragraph" w:customStyle="1" w:styleId="ListAlpha2">
    <w:name w:val="List Alpha 2"/>
    <w:basedOn w:val="List2"/>
    <w:rsid w:val="00743CF2"/>
    <w:pPr>
      <w:numPr>
        <w:numId w:val="9"/>
      </w:numPr>
    </w:pPr>
  </w:style>
  <w:style w:type="paragraph" w:styleId="List3">
    <w:name w:val="List 3"/>
    <w:basedOn w:val="BodyText"/>
    <w:rsid w:val="00743CF2"/>
    <w:pPr>
      <w:tabs>
        <w:tab w:val="left" w:pos="1021"/>
      </w:tabs>
      <w:spacing w:before="60" w:after="60"/>
      <w:ind w:left="1020" w:hanging="340"/>
    </w:pPr>
  </w:style>
  <w:style w:type="paragraph" w:styleId="List4">
    <w:name w:val="List 4"/>
    <w:basedOn w:val="BodyText"/>
    <w:rsid w:val="00743CF2"/>
    <w:pPr>
      <w:tabs>
        <w:tab w:val="left" w:pos="1361"/>
      </w:tabs>
      <w:spacing w:before="60" w:after="60"/>
      <w:ind w:left="1361" w:hanging="340"/>
    </w:pPr>
  </w:style>
  <w:style w:type="paragraph" w:styleId="List5">
    <w:name w:val="List 5"/>
    <w:basedOn w:val="BodyText"/>
    <w:rsid w:val="00743CF2"/>
    <w:pPr>
      <w:tabs>
        <w:tab w:val="left" w:pos="1701"/>
      </w:tabs>
      <w:spacing w:before="60" w:after="60"/>
      <w:ind w:left="1701" w:hanging="340"/>
    </w:pPr>
  </w:style>
  <w:style w:type="paragraph" w:styleId="ListBullet4">
    <w:name w:val="List Bullet 4"/>
    <w:basedOn w:val="List4"/>
    <w:rsid w:val="00743CF2"/>
    <w:pPr>
      <w:numPr>
        <w:numId w:val="4"/>
      </w:numPr>
    </w:pPr>
  </w:style>
  <w:style w:type="paragraph" w:styleId="ListBullet5">
    <w:name w:val="List Bullet 5"/>
    <w:basedOn w:val="List5"/>
    <w:rsid w:val="00743CF2"/>
    <w:pPr>
      <w:numPr>
        <w:numId w:val="5"/>
      </w:numPr>
    </w:pPr>
  </w:style>
  <w:style w:type="paragraph" w:styleId="ListContinue2">
    <w:name w:val="List Continue 2"/>
    <w:basedOn w:val="List2"/>
    <w:rsid w:val="00743CF2"/>
    <w:pPr>
      <w:ind w:firstLine="0"/>
    </w:pPr>
  </w:style>
  <w:style w:type="paragraph" w:styleId="ListContinue3">
    <w:name w:val="List Continue 3"/>
    <w:basedOn w:val="List3"/>
    <w:rsid w:val="00743CF2"/>
    <w:pPr>
      <w:ind w:left="1021" w:firstLine="0"/>
    </w:pPr>
  </w:style>
  <w:style w:type="paragraph" w:styleId="ListContinue4">
    <w:name w:val="List Continue 4"/>
    <w:basedOn w:val="List4"/>
    <w:rsid w:val="00743CF2"/>
    <w:pPr>
      <w:ind w:firstLine="0"/>
    </w:pPr>
  </w:style>
  <w:style w:type="paragraph" w:styleId="ListContinue5">
    <w:name w:val="List Continue 5"/>
    <w:basedOn w:val="List5"/>
    <w:rsid w:val="00743CF2"/>
    <w:pPr>
      <w:ind w:firstLine="0"/>
    </w:pPr>
  </w:style>
  <w:style w:type="paragraph" w:styleId="ListNumber3">
    <w:name w:val="List Number 3"/>
    <w:basedOn w:val="List3"/>
    <w:rsid w:val="00743CF2"/>
    <w:pPr>
      <w:numPr>
        <w:numId w:val="6"/>
      </w:numPr>
    </w:pPr>
  </w:style>
  <w:style w:type="paragraph" w:styleId="ListNumber4">
    <w:name w:val="List Number 4"/>
    <w:basedOn w:val="List4"/>
    <w:rsid w:val="00743CF2"/>
    <w:pPr>
      <w:numPr>
        <w:numId w:val="7"/>
      </w:numPr>
    </w:pPr>
  </w:style>
  <w:style w:type="paragraph" w:styleId="ListNumber5">
    <w:name w:val="List Number 5"/>
    <w:basedOn w:val="List5"/>
    <w:rsid w:val="00743CF2"/>
    <w:pPr>
      <w:numPr>
        <w:numId w:val="8"/>
      </w:numPr>
    </w:pPr>
  </w:style>
  <w:style w:type="paragraph" w:styleId="BlockText">
    <w:name w:val="Block Text"/>
    <w:basedOn w:val="Normal"/>
    <w:rsid w:val="00743CF2"/>
    <w:pPr>
      <w:spacing w:after="120"/>
      <w:ind w:left="1440" w:right="1440"/>
    </w:pPr>
  </w:style>
  <w:style w:type="character" w:customStyle="1" w:styleId="Subscript">
    <w:name w:val="Subscript"/>
    <w:basedOn w:val="DefaultParagraphFont"/>
    <w:rsid w:val="00743CF2"/>
    <w:rPr>
      <w:sz w:val="16"/>
      <w:vertAlign w:val="subscript"/>
    </w:rPr>
  </w:style>
  <w:style w:type="character" w:customStyle="1" w:styleId="Superscript">
    <w:name w:val="Superscript"/>
    <w:basedOn w:val="DefaultParagraphFont"/>
    <w:rsid w:val="00743CF2"/>
    <w:rPr>
      <w:sz w:val="16"/>
      <w:vertAlign w:val="superscript"/>
    </w:rPr>
  </w:style>
  <w:style w:type="character" w:customStyle="1" w:styleId="Symbols">
    <w:name w:val="Symbols"/>
    <w:basedOn w:val="DefaultParagraphFont"/>
    <w:rsid w:val="00743CF2"/>
    <w:rPr>
      <w:rFonts w:ascii="Symbol" w:hAnsi="Symbol"/>
    </w:rPr>
  </w:style>
  <w:style w:type="character" w:customStyle="1" w:styleId="MenuOptions">
    <w:name w:val="Menu Options"/>
    <w:basedOn w:val="DefaultParagraphFont"/>
    <w:rsid w:val="00743CF2"/>
    <w:rPr>
      <w:rFonts w:ascii="Arial Narrow" w:hAnsi="Arial Narrow"/>
      <w:smallCaps/>
    </w:rPr>
  </w:style>
  <w:style w:type="character" w:customStyle="1" w:styleId="Buttons">
    <w:name w:val="Buttons"/>
    <w:basedOn w:val="DefaultParagraphFont"/>
    <w:rsid w:val="00743CF2"/>
    <w:rPr>
      <w:b/>
    </w:rPr>
  </w:style>
  <w:style w:type="character" w:customStyle="1" w:styleId="Underlined">
    <w:name w:val="Underlined"/>
    <w:basedOn w:val="DefaultParagraphFont"/>
    <w:rsid w:val="00743CF2"/>
    <w:rPr>
      <w:u w:val="single"/>
    </w:rPr>
  </w:style>
  <w:style w:type="paragraph" w:customStyle="1" w:styleId="TableBodyTextRight">
    <w:name w:val="Table Body Text Right"/>
    <w:basedOn w:val="TableBodyText"/>
    <w:rsid w:val="00743CF2"/>
    <w:pPr>
      <w:widowControl w:val="0"/>
      <w:autoSpaceDE w:val="0"/>
      <w:autoSpaceDN w:val="0"/>
      <w:adjustRightInd w:val="0"/>
      <w:jc w:val="right"/>
    </w:pPr>
    <w:rPr>
      <w:rFonts w:cs="Arial"/>
      <w:szCs w:val="18"/>
    </w:rPr>
  </w:style>
  <w:style w:type="paragraph" w:customStyle="1" w:styleId="CopyrightText">
    <w:name w:val="Copyright Text"/>
    <w:basedOn w:val="BodyText"/>
    <w:rsid w:val="00743CF2"/>
    <w:rPr>
      <w:sz w:val="18"/>
    </w:rPr>
  </w:style>
  <w:style w:type="paragraph" w:customStyle="1" w:styleId="BodySmallRight">
    <w:name w:val="Body Small Right"/>
    <w:basedOn w:val="BodyTextRight"/>
    <w:rsid w:val="00743CF2"/>
    <w:rPr>
      <w:sz w:val="18"/>
      <w:szCs w:val="18"/>
    </w:rPr>
  </w:style>
  <w:style w:type="paragraph" w:customStyle="1" w:styleId="MarginEdition">
    <w:name w:val="Margin Edition"/>
    <w:basedOn w:val="MarginNote"/>
    <w:rsid w:val="00743CF2"/>
    <w:pPr>
      <w:spacing w:before="0" w:after="0"/>
    </w:pPr>
    <w:rPr>
      <w:rFonts w:ascii="Times New Roman" w:hAnsi="Times New Roman"/>
      <w:color w:val="999999"/>
    </w:rPr>
  </w:style>
  <w:style w:type="paragraph" w:customStyle="1" w:styleId="Spacer">
    <w:name w:val="Spacer"/>
    <w:basedOn w:val="Normal"/>
    <w:rsid w:val="00743CF2"/>
    <w:rPr>
      <w:sz w:val="2"/>
      <w:szCs w:val="2"/>
    </w:rPr>
  </w:style>
  <w:style w:type="character" w:customStyle="1" w:styleId="Small">
    <w:name w:val="Small"/>
    <w:basedOn w:val="DefaultParagraphFont"/>
    <w:rsid w:val="00743CF2"/>
    <w:rPr>
      <w:sz w:val="16"/>
    </w:rPr>
  </w:style>
  <w:style w:type="paragraph" w:customStyle="1" w:styleId="WideTable">
    <w:name w:val="Wide Table"/>
    <w:basedOn w:val="Normal"/>
    <w:rsid w:val="00743CF2"/>
    <w:pPr>
      <w:ind w:left="-1418"/>
    </w:pPr>
    <w:rPr>
      <w:sz w:val="2"/>
      <w:szCs w:val="2"/>
    </w:rPr>
  </w:style>
  <w:style w:type="character" w:styleId="PageNumber">
    <w:name w:val="page number"/>
    <w:basedOn w:val="DefaultParagraphFont"/>
    <w:rsid w:val="00743CF2"/>
  </w:style>
  <w:style w:type="paragraph" w:styleId="Quote">
    <w:name w:val="Quote"/>
    <w:basedOn w:val="Heading1"/>
    <w:link w:val="QuoteChar"/>
    <w:qFormat/>
    <w:rsid w:val="00743CF2"/>
    <w:rPr>
      <w:b w:val="0"/>
      <w:sz w:val="72"/>
      <w:szCs w:val="72"/>
      <w:lang w:val="en-NZ"/>
    </w:rPr>
  </w:style>
  <w:style w:type="character" w:customStyle="1" w:styleId="QuoteChar">
    <w:name w:val="Quote Char"/>
    <w:basedOn w:val="DefaultParagraphFont"/>
    <w:link w:val="Quote"/>
    <w:rsid w:val="00743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CF2"/>
    <w:pPr>
      <w:pageBreakBefore/>
    </w:pPr>
  </w:style>
  <w:style w:type="paragraph" w:customStyle="1" w:styleId="Border">
    <w:name w:val="Border"/>
    <w:basedOn w:val="Normal"/>
    <w:qFormat/>
    <w:rsid w:val="00743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CF2"/>
    <w:rPr>
      <w:b/>
      <w:bCs/>
      <w:i/>
      <w:iCs/>
      <w:color w:val="auto"/>
    </w:rPr>
  </w:style>
  <w:style w:type="paragraph" w:styleId="IntenseQuote">
    <w:name w:val="Intense Quote"/>
    <w:basedOn w:val="Normal"/>
    <w:next w:val="Normal"/>
    <w:link w:val="IntenseQuoteChar"/>
    <w:uiPriority w:val="30"/>
    <w:qFormat/>
    <w:rsid w:val="00743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C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3CF2"/>
    <w:rPr>
      <w:smallCaps/>
      <w:color w:val="auto"/>
      <w:u w:val="single"/>
    </w:rPr>
  </w:style>
  <w:style w:type="character" w:styleId="IntenseReference">
    <w:name w:val="Intense Reference"/>
    <w:basedOn w:val="DefaultParagraphFont"/>
    <w:uiPriority w:val="32"/>
    <w:qFormat/>
    <w:rsid w:val="00743CF2"/>
    <w:rPr>
      <w:b/>
      <w:bCs/>
      <w:smallCaps/>
      <w:color w:val="auto"/>
      <w:spacing w:val="5"/>
      <w:u w:val="single"/>
    </w:rPr>
  </w:style>
  <w:style w:type="paragraph" w:customStyle="1" w:styleId="2ColumnHeading">
    <w:name w:val="2Column Heading"/>
    <w:basedOn w:val="BodyText"/>
    <w:qFormat/>
    <w:rsid w:val="00743CF2"/>
    <w:pPr>
      <w:spacing w:after="60"/>
      <w:ind w:left="-2268"/>
    </w:pPr>
    <w:rPr>
      <w:b/>
    </w:rPr>
  </w:style>
  <w:style w:type="paragraph" w:customStyle="1" w:styleId="Heading1TOC">
    <w:name w:val="Heading1 TOC"/>
    <w:basedOn w:val="Normal"/>
    <w:qFormat/>
    <w:rsid w:val="00743CF2"/>
    <w:pPr>
      <w:spacing w:before="240" w:after="120"/>
    </w:pPr>
    <w:rPr>
      <w:rFonts w:ascii="Times New Roman" w:hAnsi="Times New Roman"/>
      <w:b/>
      <w:sz w:val="32"/>
    </w:rPr>
  </w:style>
  <w:style w:type="paragraph" w:customStyle="1" w:styleId="Heading2TOC">
    <w:name w:val="Heading2 TOC"/>
    <w:basedOn w:val="Normal"/>
    <w:qFormat/>
    <w:rsid w:val="00743CF2"/>
    <w:pPr>
      <w:spacing w:before="240" w:after="60"/>
    </w:pPr>
    <w:rPr>
      <w:rFonts w:ascii="Times New Roman" w:hAnsi="Times New Roman"/>
      <w:b/>
      <w:sz w:val="28"/>
    </w:rPr>
  </w:style>
  <w:style w:type="character" w:customStyle="1" w:styleId="Underline">
    <w:name w:val="Underline"/>
    <w:basedOn w:val="DefaultParagraphFont"/>
    <w:qFormat/>
    <w:rsid w:val="00743CF2"/>
    <w:rPr>
      <w:u w:val="single"/>
    </w:rPr>
  </w:style>
  <w:style w:type="paragraph" w:styleId="BalloonText">
    <w:name w:val="Balloon Text"/>
    <w:basedOn w:val="Normal"/>
    <w:link w:val="BalloonTextChar"/>
    <w:rsid w:val="00743CF2"/>
    <w:rPr>
      <w:rFonts w:ascii="Tahoma" w:hAnsi="Tahoma" w:cs="Tahoma"/>
      <w:sz w:val="16"/>
      <w:szCs w:val="16"/>
    </w:rPr>
  </w:style>
  <w:style w:type="character" w:customStyle="1" w:styleId="BalloonTextChar">
    <w:name w:val="Balloon Text Char"/>
    <w:basedOn w:val="DefaultParagraphFont"/>
    <w:link w:val="BalloonText"/>
    <w:rsid w:val="00743C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3C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3C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2022</Words>
  <Characters>13051</Characters>
  <Application>Microsoft Office Word</Application>
  <DocSecurity>0</DocSecurity>
  <Lines>494</Lines>
  <Paragraphs>287</Paragraphs>
  <ScaleCrop>false</ScaleCrop>
  <Company>Author-it Software Corporation Ltd.</Company>
  <LinksUpToDate>false</LinksUpToDate>
  <CharactersWithSpaces>14985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CPCCWF3001A Prepare surfaces for tiling application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2012-05-26T05:42:00Z</dcterms:created>
  <dcterms:modified xsi:type="dcterms:W3CDTF">2012-05-26T05:42:00Z</dcterms:modified>
</cp:coreProperties>
</file>