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703" w:rsidP="00E84703">
      <w:pPr>
        <w:pStyle w:val="Title"/>
      </w:pPr>
      <w:r>
        <w:fldChar w:fldCharType="begin"/>
      </w:r>
      <w:r>
        <w:instrText xml:space="preserve"> TITLE   \* MERGEFORMAT </w:instrText>
      </w:r>
      <w:r>
        <w:fldChar w:fldCharType="separate"/>
      </w:r>
      <w:r>
        <w:t>CPCCWF2001A Handle wall and floor tiling materials</w:t>
      </w:r>
      <w:r>
        <w:fldChar w:fldCharType="end"/>
      </w:r>
    </w:p>
    <w:p w:rsidR="00E84703" w:rsidP="00E84703">
      <w:pPr>
        <w:pStyle w:val="Version"/>
        <w:sectPr w:rsidSect="001D6B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BB4" w:rsidP="001D6BB4">
      <w:pPr>
        <w:pStyle w:val="SuperHeading"/>
      </w:pPr>
      <w:r w:rsidRPr="001D6BB4">
        <w:t>CPCCWF2001A Handle wall and floor tiling materials</w:t>
      </w:r>
    </w:p>
    <w:p w:rsidR="00000000" w:rsidRPr="001D6BB4" w:rsidP="001D6BB4">
      <w:pPr>
        <w:pStyle w:val="Heading1"/>
      </w:pPr>
      <w:bookmarkStart w:id="1" w:name="O_269769"/>
      <w:bookmarkEnd w:id="1"/>
      <w:r w:rsidRPr="001D6BB4">
        <w:t>Modification History</w:t>
      </w:r>
    </w:p>
    <w:p w:rsidR="00000000" w:rsidRPr="001D6BB4" w:rsidP="001D6BB4">
      <w:pPr>
        <w:pStyle w:val="BodyText"/>
      </w:pPr>
      <w:r w:rsidRPr="001D6BB4">
        <w:t>Not Applicable</w:t>
      </w:r>
    </w:p>
    <w:p w:rsidR="00000000" w:rsidRPr="001D6BB4" w:rsidP="001D6BB4">
      <w:pPr>
        <w:pStyle w:val="AllowPageBreak"/>
      </w:pPr>
    </w:p>
    <w:p w:rsidR="00000000" w:rsidRPr="001D6BB4" w:rsidP="001D6BB4">
      <w:pPr>
        <w:pStyle w:val="Heading1"/>
      </w:pPr>
      <w:bookmarkStart w:id="2" w:name="O_199158"/>
      <w:bookmarkEnd w:id="2"/>
      <w:r w:rsidRPr="001D6BB4">
        <w:t>Unit Descriptor</w:t>
      </w:r>
    </w:p>
    <w:tbl>
      <w:tblPr>
        <w:tblW w:w="0" w:type="auto"/>
        <w:tblLayout w:type="fixed"/>
        <w:tblCellMar>
          <w:left w:w="62" w:type="dxa"/>
          <w:right w:w="62" w:type="dxa"/>
        </w:tblCellMar>
        <w:tblLook w:val="0000"/>
      </w:tblPr>
      <w:tblGrid>
        <w:gridCol w:w="2500"/>
        <w:gridCol w:w="6022"/>
      </w:tblGrid>
      <w:tr w:rsidTr="00E84703">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SpecialBold"/>
              </w:rPr>
              <w:t>Unit descriptor</w:t>
            </w:r>
          </w:p>
        </w:tc>
        <w:tc>
          <w:tcPr>
            <w:tcW w:w="6022" w:type="dxa"/>
            <w:tcBorders>
              <w:top w:val="nil"/>
              <w:left w:val="nil"/>
              <w:bottom w:val="nil"/>
              <w:right w:val="nil"/>
            </w:tcBorders>
            <w:tcMar>
              <w:top w:w="0" w:type="dxa"/>
              <w:left w:w="62" w:type="dxa"/>
              <w:bottom w:w="0" w:type="dxa"/>
              <w:right w:w="62" w:type="dxa"/>
            </w:tcMar>
          </w:tcPr>
          <w:p w:rsidR="00000000" w:rsidRPr="001D6BB4" w:rsidP="001D6BB4">
            <w:pPr>
              <w:pStyle w:val="BodyText"/>
            </w:pPr>
            <w:r w:rsidRPr="001D6BB4">
              <w:t>This unit of competency specifies the outcomes required to handle, store and apply environmental pri</w:t>
            </w:r>
            <w:r w:rsidRPr="001D6BB4">
              <w:t>nciples to wall and floor tiling products, materials and components.</w:t>
            </w:r>
          </w:p>
          <w:p w:rsidR="00000000" w:rsidRPr="001D6BB4" w:rsidP="001D6BB4">
            <w:pPr>
              <w:pStyle w:val="BodyText"/>
            </w:pPr>
            <w:r w:rsidRPr="001D6BB4">
              <w:t>It includes the preparation, handling, sorting and stacking, distribution and disposal of wall and floor tiling products, materials and components in the application of the tiles to walls</w:t>
            </w:r>
            <w:r w:rsidRPr="001D6BB4">
              <w:t xml:space="preserve"> and floors.</w:t>
            </w:r>
          </w:p>
        </w:tc>
      </w:tr>
    </w:tbl>
    <w:p w:rsidR="00E84703" w:rsidP="001D6BB4">
      <w:pPr>
        <w:pStyle w:val="BodyText"/>
      </w:pPr>
    </w:p>
    <w:p w:rsidR="00E84703" w:rsidP="001D6BB4">
      <w:pPr>
        <w:pStyle w:val="BodyText"/>
      </w:pPr>
    </w:p>
    <w:p w:rsidR="00000000" w:rsidRPr="001D6BB4" w:rsidP="001D6BB4">
      <w:pPr>
        <w:pStyle w:val="Heading1"/>
      </w:pPr>
      <w:bookmarkStart w:id="3" w:name="O_199162"/>
      <w:bookmarkEnd w:id="3"/>
      <w:r w:rsidRPr="001D6BB4">
        <w:t>Application of the Unit</w:t>
      </w:r>
    </w:p>
    <w:tbl>
      <w:tblPr>
        <w:tblW w:w="0" w:type="auto"/>
        <w:tblLayout w:type="fixed"/>
        <w:tblCellMar>
          <w:left w:w="62" w:type="dxa"/>
          <w:right w:w="62" w:type="dxa"/>
        </w:tblCellMar>
        <w:tblLook w:val="0000"/>
      </w:tblPr>
      <w:tblGrid>
        <w:gridCol w:w="2577"/>
        <w:gridCol w:w="5945"/>
      </w:tblGrid>
      <w:tr w:rsidTr="00E84703">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SpecialBold"/>
              </w:rPr>
              <w:t>Application of the unit</w:t>
            </w:r>
          </w:p>
        </w:tc>
        <w:tc>
          <w:tcPr>
            <w:tcW w:w="5945" w:type="dxa"/>
            <w:tcBorders>
              <w:top w:val="nil"/>
              <w:left w:val="nil"/>
              <w:bottom w:val="nil"/>
              <w:right w:val="nil"/>
            </w:tcBorders>
            <w:tcMar>
              <w:top w:w="0" w:type="dxa"/>
              <w:left w:w="62" w:type="dxa"/>
              <w:bottom w:w="0" w:type="dxa"/>
              <w:right w:w="62" w:type="dxa"/>
            </w:tcMar>
          </w:tcPr>
          <w:p w:rsidR="00000000" w:rsidRPr="001D6BB4" w:rsidP="001D6BB4">
            <w:pPr>
              <w:pStyle w:val="BodyText"/>
            </w:pPr>
            <w:r w:rsidRPr="001D6BB4">
              <w:t xml:space="preserve">This unit of competency supports the attainment of skills and knowledge to handle wall and floor tiling materials while working with others as a member of a team. </w:t>
            </w:r>
          </w:p>
        </w:tc>
      </w:tr>
    </w:tbl>
    <w:p w:rsidR="00E84703" w:rsidP="001D6BB4">
      <w:pPr>
        <w:pStyle w:val="BodyText"/>
      </w:pPr>
    </w:p>
    <w:p w:rsidR="00E84703" w:rsidP="001D6BB4">
      <w:pPr>
        <w:pStyle w:val="BodyText"/>
      </w:pPr>
    </w:p>
    <w:p w:rsidR="00000000" w:rsidRPr="001D6BB4" w:rsidP="001D6BB4">
      <w:pPr>
        <w:pStyle w:val="Heading1"/>
      </w:pPr>
      <w:bookmarkStart w:id="4" w:name="O_278029"/>
      <w:bookmarkEnd w:id="4"/>
      <w:r w:rsidRPr="001D6BB4">
        <w:t>Licensing/Regulatory Information</w:t>
      </w:r>
    </w:p>
    <w:p w:rsidR="00000000" w:rsidRPr="001D6BB4" w:rsidP="001D6BB4">
      <w:pPr>
        <w:pStyle w:val="BodyText"/>
      </w:pPr>
      <w:r w:rsidRPr="001D6BB4">
        <w:t>Not Applicable</w:t>
      </w:r>
    </w:p>
    <w:p w:rsidR="00000000" w:rsidRPr="001D6BB4" w:rsidP="001D6BB4">
      <w:pPr>
        <w:pStyle w:val="AllowPageBreak"/>
      </w:pPr>
    </w:p>
    <w:p w:rsidR="00000000" w:rsidRPr="001D6BB4" w:rsidP="001D6BB4">
      <w:pPr>
        <w:pStyle w:val="Heading1"/>
      </w:pPr>
      <w:bookmarkStart w:id="5" w:name="O_199160"/>
      <w:bookmarkEnd w:id="5"/>
      <w:r w:rsidRPr="001D6BB4">
        <w:t>Pre-Requisites</w:t>
      </w:r>
    </w:p>
    <w:tbl>
      <w:tblPr>
        <w:tblW w:w="0" w:type="auto"/>
        <w:tblLayout w:type="fixed"/>
        <w:tblCellMar>
          <w:left w:w="62" w:type="dxa"/>
          <w:right w:w="62" w:type="dxa"/>
        </w:tblCellMar>
        <w:tblLook w:val="0000"/>
      </w:tblPr>
      <w:tblGrid>
        <w:gridCol w:w="2535"/>
        <w:gridCol w:w="2737"/>
        <w:gridCol w:w="3250"/>
      </w:tblGrid>
      <w:tr w:rsidTr="00E84703">
        <w:tblPrEx>
          <w:tblW w:w="0" w:type="auto"/>
          <w:tblLayout w:type="fixed"/>
          <w:tblCellMar>
            <w:left w:w="62" w:type="dxa"/>
            <w:right w:w="62" w:type="dxa"/>
          </w:tblCellMar>
          <w:tblLook w:val="0000"/>
        </w:tblPrEx>
        <w:trPr>
          <w:tblHeader/>
        </w:trPr>
        <w:tc>
          <w:tcPr>
            <w:tcW w:w="2535"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SpecialBold"/>
              </w:rPr>
              <w:t>Prerequisite units</w:t>
            </w:r>
          </w:p>
        </w:tc>
        <w:tc>
          <w:tcPr>
            <w:tcW w:w="5987" w:type="dxa"/>
            <w:gridSpan w:val="2"/>
            <w:tcBorders>
              <w:top w:val="nil"/>
              <w:left w:val="nil"/>
              <w:bottom w:val="nil"/>
              <w:right w:val="nil"/>
            </w:tcBorders>
            <w:tcMar>
              <w:top w:w="0" w:type="dxa"/>
              <w:left w:w="62" w:type="dxa"/>
              <w:bottom w:w="0" w:type="dxa"/>
              <w:right w:w="62" w:type="dxa"/>
            </w:tcMar>
          </w:tcPr>
          <w:p w:rsidR="00000000" w:rsidP="001D6BB4">
            <w:pPr>
              <w:pStyle w:val="BodyText"/>
              <w:rPr>
                <w:lang w:val="en-NZ"/>
              </w:rPr>
            </w:pPr>
          </w:p>
        </w:tc>
      </w:tr>
      <w:tr w:rsidTr="00E84703">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t>CPCCOHS2001A</w:t>
            </w:r>
          </w:p>
        </w:tc>
        <w:tc>
          <w:tcPr>
            <w:tcW w:w="3250"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t>Apply OHS requirements, policies and procedures in the construction industry</w:t>
            </w:r>
          </w:p>
        </w:tc>
      </w:tr>
      <w:tr w:rsidTr="00E84703">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0" w:type="dxa"/>
            <w:tcBorders>
              <w:top w:val="nil"/>
              <w:left w:val="nil"/>
              <w:bottom w:val="nil"/>
              <w:right w:val="nil"/>
            </w:tcBorders>
            <w:tcMar>
              <w:top w:w="0" w:type="dxa"/>
              <w:left w:w="62" w:type="dxa"/>
              <w:bottom w:w="0" w:type="dxa"/>
              <w:right w:w="62" w:type="dxa"/>
            </w:tcMar>
          </w:tcPr>
          <w:p w:rsidR="00000000" w:rsidRPr="001D6BB4" w:rsidP="001D6BB4">
            <w:pPr>
              <w:pStyle w:val="BodyText"/>
            </w:pPr>
          </w:p>
        </w:tc>
      </w:tr>
    </w:tbl>
    <w:p w:rsidR="00E84703" w:rsidP="001D6BB4">
      <w:pPr>
        <w:pStyle w:val="BodyText"/>
      </w:pPr>
    </w:p>
    <w:p w:rsidR="00E84703" w:rsidP="001D6BB4">
      <w:pPr>
        <w:pStyle w:val="BodyText"/>
      </w:pPr>
    </w:p>
    <w:p w:rsidR="00000000" w:rsidRPr="001D6BB4" w:rsidP="001D6BB4">
      <w:pPr>
        <w:pStyle w:val="Heading1"/>
      </w:pPr>
      <w:bookmarkStart w:id="6" w:name="O_199159"/>
      <w:bookmarkEnd w:id="6"/>
      <w:r w:rsidRPr="001D6BB4">
        <w:t>Employability Skills Information</w:t>
      </w:r>
    </w:p>
    <w:tbl>
      <w:tblPr>
        <w:tblW w:w="0" w:type="auto"/>
        <w:tblLayout w:type="fixed"/>
        <w:tblCellMar>
          <w:left w:w="62" w:type="dxa"/>
          <w:right w:w="62" w:type="dxa"/>
        </w:tblCellMar>
        <w:tblLook w:val="0000"/>
      </w:tblPr>
      <w:tblGrid>
        <w:gridCol w:w="2624"/>
        <w:gridCol w:w="5898"/>
      </w:tblGrid>
      <w:tr w:rsidTr="00E84703">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1D6BB4" w:rsidP="001D6BB4">
            <w:pPr>
              <w:pStyle w:val="BodyText"/>
            </w:pPr>
            <w:r w:rsidRPr="001D6BB4">
              <w:t>This unit contains employability skills.</w:t>
            </w:r>
          </w:p>
        </w:tc>
      </w:tr>
    </w:tbl>
    <w:p w:rsidR="00E84703" w:rsidP="001D6BB4">
      <w:pPr>
        <w:pStyle w:val="BodyText"/>
      </w:pPr>
    </w:p>
    <w:p w:rsidR="00E84703" w:rsidP="001D6BB4">
      <w:pPr>
        <w:pStyle w:val="BodyText"/>
      </w:pPr>
    </w:p>
    <w:p w:rsidR="00000000" w:rsidRPr="001D6BB4" w:rsidP="001D6BB4">
      <w:pPr>
        <w:pStyle w:val="Heading1"/>
      </w:pPr>
      <w:bookmarkStart w:id="7" w:name="O_287815"/>
      <w:bookmarkEnd w:id="7"/>
      <w:r w:rsidRPr="001D6BB4">
        <w:t>Elements and Performance Criteria Pre-Content</w:t>
      </w:r>
    </w:p>
    <w:tbl>
      <w:tblPr>
        <w:tblW w:w="0" w:type="auto"/>
        <w:tblLayout w:type="fixed"/>
        <w:tblCellMar>
          <w:left w:w="62" w:type="dxa"/>
          <w:right w:w="62" w:type="dxa"/>
        </w:tblCellMar>
        <w:tblLook w:val="0000"/>
      </w:tblPr>
      <w:tblGrid>
        <w:gridCol w:w="2467"/>
        <w:gridCol w:w="6055"/>
      </w:tblGrid>
      <w:tr w:rsidTr="00E84703">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1D6BB4">
            <w:pPr>
              <w:pStyle w:val="BodyText"/>
              <w:rPr>
                <w:lang w:val="en-NZ"/>
              </w:rPr>
            </w:pPr>
            <w:r w:rsidRPr="001D6BB4">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1D6BB4" w:rsidP="001D6BB4">
            <w:pPr>
              <w:pStyle w:val="BodyText"/>
            </w:pPr>
            <w:r w:rsidRPr="001D6BB4">
              <w:t>Performance criteria describe the performance needed to demonstrate achievement of the element. Where bold italicised text is used, further information is detailed in the required skills and knowledge section and the range statement. Assessment of performa</w:t>
            </w:r>
            <w:r w:rsidRPr="001D6BB4">
              <w:t>nce is to be consistent with the evidence guide.</w:t>
            </w:r>
          </w:p>
        </w:tc>
      </w:tr>
    </w:tbl>
    <w:p w:rsidR="00000000" w:rsidRPr="001D6BB4" w:rsidP="001D6BB4">
      <w:pPr>
        <w:pStyle w:val="BodyText"/>
      </w:pPr>
    </w:p>
    <w:p w:rsidR="00000000" w:rsidRPr="001D6BB4" w:rsidP="001D6BB4">
      <w:pPr>
        <w:pStyle w:val="AllowPageBreak"/>
      </w:pPr>
    </w:p>
    <w:p w:rsidR="00000000" w:rsidRPr="001D6BB4" w:rsidP="001D6BB4">
      <w:pPr>
        <w:pStyle w:val="Heading1"/>
      </w:pPr>
      <w:bookmarkStart w:id="8" w:name="O_234482"/>
      <w:bookmarkEnd w:id="8"/>
      <w:r w:rsidRPr="001D6BB4">
        <w:t>Elements and Performance Criteria</w:t>
      </w:r>
    </w:p>
    <w:tbl>
      <w:tblPr>
        <w:tblW w:w="0" w:type="auto"/>
        <w:tblLayout w:type="fixed"/>
        <w:tblCellMar>
          <w:left w:w="62" w:type="dxa"/>
          <w:right w:w="62" w:type="dxa"/>
        </w:tblCellMar>
        <w:tblLook w:val="0000"/>
      </w:tblPr>
      <w:tblGrid>
        <w:gridCol w:w="2467"/>
        <w:gridCol w:w="6055"/>
      </w:tblGrid>
      <w:tr w:rsidTr="00E84703">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1D6BB4" w:rsidP="001D6BB4">
            <w:pPr>
              <w:pStyle w:val="BodyText"/>
            </w:pPr>
            <w:r w:rsidRPr="001D6BB4">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1D6BB4">
            <w:pPr>
              <w:pStyle w:val="BodyText"/>
              <w:rPr>
                <w:lang w:val="en-NZ"/>
              </w:rPr>
            </w:pPr>
            <w:r w:rsidRPr="001D6BB4">
              <w:rPr>
                <w:rStyle w:val="SpecialBold"/>
              </w:rPr>
              <w:t>PERFORMANCE CRITERIA</w:t>
            </w:r>
          </w:p>
        </w:tc>
      </w:tr>
      <w:tr w:rsidTr="00E84703">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1D6BB4">
            <w:pPr>
              <w:pStyle w:val="List"/>
              <w:rPr>
                <w:lang w:val="en-NZ"/>
              </w:rPr>
            </w:pPr>
            <w:r w:rsidRPr="001D6BB4">
              <w:t>1.</w:t>
            </w:r>
            <w:r w:rsidRPr="001D6BB4">
              <w:tab/>
              <w:t>Plan and prepare.</w:t>
            </w:r>
          </w:p>
        </w:tc>
        <w:tc>
          <w:tcPr>
            <w:tcW w:w="6055" w:type="dxa"/>
            <w:tcBorders>
              <w:top w:val="nil"/>
              <w:left w:val="nil"/>
              <w:bottom w:val="nil"/>
              <w:right w:val="nil"/>
            </w:tcBorders>
            <w:tcMar>
              <w:top w:w="0" w:type="dxa"/>
              <w:left w:w="62" w:type="dxa"/>
              <w:bottom w:w="0" w:type="dxa"/>
              <w:right w:w="62" w:type="dxa"/>
            </w:tcMar>
          </w:tcPr>
          <w:p w:rsidR="00000000" w:rsidRPr="001D6BB4" w:rsidP="001D6BB4">
            <w:pPr>
              <w:pStyle w:val="List2"/>
            </w:pPr>
            <w:r w:rsidRPr="001D6BB4">
              <w:t>1.1.</w:t>
            </w:r>
            <w:r w:rsidRPr="001D6BB4">
              <w:tab/>
              <w:t xml:space="preserve">Work instructions and operational details are obtained using relevant </w:t>
            </w:r>
            <w:r w:rsidRPr="001D6BB4">
              <w:rPr>
                <w:rStyle w:val="BoldandItalics"/>
              </w:rPr>
              <w:t>information</w:t>
            </w:r>
            <w:r w:rsidRPr="001D6BB4">
              <w:t xml:space="preserve">, confirmed and applied for </w:t>
            </w:r>
            <w:r w:rsidRPr="001D6BB4">
              <w:rPr>
                <w:rStyle w:val="BoldandItalics"/>
              </w:rPr>
              <w:t>planning and preparation</w:t>
            </w:r>
            <w:r w:rsidRPr="001D6BB4">
              <w:t xml:space="preserve"> purposes. </w:t>
            </w:r>
          </w:p>
          <w:p w:rsidR="00000000" w:rsidRPr="001D6BB4" w:rsidP="001D6BB4">
            <w:pPr>
              <w:pStyle w:val="List2"/>
            </w:pPr>
            <w:r w:rsidRPr="001D6BB4">
              <w:t>1.2.</w:t>
            </w:r>
            <w:r w:rsidRPr="001D6BB4">
              <w:tab/>
            </w:r>
            <w:r w:rsidRPr="001D6BB4">
              <w:rPr>
                <w:rStyle w:val="BoldandItalics"/>
              </w:rPr>
              <w:t>Safety</w:t>
            </w:r>
            <w:r w:rsidRPr="001D6BB4">
              <w:t xml:space="preserve"> (</w:t>
            </w:r>
            <w:r w:rsidRPr="001D6BB4">
              <w:rPr>
                <w:rStyle w:val="BoldandItalics"/>
              </w:rPr>
              <w:t>OHS</w:t>
            </w:r>
            <w:r w:rsidRPr="001D6BB4">
              <w:t xml:space="preserve">) requirements are followed in accordance with safety plans and policies. </w:t>
            </w:r>
          </w:p>
          <w:p w:rsidR="00000000" w:rsidRPr="001D6BB4" w:rsidP="001D6BB4">
            <w:pPr>
              <w:pStyle w:val="List2"/>
            </w:pPr>
            <w:r w:rsidRPr="001D6BB4">
              <w:t>1.3.</w:t>
            </w:r>
            <w:r w:rsidRPr="001D6BB4">
              <w:tab/>
              <w:t>Signage and barricade requirements are identified and implemented.</w:t>
            </w:r>
          </w:p>
          <w:p w:rsidR="00000000" w:rsidRPr="001D6BB4" w:rsidP="001D6BB4">
            <w:pPr>
              <w:pStyle w:val="List2"/>
            </w:pPr>
            <w:r w:rsidRPr="001D6BB4">
              <w:t>1.4.</w:t>
            </w:r>
            <w:r w:rsidRPr="001D6BB4">
              <w:tab/>
            </w:r>
            <w:r w:rsidRPr="001D6BB4">
              <w:rPr>
                <w:rStyle w:val="BoldandItalics"/>
              </w:rPr>
              <w:t>Tools and equipment</w:t>
            </w:r>
            <w:r w:rsidRPr="001D6BB4">
              <w:t xml:space="preserve"> sele</w:t>
            </w:r>
            <w:r w:rsidRPr="001D6BB4">
              <w:t xml:space="preserve">cted to carry out tasks are consistent with the requirements of the job, checked for serviceability and any faults are rectified or reported prior to commencement. </w:t>
            </w:r>
          </w:p>
          <w:p w:rsidR="00000000" w:rsidRPr="001D6BB4" w:rsidP="001D6BB4">
            <w:pPr>
              <w:pStyle w:val="List2"/>
            </w:pPr>
            <w:r w:rsidRPr="001D6BB4">
              <w:t>1.5.</w:t>
            </w:r>
            <w:r w:rsidRPr="001D6BB4">
              <w:tab/>
              <w:t>Material quantity requirements are calculated in accordance with plans and specificati</w:t>
            </w:r>
            <w:r w:rsidRPr="001D6BB4">
              <w:t xml:space="preserve">ons and </w:t>
            </w:r>
            <w:r w:rsidRPr="001D6BB4">
              <w:rPr>
                <w:rStyle w:val="BoldandItalics"/>
              </w:rPr>
              <w:t>quality requirements</w:t>
            </w:r>
            <w:r w:rsidRPr="001D6BB4">
              <w:t xml:space="preserve">. </w:t>
            </w:r>
          </w:p>
          <w:p w:rsidR="00000000" w:rsidRPr="001D6BB4" w:rsidP="001D6BB4">
            <w:pPr>
              <w:pStyle w:val="List2"/>
            </w:pPr>
            <w:r w:rsidRPr="001D6BB4">
              <w:t>1.6.</w:t>
            </w:r>
            <w:r w:rsidRPr="001D6BB4">
              <w:tab/>
            </w:r>
            <w:r w:rsidRPr="001D6BB4">
              <w:rPr>
                <w:rStyle w:val="BoldandItalics"/>
              </w:rPr>
              <w:t>Materials</w:t>
            </w:r>
            <w:r w:rsidRPr="001D6BB4">
              <w:t xml:space="preserve"> appropriate to the work application are identified, obtained, prepared, safely handled and located ready for use. </w:t>
            </w:r>
          </w:p>
          <w:p w:rsidR="00000000" w:rsidP="001D6BB4">
            <w:pPr>
              <w:pStyle w:val="List2"/>
              <w:rPr>
                <w:lang w:val="en-NZ"/>
              </w:rPr>
            </w:pPr>
            <w:r w:rsidRPr="001D6BB4">
              <w:t>1.7.</w:t>
            </w:r>
            <w:r w:rsidRPr="001D6BB4">
              <w:tab/>
            </w:r>
            <w:r w:rsidRPr="001D6BB4">
              <w:rPr>
                <w:rStyle w:val="BoldandItalics"/>
              </w:rPr>
              <w:t>Environmental requirements</w:t>
            </w:r>
            <w:r w:rsidRPr="001D6BB4">
              <w:t xml:space="preserve"> are identified for the project in accordance with environmental</w:t>
            </w:r>
            <w:r w:rsidRPr="001D6BB4">
              <w:t xml:space="preserve"> plans and regulatory obligations and applied. </w:t>
            </w:r>
          </w:p>
        </w:tc>
      </w:tr>
      <w:tr w:rsidTr="00E84703">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1D6BB4">
            <w:pPr>
              <w:pStyle w:val="List"/>
              <w:rPr>
                <w:lang w:val="en-NZ"/>
              </w:rPr>
            </w:pPr>
            <w:r w:rsidRPr="001D6BB4">
              <w:t>2.</w:t>
            </w:r>
            <w:r w:rsidRPr="001D6BB4">
              <w:tab/>
              <w:t>Receive, sort and distribute wall and floor tiling materials.</w:t>
            </w:r>
          </w:p>
        </w:tc>
        <w:tc>
          <w:tcPr>
            <w:tcW w:w="6055" w:type="dxa"/>
            <w:tcBorders>
              <w:top w:val="nil"/>
              <w:left w:val="nil"/>
              <w:bottom w:val="nil"/>
              <w:right w:val="nil"/>
            </w:tcBorders>
            <w:tcMar>
              <w:top w:w="0" w:type="dxa"/>
              <w:left w:w="62" w:type="dxa"/>
              <w:bottom w:w="0" w:type="dxa"/>
              <w:right w:w="62" w:type="dxa"/>
            </w:tcMar>
          </w:tcPr>
          <w:p w:rsidR="00000000" w:rsidRPr="001D6BB4" w:rsidP="001D6BB4">
            <w:pPr>
              <w:pStyle w:val="List2"/>
            </w:pPr>
            <w:r w:rsidRPr="001D6BB4">
              <w:t>2.1.</w:t>
            </w:r>
            <w:r w:rsidRPr="001D6BB4">
              <w:tab/>
              <w:t xml:space="preserve">On delivery to site, wall and floor </w:t>
            </w:r>
            <w:r w:rsidRPr="001D6BB4">
              <w:rPr>
                <w:rStyle w:val="BoldandItalics"/>
              </w:rPr>
              <w:t>tiling products</w:t>
            </w:r>
            <w:r w:rsidRPr="001D6BB4">
              <w:t xml:space="preserve">, material and components are identified and checked for conformity to material schedule, plans and specifications. </w:t>
            </w:r>
          </w:p>
          <w:p w:rsidR="00000000" w:rsidRPr="001D6BB4" w:rsidP="001D6BB4">
            <w:pPr>
              <w:pStyle w:val="List2"/>
            </w:pPr>
            <w:r w:rsidRPr="001D6BB4">
              <w:t>2.2.</w:t>
            </w:r>
            <w:r w:rsidRPr="001D6BB4">
              <w:tab/>
              <w:t>Handling characteristics of wall and floor tiling material and components are identified and safe and effective handling techniques ar</w:t>
            </w:r>
            <w:r w:rsidRPr="001D6BB4">
              <w:t>e applied in accordance with safe work method statements and OHS workplace operations.</w:t>
            </w:r>
          </w:p>
          <w:p w:rsidR="00000000" w:rsidRPr="001D6BB4" w:rsidP="001D6BB4">
            <w:pPr>
              <w:pStyle w:val="List2"/>
            </w:pPr>
            <w:r w:rsidRPr="001D6BB4">
              <w:t>2.3.</w:t>
            </w:r>
            <w:r w:rsidRPr="001D6BB4">
              <w:tab/>
              <w:t>Wall and floor tiling adhesives are handled, proportioned, mixed and stored in preparation for application in accordance with supervisor's instructions and manufact</w:t>
            </w:r>
            <w:r w:rsidRPr="001D6BB4">
              <w:t>urer recommendations.</w:t>
            </w:r>
          </w:p>
          <w:p w:rsidR="00000000" w:rsidRPr="001D6BB4" w:rsidP="001D6BB4">
            <w:pPr>
              <w:pStyle w:val="List2"/>
            </w:pPr>
            <w:r w:rsidRPr="001D6BB4">
              <w:t>2.4.</w:t>
            </w:r>
            <w:r w:rsidRPr="001D6BB4">
              <w:tab/>
              <w:t>Wall and floor tiling bedding mortar material is handled, proportioned, mixed and stored in preparation for application in accordance with supervisor's instructions and manufacturer specifications.</w:t>
            </w:r>
          </w:p>
          <w:p w:rsidR="00000000" w:rsidRPr="001D6BB4" w:rsidP="001D6BB4">
            <w:pPr>
              <w:pStyle w:val="List2"/>
            </w:pPr>
            <w:r w:rsidRPr="001D6BB4">
              <w:t>2.5.</w:t>
            </w:r>
            <w:r w:rsidRPr="001D6BB4">
              <w:tab/>
              <w:t>Wall and floor tiling mate</w:t>
            </w:r>
            <w:r w:rsidRPr="001D6BB4">
              <w:t>rial and components are sorted to suit material type and size, stacked for ease of identification and retrieval for task sequence.</w:t>
            </w:r>
          </w:p>
          <w:p w:rsidR="00000000" w:rsidP="001D6BB4">
            <w:pPr>
              <w:pStyle w:val="List2"/>
              <w:rPr>
                <w:lang w:val="en-NZ"/>
              </w:rPr>
            </w:pPr>
            <w:r w:rsidRPr="001D6BB4">
              <w:t>2.6.</w:t>
            </w:r>
            <w:r w:rsidRPr="001D6BB4">
              <w:tab/>
              <w:t xml:space="preserve">Wall and floor tiling material and components are </w:t>
            </w:r>
            <w:r w:rsidRPr="001D6BB4">
              <w:t>distributed to job location.</w:t>
            </w:r>
          </w:p>
        </w:tc>
      </w:tr>
      <w:tr w:rsidTr="00E84703">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1D6BB4">
            <w:pPr>
              <w:pStyle w:val="List"/>
              <w:rPr>
                <w:lang w:val="en-NZ"/>
              </w:rPr>
            </w:pPr>
            <w:r w:rsidRPr="001D6BB4">
              <w:t>3.</w:t>
            </w:r>
            <w:r w:rsidRPr="001D6BB4">
              <w:tab/>
              <w:t>Handle and remove surplus wall and fl</w:t>
            </w:r>
            <w:r w:rsidRPr="001D6BB4">
              <w:t>oor tiling material.</w:t>
            </w:r>
          </w:p>
        </w:tc>
        <w:tc>
          <w:tcPr>
            <w:tcW w:w="6055" w:type="dxa"/>
            <w:tcBorders>
              <w:top w:val="nil"/>
              <w:left w:val="nil"/>
              <w:bottom w:val="nil"/>
              <w:right w:val="nil"/>
            </w:tcBorders>
            <w:tcMar>
              <w:top w:w="0" w:type="dxa"/>
              <w:left w:w="62" w:type="dxa"/>
              <w:bottom w:w="0" w:type="dxa"/>
              <w:right w:w="62" w:type="dxa"/>
            </w:tcMar>
          </w:tcPr>
          <w:p w:rsidR="00000000" w:rsidRPr="001D6BB4" w:rsidP="001D6BB4">
            <w:pPr>
              <w:pStyle w:val="List2"/>
            </w:pPr>
            <w:r w:rsidRPr="001D6BB4">
              <w:t>3.1.</w:t>
            </w:r>
            <w:r w:rsidRPr="001D6BB4">
              <w:tab/>
              <w:t xml:space="preserve">Materials are handled according to material safety data sheets (MSDS) and requirements of </w:t>
            </w:r>
            <w:r w:rsidRPr="001D6BB4">
              <w:rPr>
                <w:rStyle w:val="BoldandItalics"/>
              </w:rPr>
              <w:t>statutory and regulatory authorities</w:t>
            </w:r>
            <w:r w:rsidRPr="001D6BB4">
              <w:t xml:space="preserve">. </w:t>
            </w:r>
          </w:p>
          <w:p w:rsidR="00000000" w:rsidRPr="001D6BB4" w:rsidP="001D6BB4">
            <w:pPr>
              <w:pStyle w:val="List2"/>
            </w:pPr>
            <w:r w:rsidRPr="001D6BB4">
              <w:t>3.2.</w:t>
            </w:r>
            <w:r w:rsidRPr="001D6BB4">
              <w:tab/>
              <w:t>Hazardous material is identified for separate handling by authorised personnel.</w:t>
            </w:r>
          </w:p>
          <w:p w:rsidR="00000000" w:rsidP="001D6BB4">
            <w:pPr>
              <w:pStyle w:val="List2"/>
              <w:rPr>
                <w:lang w:val="en-NZ"/>
              </w:rPr>
            </w:pPr>
            <w:r w:rsidRPr="001D6BB4">
              <w:t>3.3.</w:t>
            </w:r>
            <w:r w:rsidRPr="001D6BB4">
              <w:tab/>
              <w:t>Wall and fl</w:t>
            </w:r>
            <w:r w:rsidRPr="001D6BB4">
              <w:t>oor tiling material and components are handled, recovered and transferred from job location and stored in designated storage area according to MSDS and workplace requirements.</w:t>
            </w:r>
          </w:p>
        </w:tc>
      </w:tr>
      <w:tr w:rsidTr="00E84703">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1D6BB4">
            <w:pPr>
              <w:pStyle w:val="List"/>
              <w:rPr>
                <w:lang w:val="en-NZ"/>
              </w:rPr>
            </w:pPr>
            <w:r w:rsidRPr="001D6BB4">
              <w:t>4.</w:t>
            </w:r>
            <w:r w:rsidRPr="001D6BB4">
              <w:tab/>
              <w:t>Clean up.</w:t>
            </w:r>
          </w:p>
        </w:tc>
        <w:tc>
          <w:tcPr>
            <w:tcW w:w="6055" w:type="dxa"/>
            <w:tcBorders>
              <w:top w:val="nil"/>
              <w:left w:val="nil"/>
              <w:bottom w:val="nil"/>
              <w:right w:val="nil"/>
            </w:tcBorders>
            <w:tcMar>
              <w:top w:w="0" w:type="dxa"/>
              <w:left w:w="62" w:type="dxa"/>
              <w:bottom w:w="0" w:type="dxa"/>
              <w:right w:w="62" w:type="dxa"/>
            </w:tcMar>
          </w:tcPr>
          <w:p w:rsidR="00000000" w:rsidRPr="001D6BB4" w:rsidP="001D6BB4">
            <w:pPr>
              <w:pStyle w:val="List2"/>
            </w:pPr>
            <w:r w:rsidRPr="001D6BB4">
              <w:t>4.1.</w:t>
            </w:r>
            <w:r w:rsidRPr="001D6BB4">
              <w:tab/>
              <w:t xml:space="preserve">Work area is cleared and </w:t>
            </w:r>
            <w:r w:rsidRPr="001D6BB4">
              <w:rPr>
                <w:rStyle w:val="BoldandItalics"/>
              </w:rPr>
              <w:t>waste materials</w:t>
            </w:r>
            <w:r w:rsidRPr="001D6BB4">
              <w:t xml:space="preserve"> are disposed of, reu</w:t>
            </w:r>
            <w:r w:rsidRPr="001D6BB4">
              <w:t xml:space="preserve">sed or recycled in accordance with legislation, regulations, codes of practice and job specification. </w:t>
            </w:r>
          </w:p>
          <w:p w:rsidR="00000000" w:rsidRPr="001D6BB4" w:rsidP="001D6BB4">
            <w:pPr>
              <w:pStyle w:val="List2"/>
            </w:pPr>
            <w:r w:rsidRPr="001D6BB4">
              <w:t>4.2.</w:t>
            </w:r>
            <w:r w:rsidRPr="001D6BB4">
              <w:tab/>
              <w:t>Plant, tools and equipment are cleaned, checked, maintained and stored in accordance with manufacturer recommendations and standard work practices.</w:t>
            </w:r>
          </w:p>
        </w:tc>
      </w:tr>
    </w:tbl>
    <w:p w:rsidR="00E84703" w:rsidP="001D6BB4">
      <w:pPr>
        <w:pStyle w:val="BodyText"/>
      </w:pPr>
    </w:p>
    <w:p w:rsidR="00E84703" w:rsidP="001D6BB4">
      <w:pPr>
        <w:pStyle w:val="BodyText"/>
      </w:pPr>
    </w:p>
    <w:p w:rsidR="00000000" w:rsidRPr="001D6BB4" w:rsidP="001D6BB4">
      <w:pPr>
        <w:pStyle w:val="Heading1"/>
      </w:pPr>
      <w:bookmarkStart w:id="9" w:name="O_258432"/>
      <w:bookmarkEnd w:id="9"/>
      <w:r w:rsidRPr="001D6BB4">
        <w:t>Required Skills and Knowledge</w:t>
      </w:r>
    </w:p>
    <w:tbl>
      <w:tblPr>
        <w:tblW w:w="0" w:type="auto"/>
        <w:tblLayout w:type="fixed"/>
        <w:tblCellMar>
          <w:left w:w="62" w:type="dxa"/>
          <w:right w:w="62" w:type="dxa"/>
        </w:tblCellMar>
        <w:tblLook w:val="0000"/>
      </w:tblPr>
      <w:tblGrid>
        <w:gridCol w:w="8522"/>
      </w:tblGrid>
      <w:tr w:rsidTr="00E8470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SpecialBold"/>
              </w:rPr>
              <w:t>REQUIRED SKILLS AND KNOWLEDGE</w:t>
            </w:r>
          </w:p>
        </w:tc>
      </w:tr>
      <w:tr w:rsidTr="00E847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t>This section describes the skills and knowledge required for this unit.</w:t>
            </w:r>
          </w:p>
        </w:tc>
      </w:tr>
      <w:tr w:rsidTr="00E847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SpecialBold"/>
              </w:rPr>
              <w:t>Required skills</w:t>
            </w:r>
          </w:p>
        </w:tc>
      </w:tr>
      <w:tr w:rsidTr="00E847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D6BB4" w:rsidP="001D6BB4">
            <w:pPr>
              <w:pStyle w:val="BodyText"/>
            </w:pPr>
            <w:r w:rsidRPr="001D6BB4">
              <w:t>Required skills for this unit are:</w:t>
            </w:r>
          </w:p>
          <w:p w:rsidR="00000000" w:rsidRPr="001D6BB4" w:rsidP="001D6BB4">
            <w:pPr>
              <w:pStyle w:val="ListBullet"/>
            </w:pPr>
            <w:r w:rsidRPr="001D6BB4">
              <w:t>communication skills to:</w:t>
            </w:r>
          </w:p>
          <w:p w:rsidR="00000000" w:rsidRPr="001D6BB4" w:rsidP="001D6BB4">
            <w:pPr>
              <w:pStyle w:val="ListBullet2"/>
            </w:pPr>
            <w:r w:rsidRPr="001D6BB4">
              <w:t>follow instructions</w:t>
            </w:r>
          </w:p>
          <w:p w:rsidR="00000000" w:rsidRPr="001D6BB4" w:rsidP="001D6BB4">
            <w:pPr>
              <w:pStyle w:val="ListBullet2"/>
            </w:pPr>
            <w:r w:rsidRPr="001D6BB4">
              <w:t>read and interpret:</w:t>
            </w:r>
          </w:p>
          <w:p w:rsidR="00000000" w:rsidRPr="001D6BB4" w:rsidP="001D6BB4">
            <w:pPr>
              <w:pStyle w:val="ListBullet3"/>
            </w:pPr>
            <w:r w:rsidRPr="001D6BB4">
              <w:t>documentation from a variety of sources</w:t>
            </w:r>
          </w:p>
          <w:p w:rsidR="00000000" w:rsidRPr="001D6BB4" w:rsidP="001D6BB4">
            <w:pPr>
              <w:pStyle w:val="ListBullet3"/>
            </w:pPr>
            <w:r w:rsidRPr="001D6BB4">
              <w:t>drawings and specifications</w:t>
            </w:r>
          </w:p>
          <w:p w:rsidR="00000000" w:rsidRPr="001D6BB4" w:rsidP="001D6BB4">
            <w:pPr>
              <w:pStyle w:val="ListBullet2"/>
            </w:pPr>
            <w:r w:rsidRPr="001D6BB4">
              <w:t>recognise procedures</w:t>
            </w:r>
          </w:p>
          <w:p w:rsidR="00000000" w:rsidRPr="001D6BB4" w:rsidP="001D6BB4">
            <w:pPr>
              <w:pStyle w:val="ListBullet2"/>
            </w:pPr>
            <w:r w:rsidRPr="001D6BB4">
              <w:t>report faults</w:t>
            </w:r>
          </w:p>
          <w:p w:rsidR="00000000" w:rsidRPr="001D6BB4" w:rsidP="001D6BB4">
            <w:pPr>
              <w:pStyle w:val="ListBullet2"/>
            </w:pPr>
            <w:r w:rsidRPr="001D6BB4">
              <w:t>enable clear and direct communication, using questioning to identify and confirm requirements, share information, listen and understand</w:t>
            </w:r>
          </w:p>
          <w:p w:rsidR="00000000" w:rsidRPr="001D6BB4" w:rsidP="001D6BB4">
            <w:pPr>
              <w:pStyle w:val="ListBullet2"/>
            </w:pPr>
            <w:r w:rsidRPr="001D6BB4">
              <w:t>use language and concepts appropriate to cultural differences</w:t>
            </w:r>
          </w:p>
          <w:p w:rsidR="00000000" w:rsidRPr="001D6BB4" w:rsidP="001D6BB4">
            <w:pPr>
              <w:pStyle w:val="ListBullet2"/>
            </w:pPr>
            <w:r w:rsidRPr="001D6BB4">
              <w:t>use and interpret non-verbal communication, such as hand s</w:t>
            </w:r>
            <w:r w:rsidRPr="001D6BB4">
              <w:t>ignals</w:t>
            </w:r>
          </w:p>
          <w:p w:rsidR="00000000" w:rsidRPr="001D6BB4" w:rsidP="001D6BB4">
            <w:pPr>
              <w:pStyle w:val="ListBullet2"/>
            </w:pPr>
            <w:r w:rsidRPr="001D6BB4">
              <w:t>written skills to record results of checks and tests and relevant work completion procedures</w:t>
            </w:r>
          </w:p>
          <w:p w:rsidR="00000000" w:rsidRPr="001D6BB4" w:rsidP="001D6BB4">
            <w:pPr>
              <w:pStyle w:val="ListBullet"/>
            </w:pPr>
            <w:r w:rsidRPr="001D6BB4">
              <w:t>evaluate own actions and make judgments about performance and necessary improvements</w:t>
            </w:r>
          </w:p>
          <w:p w:rsidR="00000000" w:rsidRPr="001D6BB4" w:rsidP="001D6BB4">
            <w:pPr>
              <w:pStyle w:val="ListBullet"/>
            </w:pPr>
            <w:r w:rsidRPr="001D6BB4">
              <w:t>identifying and accurately reporting to appropriate personnel any faults in tools, equipment or materials</w:t>
            </w:r>
          </w:p>
          <w:p w:rsidR="00000000" w:rsidRPr="001D6BB4" w:rsidP="001D6BB4">
            <w:pPr>
              <w:pStyle w:val="ListBullet"/>
            </w:pPr>
            <w:r w:rsidRPr="001D6BB4">
              <w:t>organisational skills, including the ability to plan and set out work</w:t>
            </w:r>
          </w:p>
          <w:p w:rsidR="00000000" w:rsidRPr="001D6BB4" w:rsidP="001D6BB4">
            <w:pPr>
              <w:pStyle w:val="ListBullet"/>
            </w:pPr>
            <w:r w:rsidRPr="001D6BB4">
              <w:t xml:space="preserve">respond to change and contribute to workplace responsibilities, such as current </w:t>
            </w:r>
            <w:r w:rsidRPr="001D6BB4">
              <w:t>work site environmental and sustainability frameworks and management systems</w:t>
            </w:r>
          </w:p>
          <w:p w:rsidR="00000000" w:rsidRPr="001D6BB4" w:rsidP="001D6BB4">
            <w:pPr>
              <w:pStyle w:val="ListBullet"/>
            </w:pPr>
            <w:r w:rsidRPr="001D6BB4">
              <w:t>teamwork skills to work with others to action tasks and relate to people from a range of cultural and ethnic backgrounds and with varying physical and mental abilities</w:t>
            </w:r>
          </w:p>
          <w:p w:rsidR="00000000" w:rsidRPr="001D6BB4" w:rsidP="001D6BB4">
            <w:pPr>
              <w:pStyle w:val="ListBullet"/>
            </w:pPr>
            <w:r w:rsidRPr="001D6BB4">
              <w:t>technologic</w:t>
            </w:r>
            <w:r w:rsidRPr="001D6BB4">
              <w:t>al skills to:</w:t>
            </w:r>
          </w:p>
          <w:p w:rsidR="00000000" w:rsidRPr="001D6BB4" w:rsidP="001D6BB4">
            <w:pPr>
              <w:pStyle w:val="ListBullet2"/>
            </w:pPr>
            <w:r w:rsidRPr="001D6BB4">
              <w:t>use a range of mobile technology, such as two-way radio and mobile phones</w:t>
            </w:r>
          </w:p>
          <w:p w:rsidR="00000000" w:rsidP="001D6BB4">
            <w:pPr>
              <w:pStyle w:val="ListBullet2"/>
              <w:rPr>
                <w:lang w:val="en-NZ"/>
              </w:rPr>
            </w:pPr>
            <w:r w:rsidRPr="001D6BB4">
              <w:t>voice and hand signals to access and understand site-specific instructions.</w:t>
            </w:r>
          </w:p>
        </w:tc>
      </w:tr>
      <w:tr w:rsidTr="00E847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SpecialBold"/>
              </w:rPr>
              <w:t>Required knowledge</w:t>
            </w:r>
          </w:p>
        </w:tc>
      </w:tr>
      <w:tr w:rsidTr="00E847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D6BB4" w:rsidP="001D6BB4">
            <w:pPr>
              <w:pStyle w:val="BodyText"/>
            </w:pPr>
            <w:r w:rsidRPr="001D6BB4">
              <w:t>Required knowledge for this unit is:</w:t>
            </w:r>
          </w:p>
          <w:p w:rsidR="00000000" w:rsidRPr="001D6BB4" w:rsidP="001D6BB4">
            <w:pPr>
              <w:pStyle w:val="ListBullet"/>
            </w:pPr>
            <w:r w:rsidRPr="001D6BB4">
              <w:t>general construction terminology</w:t>
            </w:r>
          </w:p>
          <w:p w:rsidR="00000000" w:rsidRPr="001D6BB4" w:rsidP="001D6BB4">
            <w:pPr>
              <w:pStyle w:val="ListBullet"/>
            </w:pPr>
            <w:r w:rsidRPr="001D6BB4">
              <w:t>handling wall and floor tiling materials techniques</w:t>
            </w:r>
          </w:p>
          <w:p w:rsidR="00000000" w:rsidRPr="001D6BB4" w:rsidP="001D6BB4">
            <w:pPr>
              <w:pStyle w:val="ListBullet"/>
            </w:pPr>
            <w:r w:rsidRPr="001D6BB4">
              <w:t>job safety analysis (JSA) and safe work method statements</w:t>
            </w:r>
          </w:p>
          <w:p w:rsidR="00000000" w:rsidRPr="001D6BB4" w:rsidP="001D6BB4">
            <w:pPr>
              <w:pStyle w:val="ListBullet"/>
            </w:pPr>
            <w:r w:rsidRPr="001D6BB4">
              <w:t>materials storage and environmentally friendly waste management</w:t>
            </w:r>
          </w:p>
          <w:p w:rsidR="00000000" w:rsidRPr="001D6BB4" w:rsidP="001D6BB4">
            <w:pPr>
              <w:pStyle w:val="ListBullet"/>
            </w:pPr>
            <w:r w:rsidRPr="001D6BB4">
              <w:t>MSDS and hazards associated with solvents, adhesives and cement and epoxy-based g</w:t>
            </w:r>
            <w:r w:rsidRPr="001D6BB4">
              <w:t>routs</w:t>
            </w:r>
          </w:p>
          <w:p w:rsidR="00000000" w:rsidRPr="001D6BB4" w:rsidP="001D6BB4">
            <w:pPr>
              <w:pStyle w:val="ListBullet"/>
            </w:pPr>
            <w:r w:rsidRPr="001D6BB4">
              <w:t>plans, drawings and specifications</w:t>
            </w:r>
          </w:p>
          <w:p w:rsidR="00000000" w:rsidRPr="001D6BB4" w:rsidP="001D6BB4">
            <w:pPr>
              <w:pStyle w:val="ListBullet"/>
            </w:pPr>
            <w:r w:rsidRPr="001D6BB4">
              <w:t>plant, tools and equipment types, characteristics, uses and limitations</w:t>
            </w:r>
          </w:p>
          <w:p w:rsidR="00000000" w:rsidRPr="001D6BB4" w:rsidP="001D6BB4">
            <w:pPr>
              <w:pStyle w:val="ListBullet"/>
            </w:pPr>
            <w:r w:rsidRPr="001D6BB4">
              <w:t>processes for the calculation of material requirements</w:t>
            </w:r>
          </w:p>
          <w:p w:rsidR="00000000" w:rsidRPr="001D6BB4" w:rsidP="001D6BB4">
            <w:pPr>
              <w:pStyle w:val="ListBullet"/>
            </w:pPr>
            <w:r w:rsidRPr="001D6BB4">
              <w:t>quality requirements</w:t>
            </w:r>
          </w:p>
          <w:p w:rsidR="00000000" w:rsidRPr="001D6BB4" w:rsidP="001D6BB4">
            <w:pPr>
              <w:pStyle w:val="ListBullet"/>
            </w:pPr>
            <w:r w:rsidRPr="001D6BB4">
              <w:t>wall and floor tiling materials, their qualities and applications</w:t>
            </w:r>
          </w:p>
          <w:p w:rsidR="00000000" w:rsidRPr="001D6BB4" w:rsidP="001D6BB4">
            <w:pPr>
              <w:pStyle w:val="ListBullet"/>
            </w:pPr>
            <w:r w:rsidRPr="001D6BB4">
              <w:t>w</w:t>
            </w:r>
            <w:r w:rsidRPr="001D6BB4">
              <w:t>all and floor tiling processes and sequences</w:t>
            </w:r>
          </w:p>
          <w:p w:rsidR="00000000" w:rsidRPr="001D6BB4" w:rsidP="001D6BB4">
            <w:pPr>
              <w:pStyle w:val="ListBullet"/>
            </w:pPr>
            <w:r w:rsidRPr="001D6BB4">
              <w:t>workplace and equipment safety requirements.</w:t>
            </w:r>
          </w:p>
        </w:tc>
      </w:tr>
    </w:tbl>
    <w:p w:rsidR="00E84703" w:rsidP="001D6BB4">
      <w:pPr>
        <w:pStyle w:val="BodyText"/>
      </w:pPr>
    </w:p>
    <w:p w:rsidR="00E84703" w:rsidP="001D6BB4">
      <w:pPr>
        <w:pStyle w:val="BodyText"/>
      </w:pPr>
    </w:p>
    <w:p w:rsidR="00000000" w:rsidRPr="001D6BB4" w:rsidP="001D6BB4">
      <w:pPr>
        <w:pStyle w:val="AllowPageBreak"/>
      </w:pPr>
    </w:p>
    <w:p w:rsidR="00000000" w:rsidRPr="001D6BB4" w:rsidP="001D6BB4">
      <w:pPr>
        <w:pStyle w:val="Heading1"/>
      </w:pPr>
      <w:bookmarkStart w:id="10" w:name="O_242466"/>
      <w:bookmarkEnd w:id="10"/>
      <w:r w:rsidRPr="001D6BB4">
        <w:t>Evidence Guide</w:t>
      </w:r>
    </w:p>
    <w:tbl>
      <w:tblPr>
        <w:tblW w:w="0" w:type="auto"/>
        <w:tblLayout w:type="fixed"/>
        <w:tblCellMar>
          <w:left w:w="62" w:type="dxa"/>
          <w:right w:w="62" w:type="dxa"/>
        </w:tblCellMar>
        <w:tblLook w:val="0000"/>
      </w:tblPr>
      <w:tblGrid>
        <w:gridCol w:w="3469"/>
        <w:gridCol w:w="5053"/>
      </w:tblGrid>
      <w:tr w:rsidTr="00E8470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D6BB4">
            <w:pPr>
              <w:pStyle w:val="BodyText"/>
              <w:rPr>
                <w:lang w:val="en-NZ"/>
              </w:rPr>
            </w:pPr>
            <w:r w:rsidRPr="001D6BB4">
              <w:rPr>
                <w:rStyle w:val="SpecialBold"/>
              </w:rPr>
              <w:t>EVIDENCE GUIDE</w:t>
            </w:r>
          </w:p>
        </w:tc>
      </w:tr>
      <w:tr w:rsidTr="00E8470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D6BB4">
            <w:pPr>
              <w:pStyle w:val="BodyText"/>
              <w:rPr>
                <w:lang w:val="en-NZ"/>
              </w:rPr>
            </w:pPr>
            <w:r w:rsidRPr="001D6BB4">
              <w:t>The evidence guide provides advice on assessment and must be read in conjunction with the performance criteria, required skills and knowledge, range statement and the Assessment Guidelines for the Training Package.</w:t>
            </w:r>
          </w:p>
        </w:tc>
      </w:tr>
      <w:tr w:rsidTr="00E8470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SpecialBold"/>
              </w:rPr>
              <w:t>Overview of assessment</w:t>
            </w:r>
          </w:p>
        </w:tc>
        <w:tc>
          <w:tcPr>
            <w:tcW w:w="5053"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t>This unit of competency could be assessed in the workplace or a close simulation of the workplace environment, provided that simulated or project-based assessment techniques fully replicate construction workplace conditions, materials, activities, responsi</w:t>
            </w:r>
            <w:r w:rsidRPr="001D6BB4">
              <w:t xml:space="preserve">bilities and procedures. </w:t>
            </w:r>
          </w:p>
        </w:tc>
      </w:tr>
      <w:tr w:rsidTr="00E8470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SpecialBold"/>
              </w:rPr>
              <w:t>Critical aspects for assessment and evidence required to demonstrate competency in this unit</w:t>
            </w:r>
          </w:p>
        </w:tc>
        <w:tc>
          <w:tcPr>
            <w:tcW w:w="5053" w:type="dxa"/>
            <w:tcBorders>
              <w:top w:val="nil"/>
              <w:left w:val="nil"/>
              <w:bottom w:val="nil"/>
              <w:right w:val="nil"/>
            </w:tcBorders>
            <w:tcMar>
              <w:top w:w="0" w:type="dxa"/>
              <w:left w:w="62" w:type="dxa"/>
              <w:bottom w:w="0" w:type="dxa"/>
              <w:right w:w="62" w:type="dxa"/>
            </w:tcMar>
          </w:tcPr>
          <w:p w:rsidR="00000000" w:rsidRPr="001D6BB4" w:rsidP="001D6BB4">
            <w:pPr>
              <w:pStyle w:val="BodyText"/>
            </w:pPr>
            <w:r w:rsidRPr="001D6BB4">
              <w:t>A person who demonstrates competency in this unit must be able to provide evidence of the ability to:</w:t>
            </w:r>
          </w:p>
          <w:p w:rsidR="00000000" w:rsidRPr="001D6BB4" w:rsidP="001D6BB4">
            <w:pPr>
              <w:pStyle w:val="ListBullet"/>
            </w:pPr>
            <w:r w:rsidRPr="001D6BB4">
              <w:t>locate, interpret and apply relev</w:t>
            </w:r>
            <w:r w:rsidRPr="001D6BB4">
              <w:t>ant information, standards and specifications</w:t>
            </w:r>
          </w:p>
          <w:p w:rsidR="00000000" w:rsidRPr="001D6BB4" w:rsidP="001D6BB4">
            <w:pPr>
              <w:pStyle w:val="ListBullet"/>
            </w:pPr>
            <w:r w:rsidRPr="001D6BB4">
              <w:t>comply with site safety plan and OHS legislation, regulations and codes of practice applicable to workplace operations</w:t>
            </w:r>
          </w:p>
          <w:p w:rsidR="00000000" w:rsidRPr="001D6BB4" w:rsidP="001D6BB4">
            <w:pPr>
              <w:pStyle w:val="ListBullet"/>
            </w:pPr>
            <w:r w:rsidRPr="001D6BB4">
              <w:t>comply with organisational policies and procedures including quality requirements</w:t>
            </w:r>
          </w:p>
          <w:p w:rsidR="00000000" w:rsidRPr="001D6BB4" w:rsidP="001D6BB4">
            <w:pPr>
              <w:pStyle w:val="ListBullet"/>
            </w:pPr>
            <w:r w:rsidRPr="001D6BB4">
              <w:t>safely an</w:t>
            </w:r>
            <w:r w:rsidRPr="001D6BB4">
              <w:t>d effectively operate and use tools, plant and equipment</w:t>
            </w:r>
          </w:p>
          <w:p w:rsidR="00000000" w:rsidRPr="001D6BB4" w:rsidP="001D6BB4">
            <w:pPr>
              <w:pStyle w:val="ListBullet"/>
            </w:pPr>
            <w:r w:rsidRPr="001D6BB4">
              <w:t>communicate and work effectively and safely with others</w:t>
            </w:r>
          </w:p>
          <w:p w:rsidR="00000000" w:rsidRPr="001D6BB4" w:rsidP="001D6BB4">
            <w:pPr>
              <w:pStyle w:val="ListBullet"/>
            </w:pPr>
            <w:r w:rsidRPr="001D6BB4">
              <w:t>as a minimum, given the plans and specifications for a bathroom wall and floor to be tiled, receive and confirm quantity and quality compliance</w:t>
            </w:r>
            <w:r w:rsidRPr="001D6BB4">
              <w:t xml:space="preserve">; handle, sort, stack and distribute the tiles, materials and components to support the performance of the task; prepare and mix the required adhesives and mortar, grouting and finishes required for the job; and clean up and store or dispose of excess and </w:t>
            </w:r>
            <w:r w:rsidRPr="001D6BB4">
              <w:t>waste materials on the completion of the job, ensuring:</w:t>
            </w:r>
          </w:p>
          <w:p w:rsidR="00000000" w:rsidRPr="001D6BB4" w:rsidP="001D6BB4">
            <w:pPr>
              <w:pStyle w:val="ListBullet2"/>
            </w:pPr>
            <w:r w:rsidRPr="001D6BB4">
              <w:t>correct identification of tiling requirement</w:t>
            </w:r>
          </w:p>
          <w:p w:rsidR="00000000" w:rsidRPr="001D6BB4" w:rsidP="001D6BB4">
            <w:pPr>
              <w:pStyle w:val="ListBullet2"/>
            </w:pPr>
            <w:r w:rsidRPr="001D6BB4">
              <w:t>correct selection and use of appropriate processes, tools and equipment</w:t>
            </w:r>
          </w:p>
          <w:p w:rsidR="00000000" w:rsidRPr="001D6BB4" w:rsidP="001D6BB4">
            <w:pPr>
              <w:pStyle w:val="ListBullet2"/>
            </w:pPr>
            <w:r w:rsidRPr="001D6BB4">
              <w:t>completing all work to specification</w:t>
            </w:r>
          </w:p>
          <w:p w:rsidR="00000000" w:rsidP="001D6BB4">
            <w:pPr>
              <w:pStyle w:val="ListBullet2"/>
              <w:rPr>
                <w:lang w:val="en-NZ"/>
              </w:rPr>
            </w:pPr>
            <w:r w:rsidRPr="001D6BB4">
              <w:t>compliance with regulations, standards and organisational quality procedures and processes.</w:t>
            </w:r>
          </w:p>
        </w:tc>
      </w:tr>
      <w:tr w:rsidTr="00E8470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SpecialBold"/>
              </w:rPr>
              <w:t>Context of and specific resources for assessment</w:t>
            </w:r>
          </w:p>
        </w:tc>
        <w:tc>
          <w:tcPr>
            <w:tcW w:w="5053" w:type="dxa"/>
            <w:tcBorders>
              <w:top w:val="nil"/>
              <w:left w:val="nil"/>
              <w:bottom w:val="nil"/>
              <w:right w:val="nil"/>
            </w:tcBorders>
            <w:tcMar>
              <w:top w:w="0" w:type="dxa"/>
              <w:left w:w="62" w:type="dxa"/>
              <w:bottom w:w="0" w:type="dxa"/>
              <w:right w:w="62" w:type="dxa"/>
            </w:tcMar>
          </w:tcPr>
          <w:p w:rsidR="00000000" w:rsidRPr="001D6BB4" w:rsidP="001D6BB4">
            <w:pPr>
              <w:pStyle w:val="BodyText"/>
            </w:pPr>
            <w:r w:rsidRPr="001D6BB4">
              <w:t>This competency is to be assessed using standard and authorised work practices, safety requirements and environmen</w:t>
            </w:r>
            <w:r w:rsidRPr="001D6BB4">
              <w:t>tal constraints.</w:t>
            </w:r>
          </w:p>
          <w:p w:rsidR="00000000" w:rsidRPr="001D6BB4" w:rsidP="001D6BB4">
            <w:pPr>
              <w:pStyle w:val="BodyText"/>
            </w:pPr>
            <w:r w:rsidRPr="001D6BB4">
              <w:t>Assessment of essential underpinning knowledge will usually be conducted in an off-site context.</w:t>
            </w:r>
          </w:p>
          <w:p w:rsidR="00000000" w:rsidRPr="001D6BB4" w:rsidP="001D6BB4">
            <w:pPr>
              <w:pStyle w:val="BodyText"/>
            </w:pPr>
            <w:r w:rsidRPr="001D6BB4">
              <w:t>Assessment is to comply with relevant regulatory or Australian standards' requirements.</w:t>
            </w:r>
          </w:p>
          <w:p w:rsidR="00000000" w:rsidRPr="001D6BB4" w:rsidP="001D6BB4">
            <w:pPr>
              <w:pStyle w:val="BodyText"/>
            </w:pPr>
            <w:r w:rsidRPr="001D6BB4">
              <w:t>Resource implications for assessment include:</w:t>
            </w:r>
          </w:p>
          <w:p w:rsidR="00000000" w:rsidRPr="001D6BB4" w:rsidP="001D6BB4">
            <w:pPr>
              <w:pStyle w:val="ListBullet"/>
            </w:pPr>
            <w:r w:rsidRPr="001D6BB4">
              <w:t>workpla</w:t>
            </w:r>
            <w:r w:rsidRPr="001D6BB4">
              <w:t>ce location or simulated workplace</w:t>
            </w:r>
          </w:p>
          <w:p w:rsidR="00000000" w:rsidRPr="001D6BB4" w:rsidP="001D6BB4">
            <w:pPr>
              <w:pStyle w:val="ListBullet"/>
            </w:pPr>
            <w:r w:rsidRPr="001D6BB4">
              <w:t>materials relevant to handling wall and floor tiling materials</w:t>
            </w:r>
          </w:p>
          <w:p w:rsidR="00000000" w:rsidRPr="001D6BB4" w:rsidP="001D6BB4">
            <w:pPr>
              <w:pStyle w:val="ListBullet"/>
            </w:pPr>
            <w:r w:rsidRPr="001D6BB4">
              <w:t>hand and power tools, plant and equipment appropriate to handling wall and floor tiling materials</w:t>
            </w:r>
          </w:p>
          <w:p w:rsidR="00000000" w:rsidRPr="001D6BB4" w:rsidP="001D6BB4">
            <w:pPr>
              <w:pStyle w:val="ListBullet"/>
            </w:pPr>
            <w:r w:rsidRPr="001D6BB4">
              <w:t>realistic activities covering the mandatory task requirements</w:t>
            </w:r>
          </w:p>
          <w:p w:rsidR="00000000" w:rsidRPr="001D6BB4" w:rsidP="001D6BB4">
            <w:pPr>
              <w:pStyle w:val="ListBullet"/>
            </w:pPr>
            <w:r w:rsidRPr="001D6BB4">
              <w:t>specifications and work instructions.</w:t>
            </w:r>
          </w:p>
          <w:p w:rsidR="00000000" w:rsidRPr="001D6BB4" w:rsidP="001D6BB4">
            <w:pPr>
              <w:pStyle w:val="BodyText"/>
            </w:pPr>
            <w:r w:rsidRPr="001D6BB4">
              <w:t>Assessment of this unit of competency may be in conjunction with assessment of other units commonly performed at the same time in normal job roles.</w:t>
            </w:r>
          </w:p>
          <w:p w:rsidR="00000000" w:rsidP="001D6BB4">
            <w:pPr>
              <w:pStyle w:val="BodyText"/>
              <w:rPr>
                <w:lang w:val="en-NZ"/>
              </w:rPr>
            </w:pPr>
            <w:r w:rsidRPr="001D6BB4">
              <w:t>Reasonab</w:t>
            </w:r>
            <w:r w:rsidRPr="001D6BB4">
              <w:t xml:space="preserve">le adjustments for people with disabilities must be made to assessment processes where required. This could include access to modified equipment and other physical resources, and the provision of appropriate assessment support. </w:t>
            </w:r>
          </w:p>
        </w:tc>
      </w:tr>
      <w:tr w:rsidTr="00E8470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SpecialBold"/>
              </w:rPr>
              <w:t>Method of assessment</w:t>
            </w:r>
          </w:p>
        </w:tc>
        <w:tc>
          <w:tcPr>
            <w:tcW w:w="5053" w:type="dxa"/>
            <w:tcBorders>
              <w:top w:val="nil"/>
              <w:left w:val="nil"/>
              <w:bottom w:val="nil"/>
              <w:right w:val="nil"/>
            </w:tcBorders>
            <w:tcMar>
              <w:top w:w="0" w:type="dxa"/>
              <w:left w:w="62" w:type="dxa"/>
              <w:bottom w:w="0" w:type="dxa"/>
              <w:right w:w="62" w:type="dxa"/>
            </w:tcMar>
          </w:tcPr>
          <w:p w:rsidR="00000000" w:rsidRPr="001D6BB4" w:rsidP="001D6BB4">
            <w:pPr>
              <w:pStyle w:val="BodyText"/>
            </w:pPr>
            <w:r w:rsidRPr="001D6BB4">
              <w:t>Asses</w:t>
            </w:r>
            <w:r w:rsidRPr="001D6BB4">
              <w:t>sment methods must:</w:t>
            </w:r>
          </w:p>
          <w:p w:rsidR="00000000" w:rsidRPr="001D6BB4" w:rsidP="001D6BB4">
            <w:pPr>
              <w:pStyle w:val="ListBullet"/>
            </w:pPr>
            <w:r w:rsidRPr="001D6BB4">
              <w:t>satisfy the endorsed Assessment Guidelines of the Construction, Plumbing and Services Training Package</w:t>
            </w:r>
          </w:p>
          <w:p w:rsidR="00000000" w:rsidRPr="001D6BB4" w:rsidP="001D6BB4">
            <w:pPr>
              <w:pStyle w:val="ListBullet"/>
            </w:pPr>
            <w:r w:rsidRPr="001D6BB4">
              <w:t>include direct observation of tasks in real or simulated work conditions, with questioning to confirm the ability to consistently id</w:t>
            </w:r>
            <w:r w:rsidRPr="001D6BB4">
              <w:t>entify and correctly interpret the essential underpinning knowledge required for practical application</w:t>
            </w:r>
          </w:p>
          <w:p w:rsidR="00000000" w:rsidRPr="001D6BB4" w:rsidP="001D6BB4">
            <w:pPr>
              <w:pStyle w:val="ListBullet"/>
            </w:pPr>
            <w:r w:rsidRPr="001D6BB4">
              <w:t>reinforce the integration of employability skills with workplace tasks and job roles</w:t>
            </w:r>
          </w:p>
          <w:p w:rsidR="00000000" w:rsidRPr="001D6BB4" w:rsidP="001D6BB4">
            <w:pPr>
              <w:pStyle w:val="ListBullet"/>
            </w:pPr>
            <w:r w:rsidRPr="001D6BB4">
              <w:t>confirm that competency is verified and able to be transferred to ot</w:t>
            </w:r>
            <w:r w:rsidRPr="001D6BB4">
              <w:t>her circumstances and environments.</w:t>
            </w:r>
          </w:p>
          <w:p w:rsidR="00000000" w:rsidRPr="001D6BB4" w:rsidP="001D6BB4">
            <w:pPr>
              <w:pStyle w:val="BodyText"/>
            </w:pPr>
            <w:r w:rsidRPr="001D6BB4">
              <w:t>Validity and sufficiency of evidence requires that:</w:t>
            </w:r>
          </w:p>
          <w:p w:rsidR="00000000" w:rsidRPr="001D6BB4" w:rsidP="001D6BB4">
            <w:pPr>
              <w:pStyle w:val="ListBullet"/>
            </w:pPr>
            <w:r w:rsidRPr="001D6BB4">
              <w:t>competency will need to be demonstrated over a period of time reflecting the scope of the role and the practical requirements of the workplace</w:t>
            </w:r>
          </w:p>
          <w:p w:rsidR="00000000" w:rsidRPr="001D6BB4" w:rsidP="001D6BB4">
            <w:pPr>
              <w:pStyle w:val="ListBullet"/>
            </w:pPr>
            <w:r w:rsidRPr="001D6BB4">
              <w:t>where the assessment is part of a structured learning experience the evidence collected must relate to a number of performances assessed at different points in time and separated by further learning and practice, with a decision on competency only taken at</w:t>
            </w:r>
            <w:r w:rsidRPr="001D6BB4">
              <w:t xml:space="preserve"> the point when the assessor has complete confidence in the person's demonstrated ability and applied knowledge</w:t>
            </w:r>
          </w:p>
          <w:p w:rsidR="00000000" w:rsidRPr="001D6BB4" w:rsidP="001D6BB4">
            <w:pPr>
              <w:pStyle w:val="ListBullet"/>
            </w:pPr>
            <w:r w:rsidRPr="001D6BB4">
              <w:t>all assessment that is part of a structured learning experience must include a combination of direct, indirect and supplementary evidence.</w:t>
            </w:r>
          </w:p>
          <w:p w:rsidR="00000000" w:rsidRPr="001D6BB4" w:rsidP="001D6BB4">
            <w:pPr>
              <w:pStyle w:val="BodyText"/>
            </w:pPr>
            <w:r w:rsidRPr="001D6BB4">
              <w:t>Asses</w:t>
            </w:r>
            <w:r w:rsidRPr="001D6BB4">
              <w:t>sment processes and techniques should as far as is practical take into account the language, literacy and numeracy capacity of the candidate in relation to the competency being assessed.</w:t>
            </w:r>
          </w:p>
          <w:p w:rsidR="00000000" w:rsidRPr="001D6BB4" w:rsidP="001D6BB4">
            <w:pPr>
              <w:pStyle w:val="BodyText"/>
            </w:pPr>
            <w:r w:rsidRPr="001D6BB4">
              <w:t>Supplementary evidence of competency may be obtained from relevant au</w:t>
            </w:r>
            <w:r w:rsidRPr="001D6BB4">
              <w:t xml:space="preserve">thenticated documentation from third parties, such as existing supervisors, team leaders or specialist training staff. </w:t>
            </w:r>
          </w:p>
        </w:tc>
      </w:tr>
    </w:tbl>
    <w:p w:rsidR="00E84703" w:rsidP="001D6BB4">
      <w:pPr>
        <w:pStyle w:val="BodyText"/>
      </w:pPr>
    </w:p>
    <w:p w:rsidR="00E84703" w:rsidP="001D6BB4">
      <w:pPr>
        <w:pStyle w:val="BodyText"/>
      </w:pPr>
    </w:p>
    <w:p w:rsidR="00000000" w:rsidRPr="001D6BB4" w:rsidP="001D6BB4">
      <w:pPr>
        <w:pStyle w:val="Heading1"/>
      </w:pPr>
      <w:bookmarkStart w:id="11" w:name="O_250449"/>
      <w:bookmarkEnd w:id="11"/>
      <w:r w:rsidRPr="001D6BB4">
        <w:t>Range Statement</w:t>
      </w:r>
    </w:p>
    <w:tbl>
      <w:tblPr>
        <w:tblW w:w="0" w:type="auto"/>
        <w:tblLayout w:type="fixed"/>
        <w:tblCellMar>
          <w:left w:w="62" w:type="dxa"/>
          <w:right w:w="62" w:type="dxa"/>
        </w:tblCellMar>
        <w:tblLook w:val="0000"/>
      </w:tblPr>
      <w:tblGrid>
        <w:gridCol w:w="3476"/>
        <w:gridCol w:w="5046"/>
      </w:tblGrid>
      <w:tr w:rsidTr="00E8470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D6BB4">
            <w:pPr>
              <w:pStyle w:val="BodyText"/>
              <w:rPr>
                <w:lang w:val="en-NZ"/>
              </w:rPr>
            </w:pPr>
            <w:r w:rsidRPr="001D6BB4">
              <w:rPr>
                <w:rStyle w:val="SpecialBold"/>
              </w:rPr>
              <w:t>RANGE STATEMENT</w:t>
            </w:r>
          </w:p>
        </w:tc>
      </w:tr>
      <w:tr w:rsidTr="00E8470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D6BB4">
            <w:pPr>
              <w:pStyle w:val="BodyText"/>
              <w:rPr>
                <w:lang w:val="en-NZ"/>
              </w:rPr>
            </w:pPr>
            <w:r w:rsidRPr="001D6BB4">
              <w:t>The range statement relates to the unit of competency as a whole. It allows for different work environments and situations that may affect performance. Bold italicised wording, if used in the performance criteria, is detailed below. Essential operating con</w:t>
            </w:r>
            <w:r w:rsidRPr="001D6BB4">
              <w:t>ditions that may be present with training and assessment (depending on the work situation, needs of the candidate, accessibility of the item, and local industry and regional contexts) may also be included.</w:t>
            </w:r>
          </w:p>
        </w:tc>
      </w:tr>
      <w:tr w:rsidTr="00E8470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BoldandItalics"/>
              </w:rPr>
              <w:t>Information</w:t>
            </w:r>
            <w:r w:rsidRPr="001D6BB4">
              <w:t xml:space="preserve"> includes:</w:t>
            </w:r>
          </w:p>
        </w:tc>
        <w:tc>
          <w:tcPr>
            <w:tcW w:w="5046" w:type="dxa"/>
            <w:tcBorders>
              <w:top w:val="nil"/>
              <w:left w:val="nil"/>
              <w:bottom w:val="nil"/>
              <w:right w:val="nil"/>
            </w:tcBorders>
            <w:tcMar>
              <w:top w:w="0" w:type="dxa"/>
              <w:left w:w="62" w:type="dxa"/>
              <w:bottom w:w="0" w:type="dxa"/>
              <w:right w:w="62" w:type="dxa"/>
            </w:tcMar>
          </w:tcPr>
          <w:p w:rsidR="00000000" w:rsidRPr="001D6BB4" w:rsidP="001D6BB4">
            <w:pPr>
              <w:pStyle w:val="ListBullet"/>
            </w:pPr>
            <w:r w:rsidRPr="001D6BB4">
              <w:t>diagrams or sketches</w:t>
            </w:r>
          </w:p>
          <w:p w:rsidR="00000000" w:rsidRPr="001D6BB4" w:rsidP="001D6BB4">
            <w:pPr>
              <w:pStyle w:val="ListBullet"/>
            </w:pPr>
            <w:r w:rsidRPr="001D6BB4">
              <w:t>instructions issued by authorised organisational or external personnel</w:t>
            </w:r>
          </w:p>
          <w:p w:rsidR="00000000" w:rsidRPr="001D6BB4" w:rsidP="001D6BB4">
            <w:pPr>
              <w:pStyle w:val="ListBullet"/>
            </w:pPr>
            <w:r w:rsidRPr="001D6BB4">
              <w:t>manufacturer specifications and instructions, where specified</w:t>
            </w:r>
          </w:p>
          <w:p w:rsidR="00000000" w:rsidRPr="001D6BB4" w:rsidP="001D6BB4">
            <w:pPr>
              <w:pStyle w:val="ListBullet"/>
            </w:pPr>
            <w:r w:rsidRPr="001D6BB4">
              <w:t>MSDS</w:t>
            </w:r>
          </w:p>
          <w:p w:rsidR="00000000" w:rsidRPr="001D6BB4" w:rsidP="001D6BB4">
            <w:pPr>
              <w:pStyle w:val="ListBullet"/>
            </w:pPr>
            <w:r w:rsidRPr="001D6BB4">
              <w:t>memos</w:t>
            </w:r>
          </w:p>
          <w:p w:rsidR="00000000" w:rsidRPr="001D6BB4" w:rsidP="001D6BB4">
            <w:pPr>
              <w:pStyle w:val="ListBullet"/>
            </w:pPr>
            <w:r w:rsidRPr="001D6BB4">
              <w:t>regulatory and legislative requirements pertaining to handling wall and floor tiling materials</w:t>
            </w:r>
          </w:p>
          <w:p w:rsidR="00000000" w:rsidRPr="001D6BB4" w:rsidP="001D6BB4">
            <w:pPr>
              <w:pStyle w:val="ListBullet"/>
            </w:pPr>
            <w:r w:rsidRPr="001D6BB4">
              <w:t>relevant Australi</w:t>
            </w:r>
            <w:r w:rsidRPr="001D6BB4">
              <w:t>an standards</w:t>
            </w:r>
          </w:p>
          <w:p w:rsidR="00000000" w:rsidRPr="001D6BB4" w:rsidP="001D6BB4">
            <w:pPr>
              <w:pStyle w:val="ListBullet"/>
            </w:pPr>
            <w:r w:rsidRPr="001D6BB4">
              <w:t>safe work procedures relating to handling wall and floor tiling materials</w:t>
            </w:r>
          </w:p>
          <w:p w:rsidR="00000000" w:rsidRPr="001D6BB4" w:rsidP="001D6BB4">
            <w:pPr>
              <w:pStyle w:val="ListBullet"/>
            </w:pPr>
            <w:r w:rsidRPr="001D6BB4">
              <w:t>signage</w:t>
            </w:r>
          </w:p>
          <w:p w:rsidR="00000000" w:rsidRPr="001D6BB4" w:rsidP="001D6BB4">
            <w:pPr>
              <w:pStyle w:val="ListBullet"/>
            </w:pPr>
            <w:r w:rsidRPr="001D6BB4">
              <w:t>verbal, written and graphical instructions</w:t>
            </w:r>
          </w:p>
          <w:p w:rsidR="00000000" w:rsidRPr="001D6BB4" w:rsidP="001D6BB4">
            <w:pPr>
              <w:pStyle w:val="ListBullet"/>
            </w:pPr>
            <w:r w:rsidRPr="001D6BB4">
              <w:t>work bulletins</w:t>
            </w:r>
          </w:p>
          <w:p w:rsidR="00000000" w:rsidP="001D6BB4">
            <w:pPr>
              <w:pStyle w:val="ListBullet"/>
              <w:rPr>
                <w:lang w:val="en-NZ"/>
              </w:rPr>
            </w:pPr>
            <w:r w:rsidRPr="001D6BB4">
              <w:t>work schedules, plans and specifications.</w:t>
            </w:r>
          </w:p>
        </w:tc>
      </w:tr>
      <w:tr w:rsidTr="00E8470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BoldandItalics"/>
              </w:rPr>
              <w:t>Planning and preparation</w:t>
            </w:r>
            <w:r w:rsidRPr="001D6BB4">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1D6BB4" w:rsidP="001D6BB4">
            <w:pPr>
              <w:pStyle w:val="ListBullet"/>
            </w:pPr>
            <w:r w:rsidRPr="001D6BB4">
              <w:t xml:space="preserve">assessment of conditions </w:t>
            </w:r>
            <w:r w:rsidRPr="001D6BB4">
              <w:t>and hazards</w:t>
            </w:r>
          </w:p>
          <w:p w:rsidR="00000000" w:rsidRPr="001D6BB4" w:rsidP="001D6BB4">
            <w:pPr>
              <w:pStyle w:val="ListBullet"/>
            </w:pPr>
            <w:r w:rsidRPr="001D6BB4">
              <w:t>determination of work requirements and safety plans and policies</w:t>
            </w:r>
          </w:p>
          <w:p w:rsidR="00000000" w:rsidRPr="001D6BB4" w:rsidP="001D6BB4">
            <w:pPr>
              <w:pStyle w:val="ListBullet"/>
            </w:pPr>
            <w:r w:rsidRPr="001D6BB4">
              <w:t>equipment defect identification</w:t>
            </w:r>
          </w:p>
          <w:p w:rsidR="00000000" w:rsidP="001D6BB4">
            <w:pPr>
              <w:pStyle w:val="ListBullet"/>
              <w:rPr>
                <w:lang w:val="en-NZ"/>
              </w:rPr>
            </w:pPr>
            <w:r w:rsidRPr="001D6BB4">
              <w:t>work site inspection.</w:t>
            </w:r>
          </w:p>
        </w:tc>
      </w:tr>
      <w:tr w:rsidTr="00E8470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BoldandItalics"/>
              </w:rPr>
              <w:t>Safety</w:t>
            </w:r>
            <w:r w:rsidRPr="001D6BB4">
              <w:t xml:space="preserve"> (</w:t>
            </w:r>
            <w:r w:rsidRPr="001D6BB4">
              <w:rPr>
                <w:rStyle w:val="BoldandItalics"/>
              </w:rPr>
              <w:t>OHS</w:t>
            </w:r>
            <w:r w:rsidRPr="001D6BB4">
              <w:t xml:space="preserve">) is to </w:t>
            </w:r>
            <w:r w:rsidRPr="001D6BB4">
              <w:t>be in accordance with state and territory legislation and regulations and project safety plan and may include:</w:t>
            </w:r>
          </w:p>
        </w:tc>
        <w:tc>
          <w:tcPr>
            <w:tcW w:w="5046" w:type="dxa"/>
            <w:tcBorders>
              <w:top w:val="nil"/>
              <w:left w:val="nil"/>
              <w:bottom w:val="nil"/>
              <w:right w:val="nil"/>
            </w:tcBorders>
            <w:tcMar>
              <w:top w:w="0" w:type="dxa"/>
              <w:left w:w="62" w:type="dxa"/>
              <w:bottom w:w="0" w:type="dxa"/>
              <w:right w:w="62" w:type="dxa"/>
            </w:tcMar>
          </w:tcPr>
          <w:p w:rsidR="00000000" w:rsidRPr="001D6BB4" w:rsidP="001D6BB4">
            <w:pPr>
              <w:pStyle w:val="ListBullet"/>
            </w:pPr>
            <w:r w:rsidRPr="001D6BB4">
              <w:t>emergency procedures, including extinguishing fires, organisational first aid requirements and evacuation</w:t>
            </w:r>
          </w:p>
          <w:p w:rsidR="00000000" w:rsidRPr="001D6BB4" w:rsidP="001D6BB4">
            <w:pPr>
              <w:pStyle w:val="ListBullet"/>
            </w:pPr>
            <w:r w:rsidRPr="001D6BB4">
              <w:t>hazard control</w:t>
            </w:r>
          </w:p>
          <w:p w:rsidR="00000000" w:rsidRPr="001D6BB4" w:rsidP="001D6BB4">
            <w:pPr>
              <w:pStyle w:val="ListBullet"/>
            </w:pPr>
            <w:r w:rsidRPr="001D6BB4">
              <w:t>hazardous materials and</w:t>
            </w:r>
            <w:r w:rsidRPr="001D6BB4">
              <w:t xml:space="preserve"> substances</w:t>
            </w:r>
          </w:p>
          <w:p w:rsidR="00000000" w:rsidRPr="001D6BB4" w:rsidP="001D6BB4">
            <w:pPr>
              <w:pStyle w:val="ListBullet"/>
            </w:pPr>
            <w:r w:rsidRPr="001D6BB4">
              <w:t>organisational first aid</w:t>
            </w:r>
          </w:p>
          <w:p w:rsidR="00000000" w:rsidRPr="001D6BB4" w:rsidP="001D6BB4">
            <w:pPr>
              <w:pStyle w:val="ListBullet"/>
            </w:pPr>
            <w:r w:rsidRPr="001D6BB4">
              <w:t>PPE prescribed under legislation, regulations and workplace policies and practices</w:t>
            </w:r>
          </w:p>
          <w:p w:rsidR="00000000" w:rsidRPr="001D6BB4" w:rsidP="001D6BB4">
            <w:pPr>
              <w:pStyle w:val="ListBullet"/>
            </w:pPr>
            <w:r w:rsidRPr="001D6BB4">
              <w:t>safe operating procedures, including the conduct of operational risk assessment and treatments associated with:</w:t>
            </w:r>
          </w:p>
          <w:p w:rsidR="00000000" w:rsidRPr="001D6BB4" w:rsidP="001D6BB4">
            <w:pPr>
              <w:pStyle w:val="ListBullet2"/>
            </w:pPr>
            <w:r w:rsidRPr="001D6BB4">
              <w:t>concealed services (wat</w:t>
            </w:r>
            <w:r w:rsidRPr="001D6BB4">
              <w:t>er, power and gas)</w:t>
            </w:r>
          </w:p>
          <w:p w:rsidR="00000000" w:rsidRPr="001D6BB4" w:rsidP="001D6BB4">
            <w:pPr>
              <w:pStyle w:val="ListBullet2"/>
            </w:pPr>
            <w:r w:rsidRPr="001D6BB4">
              <w:t>lighting</w:t>
            </w:r>
          </w:p>
          <w:p w:rsidR="00000000" w:rsidRPr="001D6BB4" w:rsidP="001D6BB4">
            <w:pPr>
              <w:pStyle w:val="ListBullet2"/>
            </w:pPr>
            <w:r w:rsidRPr="001D6BB4">
              <w:t>traffic control</w:t>
            </w:r>
          </w:p>
          <w:p w:rsidR="00000000" w:rsidRPr="001D6BB4" w:rsidP="001D6BB4">
            <w:pPr>
              <w:pStyle w:val="ListBullet2"/>
            </w:pPr>
            <w:r w:rsidRPr="001D6BB4">
              <w:t>restricted access barriers</w:t>
            </w:r>
          </w:p>
          <w:p w:rsidR="00000000" w:rsidRPr="001D6BB4" w:rsidP="001D6BB4">
            <w:pPr>
              <w:pStyle w:val="ListBullet2"/>
            </w:pPr>
            <w:r w:rsidRPr="001D6BB4">
              <w:t>trip hazards</w:t>
            </w:r>
          </w:p>
          <w:p w:rsidR="00000000" w:rsidRPr="001D6BB4" w:rsidP="001D6BB4">
            <w:pPr>
              <w:pStyle w:val="ListBullet2"/>
            </w:pPr>
            <w:r w:rsidRPr="001D6BB4">
              <w:t>work site visitors and the public</w:t>
            </w:r>
          </w:p>
          <w:p w:rsidR="00000000" w:rsidRPr="001D6BB4" w:rsidP="001D6BB4">
            <w:pPr>
              <w:pStyle w:val="ListBullet2"/>
            </w:pPr>
            <w:r w:rsidRPr="001D6BB4">
              <w:t>working at heights</w:t>
            </w:r>
          </w:p>
          <w:p w:rsidR="00000000" w:rsidRPr="001D6BB4" w:rsidP="001D6BB4">
            <w:pPr>
              <w:pStyle w:val="ListBullet2"/>
            </w:pPr>
            <w:r w:rsidRPr="001D6BB4">
              <w:t>working in confined spaces</w:t>
            </w:r>
          </w:p>
          <w:p w:rsidR="00000000" w:rsidRPr="001D6BB4" w:rsidP="001D6BB4">
            <w:pPr>
              <w:pStyle w:val="ListBullet2"/>
            </w:pPr>
            <w:r w:rsidRPr="001D6BB4">
              <w:t>working in proximity to others</w:t>
            </w:r>
          </w:p>
          <w:p w:rsidR="00000000" w:rsidRPr="001D6BB4" w:rsidP="001D6BB4">
            <w:pPr>
              <w:pStyle w:val="ListBullet"/>
            </w:pPr>
            <w:r w:rsidRPr="001D6BB4">
              <w:t>use of firefighting equipment</w:t>
            </w:r>
          </w:p>
          <w:p w:rsidR="00000000" w:rsidRPr="001D6BB4" w:rsidP="001D6BB4">
            <w:pPr>
              <w:pStyle w:val="ListBullet"/>
            </w:pPr>
            <w:r w:rsidRPr="001D6BB4">
              <w:t>use of tools and equipment</w:t>
            </w:r>
          </w:p>
          <w:p w:rsidR="00000000" w:rsidP="001D6BB4">
            <w:pPr>
              <w:pStyle w:val="ListBullet"/>
              <w:rPr>
                <w:lang w:val="en-NZ"/>
              </w:rPr>
            </w:pPr>
            <w:r w:rsidRPr="001D6BB4">
              <w:t>workplace environmental requirements and safety.</w:t>
            </w:r>
          </w:p>
        </w:tc>
      </w:tr>
      <w:tr w:rsidTr="00E8470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BoldandItalics"/>
              </w:rPr>
              <w:t>Tools and equipment</w:t>
            </w:r>
            <w:r w:rsidRPr="001D6BB4">
              <w:t>:</w:t>
            </w:r>
          </w:p>
        </w:tc>
        <w:tc>
          <w:tcPr>
            <w:tcW w:w="5046" w:type="dxa"/>
            <w:tcBorders>
              <w:top w:val="nil"/>
              <w:left w:val="nil"/>
              <w:bottom w:val="nil"/>
              <w:right w:val="nil"/>
            </w:tcBorders>
            <w:tcMar>
              <w:top w:w="0" w:type="dxa"/>
              <w:left w:w="62" w:type="dxa"/>
              <w:bottom w:w="0" w:type="dxa"/>
              <w:right w:w="62" w:type="dxa"/>
            </w:tcMar>
          </w:tcPr>
          <w:p w:rsidR="00000000" w:rsidRPr="001D6BB4" w:rsidP="001D6BB4">
            <w:pPr>
              <w:pStyle w:val="ListBullet"/>
            </w:pPr>
            <w:r w:rsidRPr="001D6BB4">
              <w:t>include:</w:t>
            </w:r>
          </w:p>
          <w:p w:rsidR="00000000" w:rsidRPr="001D6BB4" w:rsidP="001D6BB4">
            <w:pPr>
              <w:pStyle w:val="ListBullet2"/>
            </w:pPr>
            <w:r w:rsidRPr="001D6BB4">
              <w:t>scissors</w:t>
            </w:r>
          </w:p>
          <w:p w:rsidR="00000000" w:rsidRPr="001D6BB4" w:rsidP="001D6BB4">
            <w:pPr>
              <w:pStyle w:val="ListBullet2"/>
            </w:pPr>
            <w:r w:rsidRPr="001D6BB4">
              <w:t>cutting blades</w:t>
            </w:r>
          </w:p>
          <w:p w:rsidR="00000000" w:rsidRPr="001D6BB4" w:rsidP="001D6BB4">
            <w:pPr>
              <w:pStyle w:val="ListBullet2"/>
            </w:pPr>
            <w:r w:rsidRPr="001D6BB4">
              <w:t>wheelbarrows</w:t>
            </w:r>
          </w:p>
          <w:p w:rsidR="00000000" w:rsidRPr="001D6BB4" w:rsidP="001D6BB4">
            <w:pPr>
              <w:pStyle w:val="ListBullet2"/>
            </w:pPr>
            <w:r w:rsidRPr="001D6BB4">
              <w:t>ladders</w:t>
            </w:r>
          </w:p>
          <w:p w:rsidR="00000000" w:rsidRPr="001D6BB4" w:rsidP="001D6BB4">
            <w:pPr>
              <w:pStyle w:val="ListBullet2"/>
            </w:pPr>
            <w:r w:rsidRPr="001D6BB4">
              <w:t>elevated work platforms</w:t>
            </w:r>
          </w:p>
          <w:p w:rsidR="00000000" w:rsidRPr="001D6BB4" w:rsidP="001D6BB4">
            <w:pPr>
              <w:pStyle w:val="ListBullet2"/>
            </w:pPr>
            <w:r w:rsidRPr="001D6BB4">
              <w:t>brooms</w:t>
            </w:r>
          </w:p>
          <w:p w:rsidR="00000000" w:rsidRPr="001D6BB4" w:rsidP="001D6BB4">
            <w:pPr>
              <w:pStyle w:val="ListBullet2"/>
            </w:pPr>
            <w:r w:rsidRPr="001D6BB4">
              <w:t>forklifts</w:t>
            </w:r>
          </w:p>
          <w:p w:rsidR="00000000" w:rsidRPr="001D6BB4" w:rsidP="001D6BB4">
            <w:pPr>
              <w:pStyle w:val="ListBullet2"/>
            </w:pPr>
            <w:r w:rsidRPr="001D6BB4">
              <w:t>pallet jacks</w:t>
            </w:r>
          </w:p>
          <w:p w:rsidR="00000000" w:rsidRPr="001D6BB4" w:rsidP="001D6BB4">
            <w:pPr>
              <w:pStyle w:val="ListBullet2"/>
            </w:pPr>
            <w:r w:rsidRPr="001D6BB4">
              <w:t>buckets</w:t>
            </w:r>
          </w:p>
          <w:p w:rsidR="00000000" w:rsidRPr="001D6BB4" w:rsidP="001D6BB4">
            <w:pPr>
              <w:pStyle w:val="ListBullet"/>
            </w:pPr>
            <w:r w:rsidRPr="001D6BB4">
              <w:t>may include:</w:t>
            </w:r>
          </w:p>
          <w:p w:rsidR="00000000" w:rsidRPr="001D6BB4" w:rsidP="001D6BB4">
            <w:pPr>
              <w:pStyle w:val="ListBullet2"/>
            </w:pPr>
            <w:r w:rsidRPr="001D6BB4">
              <w:t>scaffolds</w:t>
            </w:r>
          </w:p>
          <w:p w:rsidR="00000000" w:rsidRPr="001D6BB4" w:rsidP="001D6BB4">
            <w:pPr>
              <w:pStyle w:val="ListBullet2"/>
            </w:pPr>
            <w:r w:rsidRPr="001D6BB4">
              <w:t>concrete mixers</w:t>
            </w:r>
          </w:p>
          <w:p w:rsidR="00000000" w:rsidP="001D6BB4">
            <w:pPr>
              <w:pStyle w:val="ListBullet2"/>
              <w:rPr>
                <w:lang w:val="en-NZ"/>
              </w:rPr>
            </w:pPr>
            <w:r w:rsidRPr="001D6BB4">
              <w:t>adhesive mixers.</w:t>
            </w:r>
          </w:p>
        </w:tc>
      </w:tr>
      <w:tr w:rsidTr="00E8470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BoldandItalics"/>
              </w:rPr>
              <w:t>Quality requirements</w:t>
            </w:r>
            <w:r w:rsidRPr="001D6BB4">
              <w:t xml:space="preserve"> include relevant regulations, including:</w:t>
            </w:r>
          </w:p>
        </w:tc>
        <w:tc>
          <w:tcPr>
            <w:tcW w:w="5046" w:type="dxa"/>
            <w:tcBorders>
              <w:top w:val="nil"/>
              <w:left w:val="nil"/>
              <w:bottom w:val="nil"/>
              <w:right w:val="nil"/>
            </w:tcBorders>
            <w:tcMar>
              <w:top w:w="0" w:type="dxa"/>
              <w:left w:w="62" w:type="dxa"/>
              <w:bottom w:w="0" w:type="dxa"/>
              <w:right w:w="62" w:type="dxa"/>
            </w:tcMar>
          </w:tcPr>
          <w:p w:rsidR="00000000" w:rsidRPr="001D6BB4" w:rsidP="001D6BB4">
            <w:pPr>
              <w:pStyle w:val="ListBullet"/>
            </w:pPr>
            <w:r w:rsidRPr="001D6BB4">
              <w:t>Australian standards</w:t>
            </w:r>
          </w:p>
          <w:p w:rsidR="00000000" w:rsidRPr="001D6BB4" w:rsidP="001D6BB4">
            <w:pPr>
              <w:pStyle w:val="ListBullet"/>
            </w:pPr>
            <w:r w:rsidRPr="001D6BB4">
              <w:t>internal company quality policy and standards</w:t>
            </w:r>
          </w:p>
          <w:p w:rsidR="00000000" w:rsidRPr="001D6BB4" w:rsidP="001D6BB4">
            <w:pPr>
              <w:pStyle w:val="ListBullet"/>
            </w:pPr>
            <w:r w:rsidRPr="001D6BB4">
              <w:t>manufacturer specifications</w:t>
            </w:r>
          </w:p>
          <w:p w:rsidR="00000000" w:rsidP="001D6BB4">
            <w:pPr>
              <w:pStyle w:val="ListBullet"/>
              <w:rPr>
                <w:lang w:val="en-NZ"/>
              </w:rPr>
            </w:pPr>
            <w:r w:rsidRPr="001D6BB4">
              <w:t>workplace operations and procedures.</w:t>
            </w:r>
          </w:p>
        </w:tc>
      </w:tr>
      <w:tr w:rsidTr="00E8470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BoldandItalics"/>
              </w:rPr>
              <w:t>Materials</w:t>
            </w:r>
            <w:r w:rsidRPr="001D6BB4">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1D6BB4" w:rsidP="001D6BB4">
            <w:pPr>
              <w:pStyle w:val="ListBullet"/>
            </w:pPr>
            <w:r w:rsidRPr="001D6BB4">
              <w:t>adhesives</w:t>
            </w:r>
          </w:p>
          <w:p w:rsidR="00000000" w:rsidRPr="001D6BB4" w:rsidP="001D6BB4">
            <w:pPr>
              <w:pStyle w:val="ListBullet"/>
            </w:pPr>
            <w:r w:rsidRPr="001D6BB4">
              <w:t>caulking compound</w:t>
            </w:r>
          </w:p>
          <w:p w:rsidR="00000000" w:rsidRPr="001D6BB4" w:rsidP="001D6BB4">
            <w:pPr>
              <w:pStyle w:val="ListBullet"/>
            </w:pPr>
            <w:r w:rsidRPr="001D6BB4">
              <w:t>cement morta</w:t>
            </w:r>
            <w:r w:rsidRPr="001D6BB4">
              <w:t>r (with and without additives)</w:t>
            </w:r>
          </w:p>
          <w:p w:rsidR="00000000" w:rsidRPr="001D6BB4" w:rsidP="001D6BB4">
            <w:pPr>
              <w:pStyle w:val="ListBullet"/>
            </w:pPr>
            <w:r w:rsidRPr="001D6BB4">
              <w:t>grout</w:t>
            </w:r>
          </w:p>
          <w:p w:rsidR="00000000" w:rsidP="001D6BB4">
            <w:pPr>
              <w:pStyle w:val="ListBullet"/>
              <w:rPr>
                <w:lang w:val="en-NZ"/>
              </w:rPr>
            </w:pPr>
            <w:r w:rsidRPr="001D6BB4">
              <w:t>tiles.</w:t>
            </w:r>
          </w:p>
        </w:tc>
      </w:tr>
      <w:tr w:rsidTr="00E8470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BoldandItalics"/>
              </w:rPr>
              <w:t>Environmental requirements</w:t>
            </w:r>
            <w:r w:rsidRPr="001D6BB4">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1D6BB4" w:rsidP="001D6BB4">
            <w:pPr>
              <w:pStyle w:val="ListBullet"/>
            </w:pPr>
            <w:r w:rsidRPr="001D6BB4">
              <w:t>clean-up management</w:t>
            </w:r>
          </w:p>
          <w:p w:rsidR="00000000" w:rsidRPr="001D6BB4" w:rsidP="001D6BB4">
            <w:pPr>
              <w:pStyle w:val="ListBullet"/>
            </w:pPr>
            <w:r w:rsidRPr="001D6BB4">
              <w:t>dust and noise</w:t>
            </w:r>
          </w:p>
          <w:p w:rsidR="00000000" w:rsidRPr="001D6BB4" w:rsidP="001D6BB4">
            <w:pPr>
              <w:pStyle w:val="ListBullet"/>
            </w:pPr>
            <w:r w:rsidRPr="001D6BB4">
              <w:t>vibration</w:t>
            </w:r>
          </w:p>
          <w:p w:rsidR="00000000" w:rsidP="001D6BB4">
            <w:pPr>
              <w:pStyle w:val="ListBullet"/>
              <w:rPr>
                <w:lang w:val="en-NZ"/>
              </w:rPr>
            </w:pPr>
            <w:r w:rsidRPr="001D6BB4">
              <w:t>waste management.</w:t>
            </w:r>
          </w:p>
        </w:tc>
      </w:tr>
      <w:tr w:rsidTr="00E8470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BoldandItalics"/>
              </w:rPr>
              <w:t>Tiling products</w:t>
            </w:r>
            <w:r w:rsidRPr="001D6BB4">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1D6BB4" w:rsidP="001D6BB4">
            <w:pPr>
              <w:pStyle w:val="ListBullet"/>
            </w:pPr>
            <w:r w:rsidRPr="001D6BB4">
              <w:t>ceramic</w:t>
            </w:r>
          </w:p>
          <w:p w:rsidR="00000000" w:rsidRPr="001D6BB4" w:rsidP="001D6BB4">
            <w:pPr>
              <w:pStyle w:val="ListBullet"/>
            </w:pPr>
            <w:r w:rsidRPr="001D6BB4">
              <w:t>glass</w:t>
            </w:r>
          </w:p>
          <w:p w:rsidR="00000000" w:rsidRPr="001D6BB4" w:rsidP="001D6BB4">
            <w:pPr>
              <w:pStyle w:val="ListBullet"/>
            </w:pPr>
            <w:r w:rsidRPr="001D6BB4">
              <w:t>granite</w:t>
            </w:r>
          </w:p>
          <w:p w:rsidR="00000000" w:rsidRPr="001D6BB4" w:rsidP="001D6BB4">
            <w:pPr>
              <w:pStyle w:val="ListBullet"/>
            </w:pPr>
            <w:r w:rsidRPr="001D6BB4">
              <w:t>marble</w:t>
            </w:r>
          </w:p>
          <w:p w:rsidR="00000000" w:rsidRPr="001D6BB4" w:rsidP="001D6BB4">
            <w:pPr>
              <w:pStyle w:val="ListBullet"/>
            </w:pPr>
            <w:r w:rsidRPr="001D6BB4">
              <w:t>porcelain</w:t>
            </w:r>
          </w:p>
          <w:p w:rsidR="00000000" w:rsidRPr="001D6BB4" w:rsidP="001D6BB4">
            <w:pPr>
              <w:pStyle w:val="ListBullet"/>
            </w:pPr>
            <w:r w:rsidRPr="001D6BB4">
              <w:t>stone</w:t>
            </w:r>
          </w:p>
          <w:p w:rsidR="00000000" w:rsidP="001D6BB4">
            <w:pPr>
              <w:pStyle w:val="ListBullet"/>
              <w:rPr>
                <w:lang w:val="en-NZ"/>
              </w:rPr>
            </w:pPr>
            <w:r w:rsidRPr="001D6BB4">
              <w:t>terracotta.</w:t>
            </w:r>
          </w:p>
        </w:tc>
      </w:tr>
      <w:tr w:rsidTr="00E8470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BoldandItalics"/>
              </w:rPr>
              <w:t>Statutory and regulatory authorities</w:t>
            </w:r>
            <w:r w:rsidRPr="001D6BB4">
              <w:t xml:space="preserve"> include:</w:t>
            </w:r>
          </w:p>
        </w:tc>
        <w:tc>
          <w:tcPr>
            <w:tcW w:w="5046" w:type="dxa"/>
            <w:tcBorders>
              <w:top w:val="nil"/>
              <w:left w:val="nil"/>
              <w:bottom w:val="nil"/>
              <w:right w:val="nil"/>
            </w:tcBorders>
            <w:tcMar>
              <w:top w:w="0" w:type="dxa"/>
              <w:left w:w="62" w:type="dxa"/>
              <w:bottom w:w="0" w:type="dxa"/>
              <w:right w:w="62" w:type="dxa"/>
            </w:tcMar>
          </w:tcPr>
          <w:p w:rsidR="00000000" w:rsidP="001D6BB4">
            <w:pPr>
              <w:pStyle w:val="ListBullet"/>
              <w:rPr>
                <w:lang w:val="en-NZ"/>
              </w:rPr>
            </w:pPr>
            <w:r w:rsidRPr="001D6BB4">
              <w:t>federal, state and local authorities administering the applicable Acts, regulations and codes of practice.</w:t>
            </w:r>
          </w:p>
        </w:tc>
      </w:tr>
      <w:tr w:rsidTr="00E8470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BoldandItalics"/>
              </w:rPr>
              <w:t>Waste materials</w:t>
            </w:r>
            <w:r w:rsidRPr="001D6BB4">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1D6BB4" w:rsidP="001D6BB4">
            <w:pPr>
              <w:pStyle w:val="ListBullet"/>
            </w:pPr>
            <w:r w:rsidRPr="001D6BB4">
              <w:t>banding straps</w:t>
            </w:r>
          </w:p>
          <w:p w:rsidR="00000000" w:rsidRPr="001D6BB4" w:rsidP="001D6BB4">
            <w:pPr>
              <w:pStyle w:val="ListBullet"/>
            </w:pPr>
            <w:r w:rsidRPr="001D6BB4">
              <w:t>broken or damaged goods</w:t>
            </w:r>
          </w:p>
          <w:p w:rsidR="00000000" w:rsidRPr="001D6BB4" w:rsidP="001D6BB4">
            <w:pPr>
              <w:pStyle w:val="ListBullet"/>
            </w:pPr>
            <w:r w:rsidRPr="001D6BB4">
              <w:t>cardboard</w:t>
            </w:r>
          </w:p>
          <w:p w:rsidR="00000000" w:rsidRPr="001D6BB4" w:rsidP="001D6BB4">
            <w:pPr>
              <w:pStyle w:val="ListBullet"/>
            </w:pPr>
            <w:r w:rsidRPr="001D6BB4">
              <w:t>excess materials</w:t>
            </w:r>
          </w:p>
          <w:p w:rsidR="00000000" w:rsidRPr="001D6BB4" w:rsidP="001D6BB4">
            <w:pPr>
              <w:pStyle w:val="ListBullet"/>
            </w:pPr>
            <w:r w:rsidRPr="001D6BB4">
              <w:t>packing pieces</w:t>
            </w:r>
          </w:p>
          <w:p w:rsidR="00000000" w:rsidRPr="001D6BB4" w:rsidP="001D6BB4">
            <w:pPr>
              <w:pStyle w:val="ListBullet"/>
            </w:pPr>
            <w:r w:rsidRPr="001D6BB4">
              <w:t>paper</w:t>
            </w:r>
          </w:p>
          <w:p w:rsidR="00000000" w:rsidRPr="001D6BB4" w:rsidP="001D6BB4">
            <w:pPr>
              <w:pStyle w:val="ListBullet"/>
            </w:pPr>
            <w:r w:rsidRPr="001D6BB4">
              <w:t>plastic.</w:t>
            </w:r>
          </w:p>
        </w:tc>
      </w:tr>
    </w:tbl>
    <w:p w:rsidR="00E84703" w:rsidP="001D6BB4">
      <w:pPr>
        <w:pStyle w:val="BodyText"/>
      </w:pPr>
    </w:p>
    <w:p w:rsidR="00E84703" w:rsidP="001D6BB4">
      <w:pPr>
        <w:pStyle w:val="BodyText"/>
      </w:pPr>
    </w:p>
    <w:p w:rsidR="00000000" w:rsidRPr="001D6BB4" w:rsidP="001D6BB4">
      <w:pPr>
        <w:pStyle w:val="Heading1"/>
      </w:pPr>
      <w:bookmarkStart w:id="12" w:name="O_199164"/>
      <w:bookmarkEnd w:id="12"/>
      <w:r w:rsidRPr="001D6BB4">
        <w:t>Unit Sector(s)</w:t>
      </w:r>
    </w:p>
    <w:tbl>
      <w:tblPr>
        <w:tblW w:w="0" w:type="auto"/>
        <w:tblLayout w:type="fixed"/>
        <w:tblCellMar>
          <w:left w:w="62" w:type="dxa"/>
          <w:right w:w="62" w:type="dxa"/>
        </w:tblCellMar>
        <w:tblLook w:val="0000"/>
      </w:tblPr>
      <w:tblGrid>
        <w:gridCol w:w="2471"/>
        <w:gridCol w:w="6051"/>
      </w:tblGrid>
      <w:tr w:rsidTr="00E84703">
        <w:tblPrEx>
          <w:tblW w:w="0" w:type="auto"/>
          <w:tblLayout w:type="fixed"/>
          <w:tblCellMar>
            <w:left w:w="62" w:type="dxa"/>
            <w:right w:w="62" w:type="dxa"/>
          </w:tblCellMar>
          <w:tblLook w:val="0000"/>
        </w:tblPrEx>
        <w:trPr>
          <w:tblHeader/>
        </w:trPr>
        <w:tc>
          <w:tcPr>
            <w:tcW w:w="2471"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SpecialBold"/>
              </w:rPr>
              <w:t>Unit sector</w:t>
            </w:r>
          </w:p>
        </w:tc>
        <w:tc>
          <w:tcPr>
            <w:tcW w:w="6051" w:type="dxa"/>
            <w:tcBorders>
              <w:top w:val="nil"/>
              <w:left w:val="nil"/>
              <w:bottom w:val="nil"/>
              <w:right w:val="nil"/>
            </w:tcBorders>
            <w:tcMar>
              <w:top w:w="0" w:type="dxa"/>
              <w:left w:w="62" w:type="dxa"/>
              <w:bottom w:w="0" w:type="dxa"/>
              <w:right w:w="62" w:type="dxa"/>
            </w:tcMar>
          </w:tcPr>
          <w:p w:rsidR="00000000" w:rsidRPr="001D6BB4" w:rsidP="001D6BB4">
            <w:pPr>
              <w:pStyle w:val="BodyText"/>
            </w:pPr>
            <w:r w:rsidRPr="001D6BB4">
              <w:t>Construction</w:t>
            </w:r>
          </w:p>
        </w:tc>
      </w:tr>
    </w:tbl>
    <w:p w:rsidR="00E84703" w:rsidP="001D6BB4">
      <w:pPr>
        <w:pStyle w:val="BodyText"/>
      </w:pPr>
    </w:p>
    <w:p w:rsidR="00E84703" w:rsidP="001D6BB4">
      <w:pPr>
        <w:pStyle w:val="BodyText"/>
      </w:pPr>
    </w:p>
    <w:p w:rsidR="00000000" w:rsidRPr="001D6BB4" w:rsidP="001D6BB4">
      <w:pPr>
        <w:pStyle w:val="Heading1"/>
      </w:pPr>
      <w:bookmarkStart w:id="13" w:name="O_199161"/>
      <w:bookmarkEnd w:id="13"/>
      <w:r w:rsidRPr="001D6BB4">
        <w:t>Co-requisite units</w:t>
      </w:r>
    </w:p>
    <w:tbl>
      <w:tblPr>
        <w:tblW w:w="0" w:type="auto"/>
        <w:tblLayout w:type="fixed"/>
        <w:tblCellMar>
          <w:left w:w="62" w:type="dxa"/>
          <w:right w:w="62" w:type="dxa"/>
        </w:tblCellMar>
        <w:tblLook w:val="0000"/>
      </w:tblPr>
      <w:tblGrid>
        <w:gridCol w:w="2483"/>
        <w:gridCol w:w="2126"/>
        <w:gridCol w:w="3913"/>
      </w:tblGrid>
      <w:tr w:rsidTr="00E84703">
        <w:tblPrEx>
          <w:tblW w:w="0" w:type="auto"/>
          <w:tblLayout w:type="fixed"/>
          <w:tblCellMar>
            <w:left w:w="62" w:type="dxa"/>
            <w:right w:w="62" w:type="dxa"/>
          </w:tblCellMar>
          <w:tblLook w:val="0000"/>
        </w:tblPrEx>
        <w:trPr>
          <w:tblHeader/>
        </w:trPr>
        <w:tc>
          <w:tcPr>
            <w:tcW w:w="2483"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SpecialBold"/>
              </w:rPr>
              <w:t>Co-requisite units</w:t>
            </w:r>
          </w:p>
        </w:tc>
        <w:tc>
          <w:tcPr>
            <w:tcW w:w="6039" w:type="dxa"/>
            <w:gridSpan w:val="2"/>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t>Nil</w:t>
            </w:r>
          </w:p>
        </w:tc>
      </w:tr>
      <w:tr w:rsidTr="00E84703">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p>
        </w:tc>
      </w:tr>
      <w:tr w:rsidTr="00E84703">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RPr="001D6BB4" w:rsidP="001D6BB4">
            <w:pPr>
              <w:pStyle w:val="BodyText"/>
            </w:pPr>
          </w:p>
        </w:tc>
      </w:tr>
    </w:tbl>
    <w:p w:rsidR="00E84703" w:rsidP="001D6BB4">
      <w:pPr>
        <w:pStyle w:val="BodyText"/>
      </w:pPr>
    </w:p>
    <w:p w:rsidR="00E84703" w:rsidP="001D6BB4">
      <w:pPr>
        <w:pStyle w:val="BodyText"/>
      </w:pPr>
    </w:p>
    <w:p w:rsidR="00000000" w:rsidRPr="001D6BB4" w:rsidP="001D6BB4">
      <w:pPr>
        <w:pStyle w:val="Heading1"/>
      </w:pPr>
      <w:bookmarkStart w:id="14" w:name="O_199163"/>
      <w:bookmarkEnd w:id="14"/>
      <w:r w:rsidRPr="001D6BB4">
        <w:t>Functional area</w:t>
      </w:r>
    </w:p>
    <w:tbl>
      <w:tblPr>
        <w:tblW w:w="0" w:type="auto"/>
        <w:tblLayout w:type="fixed"/>
        <w:tblCellMar>
          <w:left w:w="62" w:type="dxa"/>
          <w:right w:w="62" w:type="dxa"/>
        </w:tblCellMar>
        <w:tblLook w:val="0000"/>
      </w:tblPr>
      <w:tblGrid>
        <w:gridCol w:w="2572"/>
        <w:gridCol w:w="5950"/>
      </w:tblGrid>
      <w:tr w:rsidTr="00E84703">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1D6BB4">
            <w:pPr>
              <w:pStyle w:val="BodyText"/>
              <w:rPr>
                <w:lang w:val="en-NZ"/>
              </w:rPr>
            </w:pPr>
            <w:r w:rsidRPr="001D6BB4">
              <w:rPr>
                <w:rStyle w:val="SpecialBold"/>
              </w:rPr>
              <w:t>Functional area</w:t>
            </w:r>
          </w:p>
        </w:tc>
        <w:tc>
          <w:tcPr>
            <w:tcW w:w="5950" w:type="dxa"/>
            <w:tcBorders>
              <w:top w:val="nil"/>
              <w:left w:val="nil"/>
              <w:bottom w:val="nil"/>
              <w:right w:val="nil"/>
            </w:tcBorders>
            <w:tcMar>
              <w:top w:w="0" w:type="dxa"/>
              <w:left w:w="62" w:type="dxa"/>
              <w:bottom w:w="0" w:type="dxa"/>
              <w:right w:w="62" w:type="dxa"/>
            </w:tcMar>
          </w:tcPr>
          <w:p w:rsidR="00000000" w:rsidRPr="001D6BB4" w:rsidP="001D6BB4">
            <w:pPr>
              <w:pStyle w:val="BodyText"/>
            </w:pPr>
          </w:p>
        </w:tc>
      </w:tr>
    </w:tbl>
    <w:p w:rsidR="00E84703" w:rsidP="001D6BB4">
      <w:pPr>
        <w:pStyle w:val="BodyText"/>
      </w:pPr>
    </w:p>
    <w:p w:rsidR="00E84703" w:rsidP="001D6BB4">
      <w:pPr>
        <w:pStyle w:val="BodyText"/>
      </w:pPr>
    </w:p>
    <w:p w:rsidR="00000000" w:rsidRPr="001D6BB4" w:rsidP="001D6BB4"/>
    <w:sectPr w:rsidSect="001D6B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4703" w:rsidP="00E847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03" w:rsidP="001D6B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84703" w:rsidP="001D6B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84703" w:rsidP="001D6B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4703" w:rsidP="00E847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03" w:rsidP="001D6BB4">
    <w:pPr>
      <w:pStyle w:val="Header"/>
      <w:framePr w:wrap="around"/>
    </w:pPr>
    <w:r>
      <w:fldChar w:fldCharType="begin"/>
    </w:r>
    <w:r>
      <w:instrText xml:space="preserve"> TITLE   \* MERGEFORMAT </w:instrText>
    </w:r>
    <w:r>
      <w:fldChar w:fldCharType="separate"/>
    </w:r>
    <w:r>
      <w:t>CPCCWF2001A Handle wall and floor tiling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4703" w:rsidP="001D6B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82B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868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3CF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B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6BB4"/>
    <w:pPr>
      <w:spacing w:before="360" w:after="60"/>
      <w:outlineLvl w:val="0"/>
    </w:pPr>
    <w:rPr>
      <w:sz w:val="32"/>
    </w:rPr>
  </w:style>
  <w:style w:type="paragraph" w:styleId="Heading2">
    <w:name w:val="heading 2"/>
    <w:basedOn w:val="HeadingBase"/>
    <w:next w:val="BodyText"/>
    <w:link w:val="Heading2Char"/>
    <w:qFormat/>
    <w:rsid w:val="001D6BB4"/>
    <w:pPr>
      <w:keepLines/>
      <w:spacing w:before="240" w:after="120"/>
      <w:outlineLvl w:val="1"/>
    </w:pPr>
    <w:rPr>
      <w:sz w:val="28"/>
      <w:szCs w:val="40"/>
    </w:rPr>
  </w:style>
  <w:style w:type="paragraph" w:styleId="Heading3">
    <w:name w:val="heading 3"/>
    <w:basedOn w:val="HeadingBase"/>
    <w:next w:val="BodyText"/>
    <w:link w:val="Heading3Char"/>
    <w:qFormat/>
    <w:rsid w:val="001D6BB4"/>
    <w:pPr>
      <w:spacing w:before="180" w:after="120"/>
      <w:outlineLvl w:val="2"/>
    </w:pPr>
    <w:rPr>
      <w:spacing w:val="-10"/>
      <w:kern w:val="32"/>
    </w:rPr>
  </w:style>
  <w:style w:type="paragraph" w:styleId="Heading4">
    <w:name w:val="heading 4"/>
    <w:basedOn w:val="HeadingBase"/>
    <w:next w:val="BodyText"/>
    <w:link w:val="Heading4Char"/>
    <w:qFormat/>
    <w:rsid w:val="001D6BB4"/>
    <w:pPr>
      <w:spacing w:before="160" w:after="120"/>
      <w:outlineLvl w:val="3"/>
    </w:pPr>
    <w:rPr>
      <w:sz w:val="22"/>
    </w:rPr>
  </w:style>
  <w:style w:type="paragraph" w:styleId="Heading5">
    <w:name w:val="heading 5"/>
    <w:basedOn w:val="HeadingBase"/>
    <w:next w:val="Normal"/>
    <w:link w:val="Heading5Char"/>
    <w:qFormat/>
    <w:rsid w:val="001D6BB4"/>
    <w:pPr>
      <w:spacing w:before="80"/>
      <w:outlineLvl w:val="4"/>
    </w:pPr>
    <w:rPr>
      <w:color w:val="918585"/>
      <w:sz w:val="20"/>
    </w:rPr>
  </w:style>
  <w:style w:type="paragraph" w:styleId="Heading6">
    <w:name w:val="heading 6"/>
    <w:basedOn w:val="HeadingBase"/>
    <w:next w:val="Normal"/>
    <w:link w:val="Heading6Char"/>
    <w:qFormat/>
    <w:rsid w:val="001D6BB4"/>
    <w:pPr>
      <w:spacing w:before="60"/>
      <w:outlineLvl w:val="5"/>
    </w:pPr>
    <w:rPr>
      <w:color w:val="918585"/>
      <w:sz w:val="20"/>
    </w:rPr>
  </w:style>
  <w:style w:type="paragraph" w:styleId="Heading7">
    <w:name w:val="heading 7"/>
    <w:basedOn w:val="Normal"/>
    <w:next w:val="Normal"/>
    <w:link w:val="Heading7Char"/>
    <w:qFormat/>
    <w:rsid w:val="001D6BB4"/>
    <w:pPr>
      <w:ind w:left="720"/>
      <w:outlineLvl w:val="6"/>
    </w:pPr>
    <w:rPr>
      <w:i/>
    </w:rPr>
  </w:style>
  <w:style w:type="paragraph" w:styleId="Heading8">
    <w:name w:val="heading 8"/>
    <w:basedOn w:val="Normal"/>
    <w:next w:val="Normal"/>
    <w:link w:val="Heading8Char"/>
    <w:qFormat/>
    <w:rsid w:val="001D6BB4"/>
    <w:pPr>
      <w:ind w:left="720"/>
      <w:outlineLvl w:val="7"/>
    </w:pPr>
    <w:rPr>
      <w:i/>
    </w:rPr>
  </w:style>
  <w:style w:type="paragraph" w:styleId="Heading9">
    <w:name w:val="heading 9"/>
    <w:basedOn w:val="Normal"/>
    <w:next w:val="Normal"/>
    <w:link w:val="Heading9Char"/>
    <w:qFormat/>
    <w:rsid w:val="001D6BB4"/>
    <w:pPr>
      <w:ind w:left="720"/>
      <w:outlineLvl w:val="8"/>
    </w:pPr>
    <w:rPr>
      <w:i/>
    </w:rPr>
  </w:style>
  <w:style w:type="character" w:default="1" w:styleId="DefaultParagraphFont">
    <w:name w:val="Default Paragraph Font"/>
    <w:uiPriority w:val="1"/>
    <w:unhideWhenUsed/>
    <w:rsid w:val="001D6B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BB4"/>
  </w:style>
  <w:style w:type="character" w:customStyle="1" w:styleId="Heading1Char">
    <w:name w:val="Heading 1 Char"/>
    <w:basedOn w:val="DefaultParagraphFont"/>
    <w:link w:val="Heading1"/>
    <w:rsid w:val="001D6BB4"/>
    <w:rPr>
      <w:rFonts w:ascii="Times New Roman" w:eastAsia="Times New Roman" w:hAnsi="Times New Roman" w:cs="Times New Roman"/>
      <w:b/>
      <w:sz w:val="32"/>
      <w:szCs w:val="20"/>
      <w:lang w:eastAsia="en-US"/>
    </w:rPr>
  </w:style>
  <w:style w:type="paragraph" w:styleId="BodyText">
    <w:name w:val="Body Text"/>
    <w:basedOn w:val="Normal"/>
    <w:link w:val="BodyTextChar"/>
    <w:rsid w:val="001D6B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6BB4"/>
    <w:rPr>
      <w:rFonts w:ascii="Times New Roman" w:eastAsia="Times New Roman" w:hAnsi="Times New Roman" w:cs="Times New Roman"/>
      <w:sz w:val="24"/>
      <w:lang w:val="en-US" w:eastAsia="en-US"/>
    </w:rPr>
  </w:style>
  <w:style w:type="paragraph" w:styleId="Footer">
    <w:name w:val="footer"/>
    <w:basedOn w:val="Normal"/>
    <w:link w:val="FooterChar"/>
    <w:rsid w:val="001D6B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BB4"/>
    <w:rPr>
      <w:rFonts w:ascii="Times New Roman" w:eastAsia="Times New Roman" w:hAnsi="Times New Roman" w:cs="Times New Roman"/>
      <w:sz w:val="16"/>
      <w:lang w:val="en-US" w:eastAsia="en-US"/>
    </w:rPr>
  </w:style>
  <w:style w:type="paragraph" w:styleId="List">
    <w:name w:val="List"/>
    <w:basedOn w:val="BodyText"/>
    <w:next w:val="BodyText"/>
    <w:rsid w:val="001D6BB4"/>
    <w:pPr>
      <w:tabs>
        <w:tab w:val="left" w:pos="340"/>
      </w:tabs>
      <w:spacing w:before="60" w:after="60"/>
      <w:ind w:left="340" w:hanging="340"/>
    </w:pPr>
  </w:style>
  <w:style w:type="paragraph" w:styleId="ListBullet">
    <w:name w:val="List Bullet"/>
    <w:basedOn w:val="List"/>
    <w:rsid w:val="001D6BB4"/>
    <w:pPr>
      <w:numPr>
        <w:numId w:val="14"/>
      </w:numPr>
      <w:tabs>
        <w:tab w:val="clear" w:pos="340"/>
      </w:tabs>
      <w:spacing w:before="40" w:after="40"/>
    </w:pPr>
  </w:style>
  <w:style w:type="character" w:customStyle="1" w:styleId="SpecialBold">
    <w:name w:val="Special Bold"/>
    <w:basedOn w:val="DefaultParagraphFont"/>
    <w:rsid w:val="001D6BB4"/>
    <w:rPr>
      <w:b/>
      <w:spacing w:val="0"/>
    </w:rPr>
  </w:style>
  <w:style w:type="paragraph" w:styleId="ListBullet2">
    <w:name w:val="List Bullet 2"/>
    <w:basedOn w:val="List2"/>
    <w:rsid w:val="001D6BB4"/>
    <w:pPr>
      <w:numPr>
        <w:numId w:val="15"/>
      </w:numPr>
      <w:tabs>
        <w:tab w:val="clear" w:pos="680"/>
      </w:tabs>
    </w:pPr>
  </w:style>
  <w:style w:type="paragraph" w:styleId="Header">
    <w:name w:val="header"/>
    <w:basedOn w:val="Normal"/>
    <w:link w:val="HeaderChar"/>
    <w:rsid w:val="001D6B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B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6BB4"/>
    <w:pPr>
      <w:spacing w:before="240" w:after="120"/>
      <w:outlineLvl w:val="0"/>
    </w:pPr>
    <w:rPr>
      <w:rFonts w:ascii="Times New Roman" w:hAnsi="Times New Roman"/>
      <w:b/>
      <w:sz w:val="28"/>
    </w:rPr>
  </w:style>
  <w:style w:type="paragraph" w:customStyle="1" w:styleId="AllowPageBreak">
    <w:name w:val="AllowPageBreak"/>
    <w:rsid w:val="001D6B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6BB4"/>
    <w:pPr>
      <w:tabs>
        <w:tab w:val="left" w:pos="680"/>
      </w:tabs>
      <w:spacing w:before="60" w:after="60"/>
      <w:ind w:left="680" w:hanging="340"/>
    </w:pPr>
  </w:style>
  <w:style w:type="paragraph" w:styleId="ListBullet3">
    <w:name w:val="List Bullet 3"/>
    <w:basedOn w:val="List3"/>
    <w:rsid w:val="001D6BB4"/>
    <w:pPr>
      <w:numPr>
        <w:numId w:val="3"/>
      </w:numPr>
      <w:tabs>
        <w:tab w:val="clear" w:pos="1021"/>
      </w:tabs>
      <w:ind w:left="1037" w:hanging="357"/>
    </w:pPr>
  </w:style>
  <w:style w:type="character" w:customStyle="1" w:styleId="BoldandItalics">
    <w:name w:val="Bold and Italics"/>
    <w:qFormat/>
    <w:rsid w:val="001D6BB4"/>
    <w:rPr>
      <w:b/>
      <w:i/>
      <w:u w:val="none"/>
    </w:rPr>
  </w:style>
  <w:style w:type="character" w:customStyle="1" w:styleId="Heading2Char">
    <w:name w:val="Heading 2 Char"/>
    <w:basedOn w:val="DefaultParagraphFont"/>
    <w:link w:val="Heading2"/>
    <w:rsid w:val="001D6B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B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B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B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B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B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6B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6BB4"/>
    <w:rPr>
      <w:rFonts w:ascii="Courier New" w:eastAsia="Times New Roman" w:hAnsi="Courier New" w:cs="Times New Roman"/>
      <w:i/>
      <w:szCs w:val="20"/>
      <w:lang w:val="en-US" w:eastAsia="en-US"/>
    </w:rPr>
  </w:style>
  <w:style w:type="paragraph" w:customStyle="1" w:styleId="HeadingBase">
    <w:name w:val="Heading Base"/>
    <w:rsid w:val="001D6B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BB4"/>
    <w:pPr>
      <w:tabs>
        <w:tab w:val="right" w:leader="dot" w:pos="9072"/>
      </w:tabs>
      <w:ind w:left="567"/>
    </w:pPr>
    <w:rPr>
      <w:szCs w:val="22"/>
    </w:rPr>
  </w:style>
  <w:style w:type="paragraph" w:customStyle="1" w:styleId="TOCBase">
    <w:name w:val="TOC Base"/>
    <w:rsid w:val="001D6B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BB4"/>
    <w:pPr>
      <w:tabs>
        <w:tab w:val="right" w:leader="dot" w:pos="9072"/>
      </w:tabs>
      <w:spacing w:before="40" w:after="40"/>
      <w:ind w:left="284"/>
    </w:pPr>
    <w:rPr>
      <w:rFonts w:ascii="Times New Roman" w:hAnsi="Times New Roman"/>
    </w:rPr>
  </w:style>
  <w:style w:type="paragraph" w:styleId="TOC1">
    <w:name w:val="toc 1"/>
    <w:basedOn w:val="TOCBase"/>
    <w:next w:val="Normal"/>
    <w:rsid w:val="001D6B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6BB4"/>
    <w:pPr>
      <w:spacing w:before="5040"/>
      <w:jc w:val="center"/>
    </w:pPr>
    <w:rPr>
      <w:sz w:val="48"/>
      <w:szCs w:val="72"/>
      <w:lang w:val="en-US"/>
    </w:rPr>
  </w:style>
  <w:style w:type="character" w:customStyle="1" w:styleId="TitleChar">
    <w:name w:val="Title Char"/>
    <w:basedOn w:val="DefaultParagraphFont"/>
    <w:link w:val="Title"/>
    <w:rsid w:val="001D6B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BB4"/>
    <w:pPr>
      <w:tabs>
        <w:tab w:val="left" w:pos="3600"/>
        <w:tab w:val="left" w:pos="3958"/>
      </w:tabs>
    </w:pPr>
  </w:style>
  <w:style w:type="paragraph" w:customStyle="1" w:styleId="Note">
    <w:name w:val="Note"/>
    <w:basedOn w:val="BodyText"/>
    <w:rsid w:val="001D6B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BB4"/>
    <w:pPr>
      <w:framePr w:wrap="auto" w:hAnchor="text" w:y="6049"/>
    </w:pPr>
    <w:rPr>
      <w:color w:val="000000"/>
      <w:sz w:val="40"/>
    </w:rPr>
  </w:style>
  <w:style w:type="paragraph" w:customStyle="1" w:styleId="TOCTitle">
    <w:name w:val="TOCTitle"/>
    <w:basedOn w:val="Heading1"/>
    <w:rsid w:val="001D6BB4"/>
    <w:pPr>
      <w:spacing w:after="240"/>
      <w:jc w:val="center"/>
      <w:outlineLvl w:val="9"/>
    </w:pPr>
    <w:rPr>
      <w:caps/>
    </w:rPr>
  </w:style>
  <w:style w:type="paragraph" w:customStyle="1" w:styleId="Version">
    <w:name w:val="Version"/>
    <w:rsid w:val="001D6B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BB4"/>
    <w:pPr>
      <w:keepNext w:val="0"/>
      <w:tabs>
        <w:tab w:val="right" w:pos="4176"/>
      </w:tabs>
      <w:ind w:left="198" w:hanging="198"/>
    </w:pPr>
    <w:rPr>
      <w:rFonts w:ascii="Garamond" w:hAnsi="Garamond"/>
    </w:rPr>
  </w:style>
  <w:style w:type="paragraph" w:styleId="IndexHeading">
    <w:name w:val="index heading"/>
    <w:basedOn w:val="Normal"/>
    <w:next w:val="Index1"/>
    <w:semiHidden/>
    <w:rsid w:val="001D6BB4"/>
    <w:pPr>
      <w:spacing w:before="120" w:after="120"/>
    </w:pPr>
    <w:rPr>
      <w:rFonts w:ascii="Arial" w:hAnsi="Arial"/>
      <w:b/>
      <w:color w:val="918585"/>
      <w:sz w:val="24"/>
    </w:rPr>
  </w:style>
  <w:style w:type="paragraph" w:customStyle="1" w:styleId="Chapter">
    <w:name w:val="Chapter"/>
    <w:basedOn w:val="Normal"/>
    <w:rsid w:val="001D6BB4"/>
    <w:pPr>
      <w:spacing w:before="240"/>
    </w:pPr>
    <w:rPr>
      <w:rFonts w:ascii="Times New Roman" w:hAnsi="Times New Roman"/>
      <w:smallCaps/>
      <w:spacing w:val="80"/>
      <w:sz w:val="28"/>
    </w:rPr>
  </w:style>
  <w:style w:type="paragraph" w:customStyle="1" w:styleId="InChapter">
    <w:name w:val="InChapter"/>
    <w:basedOn w:val="Heading3"/>
    <w:rsid w:val="001D6BB4"/>
    <w:pPr>
      <w:spacing w:after="240"/>
      <w:outlineLvl w:val="9"/>
    </w:pPr>
    <w:rPr>
      <w:noProof/>
    </w:rPr>
  </w:style>
  <w:style w:type="paragraph" w:styleId="Index2">
    <w:name w:val="index 2"/>
    <w:basedOn w:val="Normal"/>
    <w:next w:val="Normal"/>
    <w:semiHidden/>
    <w:rsid w:val="001D6BB4"/>
    <w:pPr>
      <w:tabs>
        <w:tab w:val="right" w:pos="4176"/>
      </w:tabs>
      <w:ind w:left="568" w:hanging="284"/>
    </w:pPr>
    <w:rPr>
      <w:rFonts w:ascii="Garamond" w:hAnsi="Garamond"/>
    </w:rPr>
  </w:style>
  <w:style w:type="paragraph" w:customStyle="1" w:styleId="Byline">
    <w:name w:val="Byline"/>
    <w:rsid w:val="001D6B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BB4"/>
    <w:pPr>
      <w:tabs>
        <w:tab w:val="clear" w:pos="3600"/>
        <w:tab w:val="clear" w:pos="3958"/>
      </w:tabs>
      <w:jc w:val="right"/>
    </w:pPr>
  </w:style>
  <w:style w:type="character" w:styleId="Emphasis">
    <w:name w:val="Emphasis"/>
    <w:basedOn w:val="DefaultParagraphFont"/>
    <w:qFormat/>
    <w:rsid w:val="001D6BB4"/>
    <w:rPr>
      <w:i/>
    </w:rPr>
  </w:style>
  <w:style w:type="paragraph" w:styleId="Caption">
    <w:name w:val="caption"/>
    <w:basedOn w:val="BodyText"/>
    <w:next w:val="Normal"/>
    <w:qFormat/>
    <w:rsid w:val="001D6BB4"/>
    <w:pPr>
      <w:framePr w:w="2268" w:hSpace="181" w:vSpace="181" w:wrap="around" w:vAnchor="text" w:hAnchor="page" w:x="1135" w:y="285" w:anchorLock="1"/>
    </w:pPr>
    <w:rPr>
      <w:i/>
    </w:rPr>
  </w:style>
  <w:style w:type="paragraph" w:customStyle="1" w:styleId="MiniTOCTitle">
    <w:name w:val="MiniTOCTitle"/>
    <w:basedOn w:val="Heading4"/>
    <w:rsid w:val="001D6BB4"/>
    <w:pPr>
      <w:spacing w:before="240"/>
      <w:outlineLvl w:val="9"/>
    </w:pPr>
    <w:rPr>
      <w:noProof/>
      <w:sz w:val="24"/>
    </w:rPr>
  </w:style>
  <w:style w:type="paragraph" w:customStyle="1" w:styleId="MiniTOCItem">
    <w:name w:val="MiniTOCItem"/>
    <w:basedOn w:val="ListBullet"/>
    <w:rsid w:val="001D6BB4"/>
    <w:pPr>
      <w:numPr>
        <w:numId w:val="0"/>
      </w:numPr>
      <w:tabs>
        <w:tab w:val="right" w:leader="dot" w:pos="6521"/>
      </w:tabs>
      <w:spacing w:before="0" w:after="0"/>
    </w:pPr>
  </w:style>
  <w:style w:type="paragraph" w:customStyle="1" w:styleId="TOFTitle">
    <w:name w:val="TOFTitle"/>
    <w:basedOn w:val="TOCTitle"/>
    <w:rsid w:val="001D6BB4"/>
  </w:style>
  <w:style w:type="paragraph" w:styleId="TableofFigures">
    <w:name w:val="table of figures"/>
    <w:basedOn w:val="Normal"/>
    <w:next w:val="Normal"/>
    <w:semiHidden/>
    <w:rsid w:val="001D6BB4"/>
    <w:pPr>
      <w:tabs>
        <w:tab w:val="right" w:leader="dot" w:pos="9072"/>
      </w:tabs>
      <w:ind w:left="970" w:hanging="403"/>
    </w:pPr>
    <w:rPr>
      <w:rFonts w:ascii="Times New Roman" w:hAnsi="Times New Roman"/>
      <w:b/>
    </w:rPr>
  </w:style>
  <w:style w:type="paragraph" w:styleId="ListNumber">
    <w:name w:val="List Number"/>
    <w:basedOn w:val="List"/>
    <w:rsid w:val="001D6BB4"/>
    <w:pPr>
      <w:numPr>
        <w:numId w:val="12"/>
      </w:numPr>
    </w:pPr>
  </w:style>
  <w:style w:type="character" w:customStyle="1" w:styleId="WingdingSymbols">
    <w:name w:val="Wingding Symbols"/>
    <w:rsid w:val="001D6BB4"/>
    <w:rPr>
      <w:rFonts w:ascii="Wingdings" w:hAnsi="Wingdings"/>
    </w:rPr>
  </w:style>
  <w:style w:type="paragraph" w:customStyle="1" w:styleId="TableHeading">
    <w:name w:val="Table Heading"/>
    <w:basedOn w:val="HeadingBase"/>
    <w:rsid w:val="001D6BB4"/>
    <w:pPr>
      <w:keepLines/>
      <w:pBdr>
        <w:bottom w:val="single" w:sz="6" w:space="1" w:color="918585"/>
      </w:pBdr>
      <w:spacing w:before="240"/>
    </w:pPr>
  </w:style>
  <w:style w:type="character" w:customStyle="1" w:styleId="HotSpot">
    <w:name w:val="HotSpot"/>
    <w:rsid w:val="001D6BB4"/>
    <w:rPr>
      <w:color w:val="0033CC"/>
      <w:u w:val="none"/>
    </w:rPr>
  </w:style>
  <w:style w:type="paragraph" w:customStyle="1" w:styleId="BodyTextRight">
    <w:name w:val="Body Text Right"/>
    <w:basedOn w:val="BodyText"/>
    <w:rsid w:val="001D6BB4"/>
    <w:pPr>
      <w:spacing w:before="0" w:after="0"/>
      <w:jc w:val="right"/>
    </w:pPr>
  </w:style>
  <w:style w:type="paragraph" w:styleId="Index3">
    <w:name w:val="index 3"/>
    <w:basedOn w:val="ListNumber2"/>
    <w:next w:val="Normal"/>
    <w:semiHidden/>
    <w:rsid w:val="001D6BB4"/>
    <w:pPr>
      <w:numPr>
        <w:numId w:val="0"/>
      </w:numPr>
      <w:tabs>
        <w:tab w:val="right" w:leader="dot" w:pos="4176"/>
      </w:tabs>
    </w:pPr>
  </w:style>
  <w:style w:type="paragraph" w:styleId="ListNumber2">
    <w:name w:val="List Number 2"/>
    <w:basedOn w:val="List2"/>
    <w:rsid w:val="001D6BB4"/>
    <w:pPr>
      <w:numPr>
        <w:numId w:val="11"/>
      </w:numPr>
      <w:tabs>
        <w:tab w:val="clear" w:pos="1060"/>
      </w:tabs>
    </w:pPr>
  </w:style>
  <w:style w:type="paragraph" w:customStyle="1" w:styleId="MarginNote">
    <w:name w:val="Margin Note"/>
    <w:basedOn w:val="BodyText"/>
    <w:rsid w:val="001D6B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B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B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6BB4"/>
    <w:rPr>
      <w:sz w:val="32"/>
    </w:rPr>
  </w:style>
  <w:style w:type="paragraph" w:customStyle="1" w:styleId="HeadingProcedure">
    <w:name w:val="Heading Procedure"/>
    <w:basedOn w:val="HeadingBase"/>
    <w:next w:val="Normal"/>
    <w:rsid w:val="001D6BB4"/>
    <w:pPr>
      <w:tabs>
        <w:tab w:val="left" w:pos="0"/>
      </w:tabs>
      <w:spacing w:before="120" w:after="60"/>
    </w:pPr>
    <w:rPr>
      <w:i/>
      <w:color w:val="918585"/>
      <w:sz w:val="22"/>
    </w:rPr>
  </w:style>
  <w:style w:type="paragraph" w:customStyle="1" w:styleId="TableBodyText">
    <w:name w:val="Table Body Text"/>
    <w:basedOn w:val="BodyText"/>
    <w:rsid w:val="001D6BB4"/>
    <w:pPr>
      <w:spacing w:before="60" w:after="60"/>
    </w:pPr>
  </w:style>
  <w:style w:type="paragraph" w:styleId="ListContinue">
    <w:name w:val="List Continue"/>
    <w:basedOn w:val="List"/>
    <w:rsid w:val="001D6BB4"/>
    <w:pPr>
      <w:ind w:firstLine="0"/>
    </w:pPr>
  </w:style>
  <w:style w:type="paragraph" w:customStyle="1" w:styleId="ListNote">
    <w:name w:val="List Note"/>
    <w:basedOn w:val="List"/>
    <w:rsid w:val="001D6BB4"/>
    <w:pPr>
      <w:pBdr>
        <w:top w:val="single" w:sz="6" w:space="2" w:color="918585"/>
        <w:bottom w:val="single" w:sz="6" w:space="2" w:color="918585"/>
      </w:pBdr>
      <w:tabs>
        <w:tab w:val="left" w:pos="1021"/>
      </w:tabs>
      <w:ind w:firstLine="0"/>
    </w:pPr>
  </w:style>
  <w:style w:type="paragraph" w:customStyle="1" w:styleId="Warning">
    <w:name w:val="Warning"/>
    <w:basedOn w:val="BodyText"/>
    <w:rsid w:val="001D6BB4"/>
    <w:pPr>
      <w:shd w:val="clear" w:color="auto" w:fill="D9D9D9"/>
      <w:tabs>
        <w:tab w:val="left" w:pos="992"/>
      </w:tabs>
      <w:ind w:left="119" w:right="119"/>
    </w:pPr>
    <w:rPr>
      <w:sz w:val="20"/>
    </w:rPr>
  </w:style>
  <w:style w:type="paragraph" w:customStyle="1" w:styleId="MarginIcons">
    <w:name w:val="Margin Icons"/>
    <w:basedOn w:val="BodyText"/>
    <w:rsid w:val="001D6B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BB4"/>
    <w:rPr>
      <w:rFonts w:ascii="Courier New" w:hAnsi="Courier New"/>
    </w:rPr>
  </w:style>
  <w:style w:type="paragraph" w:customStyle="1" w:styleId="NoteBullet">
    <w:name w:val="Note Bullet"/>
    <w:basedOn w:val="Note"/>
    <w:rsid w:val="001D6BB4"/>
    <w:pPr>
      <w:tabs>
        <w:tab w:val="clear" w:pos="680"/>
      </w:tabs>
      <w:spacing w:before="60" w:after="60"/>
    </w:pPr>
  </w:style>
  <w:style w:type="paragraph" w:customStyle="1" w:styleId="SubHeading2">
    <w:name w:val="SubHeading2"/>
    <w:basedOn w:val="HeadingBase"/>
    <w:rsid w:val="001D6BB4"/>
    <w:pPr>
      <w:spacing w:before="240" w:after="60"/>
    </w:pPr>
    <w:rPr>
      <w:sz w:val="20"/>
    </w:rPr>
  </w:style>
  <w:style w:type="paragraph" w:customStyle="1" w:styleId="SubHeading1">
    <w:name w:val="SubHeading1"/>
    <w:basedOn w:val="HeadingBase"/>
    <w:rsid w:val="001D6BB4"/>
    <w:pPr>
      <w:spacing w:before="240" w:after="60"/>
    </w:pPr>
    <w:rPr>
      <w:color w:val="918585"/>
      <w:sz w:val="22"/>
    </w:rPr>
  </w:style>
  <w:style w:type="paragraph" w:customStyle="1" w:styleId="SideHeading">
    <w:name w:val="Side Heading"/>
    <w:basedOn w:val="HeadingBase"/>
    <w:rsid w:val="001D6B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BB4"/>
    <w:pPr>
      <w:numPr>
        <w:numId w:val="13"/>
      </w:numPr>
    </w:pPr>
  </w:style>
  <w:style w:type="paragraph" w:styleId="PlainText">
    <w:name w:val="Plain Text"/>
    <w:basedOn w:val="Normal"/>
    <w:link w:val="PlainTextChar"/>
    <w:rsid w:val="001D6BB4"/>
    <w:rPr>
      <w:sz w:val="20"/>
    </w:rPr>
  </w:style>
  <w:style w:type="character" w:customStyle="1" w:styleId="PlainTextChar">
    <w:name w:val="Plain Text Char"/>
    <w:basedOn w:val="DefaultParagraphFont"/>
    <w:link w:val="PlainText"/>
    <w:rsid w:val="001D6B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6BB4"/>
    <w:rPr>
      <w:b/>
      <w:smallCaps/>
    </w:rPr>
  </w:style>
  <w:style w:type="paragraph" w:customStyle="1" w:styleId="TableListNumber">
    <w:name w:val="Table List Number"/>
    <w:basedOn w:val="ListNumber"/>
    <w:rsid w:val="001D6BB4"/>
    <w:pPr>
      <w:numPr>
        <w:numId w:val="0"/>
      </w:numPr>
    </w:pPr>
  </w:style>
  <w:style w:type="paragraph" w:styleId="TOC4">
    <w:name w:val="toc 4"/>
    <w:basedOn w:val="TOCBase"/>
    <w:next w:val="Normal"/>
    <w:semiHidden/>
    <w:rsid w:val="001D6BB4"/>
    <w:pPr>
      <w:tabs>
        <w:tab w:val="right" w:leader="dot" w:pos="9071"/>
      </w:tabs>
      <w:ind w:left="1701"/>
    </w:pPr>
  </w:style>
  <w:style w:type="paragraph" w:customStyle="1" w:styleId="ListAlpha">
    <w:name w:val="List Alpha"/>
    <w:basedOn w:val="List"/>
    <w:rsid w:val="001D6BB4"/>
    <w:pPr>
      <w:numPr>
        <w:numId w:val="10"/>
      </w:numPr>
    </w:pPr>
  </w:style>
  <w:style w:type="paragraph" w:customStyle="1" w:styleId="ListAlpha2">
    <w:name w:val="List Alpha 2"/>
    <w:basedOn w:val="List2"/>
    <w:rsid w:val="001D6BB4"/>
    <w:pPr>
      <w:numPr>
        <w:numId w:val="9"/>
      </w:numPr>
    </w:pPr>
  </w:style>
  <w:style w:type="paragraph" w:styleId="List3">
    <w:name w:val="List 3"/>
    <w:basedOn w:val="BodyText"/>
    <w:rsid w:val="001D6BB4"/>
    <w:pPr>
      <w:tabs>
        <w:tab w:val="left" w:pos="1021"/>
      </w:tabs>
      <w:spacing w:before="60" w:after="60"/>
      <w:ind w:left="1020" w:hanging="340"/>
    </w:pPr>
  </w:style>
  <w:style w:type="paragraph" w:styleId="List4">
    <w:name w:val="List 4"/>
    <w:basedOn w:val="BodyText"/>
    <w:rsid w:val="001D6BB4"/>
    <w:pPr>
      <w:tabs>
        <w:tab w:val="left" w:pos="1361"/>
      </w:tabs>
      <w:spacing w:before="60" w:after="60"/>
      <w:ind w:left="1361" w:hanging="340"/>
    </w:pPr>
  </w:style>
  <w:style w:type="paragraph" w:styleId="List5">
    <w:name w:val="List 5"/>
    <w:basedOn w:val="BodyText"/>
    <w:rsid w:val="001D6BB4"/>
    <w:pPr>
      <w:tabs>
        <w:tab w:val="left" w:pos="1701"/>
      </w:tabs>
      <w:spacing w:before="60" w:after="60"/>
      <w:ind w:left="1701" w:hanging="340"/>
    </w:pPr>
  </w:style>
  <w:style w:type="paragraph" w:styleId="ListBullet4">
    <w:name w:val="List Bullet 4"/>
    <w:basedOn w:val="List4"/>
    <w:rsid w:val="001D6BB4"/>
    <w:pPr>
      <w:numPr>
        <w:numId w:val="4"/>
      </w:numPr>
    </w:pPr>
  </w:style>
  <w:style w:type="paragraph" w:styleId="ListBullet5">
    <w:name w:val="List Bullet 5"/>
    <w:basedOn w:val="List5"/>
    <w:rsid w:val="001D6BB4"/>
    <w:pPr>
      <w:numPr>
        <w:numId w:val="5"/>
      </w:numPr>
    </w:pPr>
  </w:style>
  <w:style w:type="paragraph" w:styleId="ListContinue2">
    <w:name w:val="List Continue 2"/>
    <w:basedOn w:val="List2"/>
    <w:rsid w:val="001D6BB4"/>
    <w:pPr>
      <w:ind w:firstLine="0"/>
    </w:pPr>
  </w:style>
  <w:style w:type="paragraph" w:styleId="ListContinue3">
    <w:name w:val="List Continue 3"/>
    <w:basedOn w:val="List3"/>
    <w:rsid w:val="001D6BB4"/>
    <w:pPr>
      <w:ind w:left="1021" w:firstLine="0"/>
    </w:pPr>
  </w:style>
  <w:style w:type="paragraph" w:styleId="ListContinue4">
    <w:name w:val="List Continue 4"/>
    <w:basedOn w:val="List4"/>
    <w:rsid w:val="001D6BB4"/>
    <w:pPr>
      <w:ind w:firstLine="0"/>
    </w:pPr>
  </w:style>
  <w:style w:type="paragraph" w:styleId="ListContinue5">
    <w:name w:val="List Continue 5"/>
    <w:basedOn w:val="List5"/>
    <w:rsid w:val="001D6BB4"/>
    <w:pPr>
      <w:ind w:firstLine="0"/>
    </w:pPr>
  </w:style>
  <w:style w:type="paragraph" w:styleId="ListNumber3">
    <w:name w:val="List Number 3"/>
    <w:basedOn w:val="List3"/>
    <w:rsid w:val="001D6BB4"/>
    <w:pPr>
      <w:numPr>
        <w:numId w:val="6"/>
      </w:numPr>
    </w:pPr>
  </w:style>
  <w:style w:type="paragraph" w:styleId="ListNumber4">
    <w:name w:val="List Number 4"/>
    <w:basedOn w:val="List4"/>
    <w:rsid w:val="001D6BB4"/>
    <w:pPr>
      <w:numPr>
        <w:numId w:val="7"/>
      </w:numPr>
    </w:pPr>
  </w:style>
  <w:style w:type="paragraph" w:styleId="ListNumber5">
    <w:name w:val="List Number 5"/>
    <w:basedOn w:val="List5"/>
    <w:rsid w:val="001D6BB4"/>
    <w:pPr>
      <w:numPr>
        <w:numId w:val="8"/>
      </w:numPr>
    </w:pPr>
  </w:style>
  <w:style w:type="paragraph" w:styleId="BlockText">
    <w:name w:val="Block Text"/>
    <w:basedOn w:val="Normal"/>
    <w:rsid w:val="001D6BB4"/>
    <w:pPr>
      <w:spacing w:after="120"/>
      <w:ind w:left="1440" w:right="1440"/>
    </w:pPr>
  </w:style>
  <w:style w:type="character" w:customStyle="1" w:styleId="Subscript">
    <w:name w:val="Subscript"/>
    <w:basedOn w:val="DefaultParagraphFont"/>
    <w:rsid w:val="001D6BB4"/>
    <w:rPr>
      <w:sz w:val="16"/>
      <w:vertAlign w:val="subscript"/>
    </w:rPr>
  </w:style>
  <w:style w:type="character" w:customStyle="1" w:styleId="Superscript">
    <w:name w:val="Superscript"/>
    <w:basedOn w:val="DefaultParagraphFont"/>
    <w:rsid w:val="001D6BB4"/>
    <w:rPr>
      <w:sz w:val="16"/>
      <w:vertAlign w:val="superscript"/>
    </w:rPr>
  </w:style>
  <w:style w:type="character" w:customStyle="1" w:styleId="Symbols">
    <w:name w:val="Symbols"/>
    <w:basedOn w:val="DefaultParagraphFont"/>
    <w:rsid w:val="001D6BB4"/>
    <w:rPr>
      <w:rFonts w:ascii="Symbol" w:hAnsi="Symbol"/>
    </w:rPr>
  </w:style>
  <w:style w:type="character" w:customStyle="1" w:styleId="MenuOptions">
    <w:name w:val="Menu Options"/>
    <w:basedOn w:val="DefaultParagraphFont"/>
    <w:rsid w:val="001D6BB4"/>
    <w:rPr>
      <w:rFonts w:ascii="Arial Narrow" w:hAnsi="Arial Narrow"/>
      <w:smallCaps/>
    </w:rPr>
  </w:style>
  <w:style w:type="character" w:customStyle="1" w:styleId="Buttons">
    <w:name w:val="Buttons"/>
    <w:basedOn w:val="DefaultParagraphFont"/>
    <w:rsid w:val="001D6BB4"/>
    <w:rPr>
      <w:b/>
    </w:rPr>
  </w:style>
  <w:style w:type="character" w:customStyle="1" w:styleId="Underlined">
    <w:name w:val="Underlined"/>
    <w:basedOn w:val="DefaultParagraphFont"/>
    <w:rsid w:val="001D6BB4"/>
    <w:rPr>
      <w:u w:val="single"/>
    </w:rPr>
  </w:style>
  <w:style w:type="paragraph" w:customStyle="1" w:styleId="TableBodyTextRight">
    <w:name w:val="Table Body Text Right"/>
    <w:basedOn w:val="TableBodyText"/>
    <w:rsid w:val="001D6BB4"/>
    <w:pPr>
      <w:widowControl w:val="0"/>
      <w:autoSpaceDE w:val="0"/>
      <w:autoSpaceDN w:val="0"/>
      <w:adjustRightInd w:val="0"/>
      <w:jc w:val="right"/>
    </w:pPr>
    <w:rPr>
      <w:rFonts w:cs="Arial"/>
      <w:szCs w:val="18"/>
    </w:rPr>
  </w:style>
  <w:style w:type="paragraph" w:customStyle="1" w:styleId="CopyrightText">
    <w:name w:val="Copyright Text"/>
    <w:basedOn w:val="BodyText"/>
    <w:rsid w:val="001D6BB4"/>
    <w:rPr>
      <w:sz w:val="18"/>
    </w:rPr>
  </w:style>
  <w:style w:type="paragraph" w:customStyle="1" w:styleId="BodySmallRight">
    <w:name w:val="Body Small Right"/>
    <w:basedOn w:val="BodyTextRight"/>
    <w:rsid w:val="001D6BB4"/>
    <w:rPr>
      <w:sz w:val="18"/>
      <w:szCs w:val="18"/>
    </w:rPr>
  </w:style>
  <w:style w:type="paragraph" w:customStyle="1" w:styleId="MarginEdition">
    <w:name w:val="Margin Edition"/>
    <w:basedOn w:val="MarginNote"/>
    <w:rsid w:val="001D6BB4"/>
    <w:pPr>
      <w:spacing w:before="0" w:after="0"/>
    </w:pPr>
    <w:rPr>
      <w:rFonts w:ascii="Times New Roman" w:hAnsi="Times New Roman"/>
      <w:color w:val="999999"/>
    </w:rPr>
  </w:style>
  <w:style w:type="paragraph" w:customStyle="1" w:styleId="Spacer">
    <w:name w:val="Spacer"/>
    <w:basedOn w:val="Normal"/>
    <w:rsid w:val="001D6BB4"/>
    <w:rPr>
      <w:sz w:val="2"/>
      <w:szCs w:val="2"/>
    </w:rPr>
  </w:style>
  <w:style w:type="character" w:customStyle="1" w:styleId="Small">
    <w:name w:val="Small"/>
    <w:basedOn w:val="DefaultParagraphFont"/>
    <w:rsid w:val="001D6BB4"/>
    <w:rPr>
      <w:sz w:val="16"/>
    </w:rPr>
  </w:style>
  <w:style w:type="paragraph" w:customStyle="1" w:styleId="WideTable">
    <w:name w:val="Wide Table"/>
    <w:basedOn w:val="Normal"/>
    <w:rsid w:val="001D6BB4"/>
    <w:pPr>
      <w:ind w:left="-1418"/>
    </w:pPr>
    <w:rPr>
      <w:sz w:val="2"/>
      <w:szCs w:val="2"/>
    </w:rPr>
  </w:style>
  <w:style w:type="character" w:styleId="PageNumber">
    <w:name w:val="page number"/>
    <w:basedOn w:val="DefaultParagraphFont"/>
    <w:rsid w:val="001D6BB4"/>
  </w:style>
  <w:style w:type="paragraph" w:styleId="Quote">
    <w:name w:val="Quote"/>
    <w:basedOn w:val="Heading1"/>
    <w:link w:val="QuoteChar"/>
    <w:qFormat/>
    <w:rsid w:val="001D6BB4"/>
    <w:rPr>
      <w:b w:val="0"/>
      <w:sz w:val="72"/>
      <w:szCs w:val="72"/>
      <w:lang w:val="en-NZ"/>
    </w:rPr>
  </w:style>
  <w:style w:type="character" w:customStyle="1" w:styleId="QuoteChar">
    <w:name w:val="Quote Char"/>
    <w:basedOn w:val="DefaultParagraphFont"/>
    <w:link w:val="Quote"/>
    <w:rsid w:val="001D6B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BB4"/>
    <w:pPr>
      <w:pageBreakBefore/>
    </w:pPr>
  </w:style>
  <w:style w:type="paragraph" w:customStyle="1" w:styleId="Border">
    <w:name w:val="Border"/>
    <w:basedOn w:val="Normal"/>
    <w:qFormat/>
    <w:rsid w:val="001D6B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BB4"/>
    <w:rPr>
      <w:b/>
      <w:bCs/>
      <w:i/>
      <w:iCs/>
      <w:color w:val="auto"/>
    </w:rPr>
  </w:style>
  <w:style w:type="paragraph" w:styleId="IntenseQuote">
    <w:name w:val="Intense Quote"/>
    <w:basedOn w:val="Normal"/>
    <w:next w:val="Normal"/>
    <w:link w:val="IntenseQuoteChar"/>
    <w:uiPriority w:val="30"/>
    <w:qFormat/>
    <w:rsid w:val="001D6B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B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6BB4"/>
    <w:rPr>
      <w:smallCaps/>
      <w:color w:val="auto"/>
      <w:u w:val="single"/>
    </w:rPr>
  </w:style>
  <w:style w:type="character" w:styleId="IntenseReference">
    <w:name w:val="Intense Reference"/>
    <w:basedOn w:val="DefaultParagraphFont"/>
    <w:uiPriority w:val="32"/>
    <w:qFormat/>
    <w:rsid w:val="001D6BB4"/>
    <w:rPr>
      <w:b/>
      <w:bCs/>
      <w:smallCaps/>
      <w:color w:val="auto"/>
      <w:spacing w:val="5"/>
      <w:u w:val="single"/>
    </w:rPr>
  </w:style>
  <w:style w:type="paragraph" w:customStyle="1" w:styleId="2ColumnHeading">
    <w:name w:val="2Column Heading"/>
    <w:basedOn w:val="BodyText"/>
    <w:qFormat/>
    <w:rsid w:val="001D6BB4"/>
    <w:pPr>
      <w:spacing w:after="60"/>
      <w:ind w:left="-2268"/>
    </w:pPr>
    <w:rPr>
      <w:b/>
    </w:rPr>
  </w:style>
  <w:style w:type="paragraph" w:customStyle="1" w:styleId="Heading1TOC">
    <w:name w:val="Heading1 TOC"/>
    <w:basedOn w:val="Normal"/>
    <w:qFormat/>
    <w:rsid w:val="001D6BB4"/>
    <w:pPr>
      <w:spacing w:before="240" w:after="120"/>
    </w:pPr>
    <w:rPr>
      <w:rFonts w:ascii="Times New Roman" w:hAnsi="Times New Roman"/>
      <w:b/>
      <w:sz w:val="32"/>
    </w:rPr>
  </w:style>
  <w:style w:type="paragraph" w:customStyle="1" w:styleId="Heading2TOC">
    <w:name w:val="Heading2 TOC"/>
    <w:basedOn w:val="Normal"/>
    <w:qFormat/>
    <w:rsid w:val="001D6BB4"/>
    <w:pPr>
      <w:spacing w:before="240" w:after="60"/>
    </w:pPr>
    <w:rPr>
      <w:rFonts w:ascii="Times New Roman" w:hAnsi="Times New Roman"/>
      <w:b/>
      <w:sz w:val="28"/>
    </w:rPr>
  </w:style>
  <w:style w:type="character" w:customStyle="1" w:styleId="Underline">
    <w:name w:val="Underline"/>
    <w:basedOn w:val="DefaultParagraphFont"/>
    <w:qFormat/>
    <w:rsid w:val="001D6BB4"/>
    <w:rPr>
      <w:u w:val="single"/>
    </w:rPr>
  </w:style>
  <w:style w:type="paragraph" w:styleId="BalloonText">
    <w:name w:val="Balloon Text"/>
    <w:basedOn w:val="Normal"/>
    <w:link w:val="BalloonTextChar"/>
    <w:rsid w:val="001D6BB4"/>
    <w:rPr>
      <w:rFonts w:ascii="Tahoma" w:hAnsi="Tahoma" w:cs="Tahoma"/>
      <w:sz w:val="16"/>
      <w:szCs w:val="16"/>
    </w:rPr>
  </w:style>
  <w:style w:type="character" w:customStyle="1" w:styleId="BalloonTextChar">
    <w:name w:val="Balloon Text Char"/>
    <w:basedOn w:val="DefaultParagraphFont"/>
    <w:link w:val="BalloonText"/>
    <w:rsid w:val="001D6B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6B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6B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1946</Words>
  <Characters>12341</Characters>
  <Application>Microsoft Office Word</Application>
  <DocSecurity>0</DocSecurity>
  <Lines>442</Lines>
  <Paragraphs>225</Paragraphs>
  <ScaleCrop>false</ScaleCrop>
  <Company>Author-it Software Corporation Ltd.</Company>
  <LinksUpToDate>false</LinksUpToDate>
  <CharactersWithSpaces>14203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CPCCWF2001A Handle wall and floor tiling materials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2012-05-26T05:41:00Z</dcterms:created>
  <dcterms:modified xsi:type="dcterms:W3CDTF">2012-05-26T05:41:00Z</dcterms:modified>
</cp:coreProperties>
</file>