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A75" w:rsidP="00684A75">
      <w:pPr>
        <w:pStyle w:val="Title"/>
      </w:pPr>
      <w:r>
        <w:fldChar w:fldCharType="begin"/>
      </w:r>
      <w:r>
        <w:instrText xml:space="preserve"> TITLE   \* MERGEFORMAT </w:instrText>
      </w:r>
      <w:r>
        <w:fldChar w:fldCharType="separate"/>
      </w:r>
      <w:r>
        <w:t>CPCCWC2001A Complete penetrations and flashings</w:t>
      </w:r>
      <w:r>
        <w:fldChar w:fldCharType="end"/>
      </w:r>
    </w:p>
    <w:p w:rsidR="00684A75" w:rsidP="00684A75">
      <w:pPr>
        <w:pStyle w:val="Version"/>
        <w:sectPr w:rsidSect="00061A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AAF" w:rsidP="00061AAF">
      <w:pPr>
        <w:pStyle w:val="SuperHeading"/>
      </w:pPr>
      <w:r w:rsidRPr="00061AAF">
        <w:t>CPCCWC2001A Complete penetrations and flashings</w:t>
      </w:r>
    </w:p>
    <w:p w:rsidR="00000000" w:rsidRPr="00061AAF" w:rsidP="00061AAF">
      <w:pPr>
        <w:pStyle w:val="Heading1"/>
      </w:pPr>
      <w:bookmarkStart w:id="1" w:name="O_269764"/>
      <w:bookmarkEnd w:id="1"/>
      <w:r w:rsidRPr="00061AAF">
        <w:t>Modification History</w:t>
      </w:r>
    </w:p>
    <w:p w:rsidR="00000000" w:rsidRPr="00061AAF" w:rsidP="00061AAF">
      <w:pPr>
        <w:pStyle w:val="BodyText"/>
      </w:pPr>
      <w:r w:rsidRPr="00061AAF">
        <w:t>Not Applicable</w:t>
      </w:r>
    </w:p>
    <w:p w:rsidR="00000000" w:rsidRPr="00061AAF" w:rsidP="00061AAF">
      <w:pPr>
        <w:pStyle w:val="AllowPageBreak"/>
      </w:pPr>
    </w:p>
    <w:p w:rsidR="00000000" w:rsidRPr="00061AAF" w:rsidP="00061AAF">
      <w:pPr>
        <w:pStyle w:val="Heading1"/>
      </w:pPr>
      <w:bookmarkStart w:id="2" w:name="O_199123"/>
      <w:bookmarkEnd w:id="2"/>
      <w:r w:rsidRPr="00061AAF">
        <w:t>Unit Descriptor</w:t>
      </w:r>
    </w:p>
    <w:tbl>
      <w:tblPr>
        <w:tblW w:w="0" w:type="auto"/>
        <w:tblLayout w:type="fixed"/>
        <w:tblCellMar>
          <w:left w:w="62" w:type="dxa"/>
          <w:right w:w="62" w:type="dxa"/>
        </w:tblCellMar>
        <w:tblLook w:val="0000"/>
      </w:tblPr>
      <w:tblGrid>
        <w:gridCol w:w="2513"/>
        <w:gridCol w:w="6009"/>
      </w:tblGrid>
      <w:tr w:rsidTr="00684A75">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SpecialBold"/>
              </w:rPr>
              <w:t>Unit descriptor</w:t>
            </w:r>
          </w:p>
        </w:tc>
        <w:tc>
          <w:tcPr>
            <w:tcW w:w="6009" w:type="dxa"/>
            <w:tcBorders>
              <w:top w:val="nil"/>
              <w:left w:val="nil"/>
              <w:bottom w:val="nil"/>
              <w:right w:val="nil"/>
            </w:tcBorders>
            <w:tcMar>
              <w:top w:w="0" w:type="dxa"/>
              <w:left w:w="62" w:type="dxa"/>
              <w:bottom w:w="0" w:type="dxa"/>
              <w:right w:w="62" w:type="dxa"/>
            </w:tcMar>
          </w:tcPr>
          <w:p w:rsidR="00000000" w:rsidRPr="00061AAF" w:rsidP="00061AAF">
            <w:pPr>
              <w:pStyle w:val="BodyText"/>
            </w:pPr>
            <w:r w:rsidRPr="00061AAF">
              <w:t>This unit of competency specifies the outcomes required to complete the penetrations and flashings asso</w:t>
            </w:r>
            <w:r w:rsidRPr="00061AAF">
              <w:t>ciated with wall and ceiling lining. It does not cover the technical aspects of passive fire systems.</w:t>
            </w:r>
          </w:p>
          <w:p w:rsidR="00000000" w:rsidRPr="00061AAF" w:rsidP="00061AAF">
            <w:pPr>
              <w:pStyle w:val="BodyText"/>
            </w:pPr>
            <w:r w:rsidRPr="00061AAF">
              <w:t>It includes planning and preparation for work, selection and safe use of tools and equipment to complete the penetrations and flashings, restoration of th</w:t>
            </w:r>
            <w:r w:rsidRPr="00061AAF">
              <w:t>e integrity of the wall or ceiling, and completion of post work clean-up activities.</w:t>
            </w:r>
          </w:p>
        </w:tc>
      </w:tr>
    </w:tbl>
    <w:p w:rsidR="00684A75" w:rsidP="00061AAF">
      <w:pPr>
        <w:pStyle w:val="BodyText"/>
      </w:pPr>
    </w:p>
    <w:p w:rsidR="00684A75" w:rsidP="00061AAF">
      <w:pPr>
        <w:pStyle w:val="BodyText"/>
      </w:pPr>
    </w:p>
    <w:p w:rsidR="00000000" w:rsidRPr="00061AAF" w:rsidP="00061AAF">
      <w:pPr>
        <w:pStyle w:val="Heading1"/>
      </w:pPr>
      <w:bookmarkStart w:id="3" w:name="O_199127"/>
      <w:bookmarkEnd w:id="3"/>
      <w:r w:rsidRPr="00061AAF">
        <w:t>Application of the Unit</w:t>
      </w:r>
    </w:p>
    <w:tbl>
      <w:tblPr>
        <w:tblW w:w="0" w:type="auto"/>
        <w:tblLayout w:type="fixed"/>
        <w:tblCellMar>
          <w:left w:w="62" w:type="dxa"/>
          <w:right w:w="62" w:type="dxa"/>
        </w:tblCellMar>
        <w:tblLook w:val="0000"/>
      </w:tblPr>
      <w:tblGrid>
        <w:gridCol w:w="2582"/>
        <w:gridCol w:w="5940"/>
      </w:tblGrid>
      <w:tr w:rsidTr="00684A75">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RPr="00061AAF" w:rsidP="00061AAF">
            <w:pPr>
              <w:pStyle w:val="BodyText"/>
            </w:pPr>
            <w:r w:rsidRPr="00061AAF">
              <w:t xml:space="preserve">This unit supports the attainment of skills and knowledge to safely and efficiently complete penetrations and flashings while working with others as a member of a team. </w:t>
            </w:r>
          </w:p>
        </w:tc>
      </w:tr>
    </w:tbl>
    <w:p w:rsidR="00684A75" w:rsidP="00061AAF">
      <w:pPr>
        <w:pStyle w:val="BodyText"/>
      </w:pPr>
    </w:p>
    <w:p w:rsidR="00684A75" w:rsidP="00061AAF">
      <w:pPr>
        <w:pStyle w:val="BodyText"/>
      </w:pPr>
    </w:p>
    <w:p w:rsidR="00000000" w:rsidRPr="00061AAF" w:rsidP="00061AAF">
      <w:pPr>
        <w:pStyle w:val="Heading1"/>
      </w:pPr>
      <w:bookmarkStart w:id="4" w:name="O_278024"/>
      <w:bookmarkEnd w:id="4"/>
      <w:r w:rsidRPr="00061AAF">
        <w:t>Licensing/Regulatory Information</w:t>
      </w:r>
    </w:p>
    <w:p w:rsidR="00000000" w:rsidRPr="00061AAF" w:rsidP="00061AAF">
      <w:pPr>
        <w:pStyle w:val="BodyText"/>
      </w:pPr>
      <w:r w:rsidRPr="00061AAF">
        <w:t>Not Applicable</w:t>
      </w:r>
    </w:p>
    <w:p w:rsidR="00000000" w:rsidRPr="00061AAF" w:rsidP="00061AAF">
      <w:pPr>
        <w:pStyle w:val="AllowPageBreak"/>
      </w:pPr>
    </w:p>
    <w:p w:rsidR="00000000" w:rsidRPr="00061AAF" w:rsidP="00061AAF">
      <w:pPr>
        <w:pStyle w:val="Heading1"/>
      </w:pPr>
      <w:bookmarkStart w:id="5" w:name="O_199125"/>
      <w:bookmarkEnd w:id="5"/>
      <w:r w:rsidRPr="00061AAF">
        <w:t>Pre-Requisites</w:t>
      </w:r>
    </w:p>
    <w:tbl>
      <w:tblPr>
        <w:tblW w:w="0" w:type="auto"/>
        <w:tblLayout w:type="fixed"/>
        <w:tblCellMar>
          <w:left w:w="62" w:type="dxa"/>
          <w:right w:w="62" w:type="dxa"/>
        </w:tblCellMar>
        <w:tblLook w:val="0000"/>
      </w:tblPr>
      <w:tblGrid>
        <w:gridCol w:w="2539"/>
        <w:gridCol w:w="2737"/>
        <w:gridCol w:w="3246"/>
      </w:tblGrid>
      <w:tr w:rsidTr="00684A75">
        <w:tblPrEx>
          <w:tblW w:w="0" w:type="auto"/>
          <w:tblLayout w:type="fixed"/>
          <w:tblCellMar>
            <w:left w:w="62" w:type="dxa"/>
            <w:right w:w="62" w:type="dxa"/>
          </w:tblCellMar>
          <w:tblLook w:val="0000"/>
        </w:tblPrEx>
        <w:trPr>
          <w:tblHeader/>
        </w:trPr>
        <w:tc>
          <w:tcPr>
            <w:tcW w:w="2539"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SpecialBold"/>
              </w:rPr>
              <w:t>Prerequisite units</w:t>
            </w:r>
          </w:p>
        </w:tc>
        <w:tc>
          <w:tcPr>
            <w:tcW w:w="5983" w:type="dxa"/>
            <w:gridSpan w:val="2"/>
            <w:tcBorders>
              <w:top w:val="nil"/>
              <w:left w:val="nil"/>
              <w:bottom w:val="nil"/>
              <w:right w:val="nil"/>
            </w:tcBorders>
            <w:tcMar>
              <w:top w:w="0" w:type="dxa"/>
              <w:left w:w="62" w:type="dxa"/>
              <w:bottom w:w="0" w:type="dxa"/>
              <w:right w:w="62" w:type="dxa"/>
            </w:tcMar>
          </w:tcPr>
          <w:p w:rsidR="00000000" w:rsidP="00061AAF">
            <w:pPr>
              <w:pStyle w:val="BodyText"/>
              <w:rPr>
                <w:lang w:val="en-NZ"/>
              </w:rPr>
            </w:pPr>
          </w:p>
        </w:tc>
      </w:tr>
      <w:tr w:rsidTr="00684A75">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t>CPCCOHS2001A</w:t>
            </w:r>
          </w:p>
        </w:tc>
        <w:tc>
          <w:tcPr>
            <w:tcW w:w="3246"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t>Apply OHS requirements, policies and procedures in the construction industry</w:t>
            </w:r>
          </w:p>
        </w:tc>
      </w:tr>
      <w:tr w:rsidTr="00684A75">
        <w:tblPrEx>
          <w:tblW w:w="0" w:type="auto"/>
          <w:tblLayout w:type="fixed"/>
          <w:tblCellMar>
            <w:left w:w="62" w:type="dxa"/>
            <w:right w:w="62" w:type="dxa"/>
          </w:tblCellMar>
          <w:tblLook w:val="0000"/>
        </w:tblPrEx>
        <w:tc>
          <w:tcPr>
            <w:tcW w:w="25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6" w:type="dxa"/>
            <w:tcBorders>
              <w:top w:val="nil"/>
              <w:left w:val="nil"/>
              <w:bottom w:val="nil"/>
              <w:right w:val="nil"/>
            </w:tcBorders>
            <w:tcMar>
              <w:top w:w="0" w:type="dxa"/>
              <w:left w:w="62" w:type="dxa"/>
              <w:bottom w:w="0" w:type="dxa"/>
              <w:right w:w="62" w:type="dxa"/>
            </w:tcMar>
          </w:tcPr>
          <w:p w:rsidR="00000000" w:rsidRPr="00061AAF" w:rsidP="00061AAF">
            <w:pPr>
              <w:pStyle w:val="BodyText"/>
            </w:pPr>
          </w:p>
        </w:tc>
      </w:tr>
    </w:tbl>
    <w:p w:rsidR="00684A75" w:rsidP="00061AAF">
      <w:pPr>
        <w:pStyle w:val="BodyText"/>
      </w:pPr>
    </w:p>
    <w:p w:rsidR="00684A75" w:rsidP="00061AAF">
      <w:pPr>
        <w:pStyle w:val="BodyText"/>
      </w:pPr>
    </w:p>
    <w:p w:rsidR="00000000" w:rsidRPr="00061AAF" w:rsidP="00061AAF">
      <w:pPr>
        <w:pStyle w:val="Heading1"/>
      </w:pPr>
      <w:bookmarkStart w:id="6" w:name="O_199124"/>
      <w:bookmarkEnd w:id="6"/>
      <w:r w:rsidRPr="00061AAF">
        <w:t>Employability Skills Information</w:t>
      </w:r>
    </w:p>
    <w:tbl>
      <w:tblPr>
        <w:tblW w:w="0" w:type="auto"/>
        <w:tblLayout w:type="fixed"/>
        <w:tblCellMar>
          <w:left w:w="62" w:type="dxa"/>
          <w:right w:w="62" w:type="dxa"/>
        </w:tblCellMar>
        <w:tblLook w:val="0000"/>
      </w:tblPr>
      <w:tblGrid>
        <w:gridCol w:w="2624"/>
        <w:gridCol w:w="5898"/>
      </w:tblGrid>
      <w:tr w:rsidTr="00684A7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061AAF" w:rsidP="00061AAF">
            <w:pPr>
              <w:pStyle w:val="BodyText"/>
            </w:pPr>
            <w:r w:rsidRPr="00061AAF">
              <w:t>This unit contains employability skills.</w:t>
            </w:r>
          </w:p>
        </w:tc>
      </w:tr>
    </w:tbl>
    <w:p w:rsidR="00684A75" w:rsidP="00061AAF">
      <w:pPr>
        <w:pStyle w:val="BodyText"/>
      </w:pPr>
    </w:p>
    <w:p w:rsidR="00684A75" w:rsidP="00061AAF">
      <w:pPr>
        <w:pStyle w:val="BodyText"/>
      </w:pPr>
    </w:p>
    <w:p w:rsidR="00000000" w:rsidRPr="00061AAF" w:rsidP="00061AAF">
      <w:pPr>
        <w:pStyle w:val="Heading1"/>
      </w:pPr>
      <w:bookmarkStart w:id="7" w:name="O_287810"/>
      <w:bookmarkEnd w:id="7"/>
      <w:r w:rsidRPr="00061AAF">
        <w:t>Elements and Performance Criteria Pre-Content</w:t>
      </w:r>
    </w:p>
    <w:tbl>
      <w:tblPr>
        <w:tblW w:w="0" w:type="auto"/>
        <w:tblLayout w:type="fixed"/>
        <w:tblCellMar>
          <w:left w:w="62" w:type="dxa"/>
          <w:right w:w="62" w:type="dxa"/>
        </w:tblCellMar>
        <w:tblLook w:val="0000"/>
      </w:tblPr>
      <w:tblGrid>
        <w:gridCol w:w="2569"/>
        <w:gridCol w:w="5953"/>
      </w:tblGrid>
      <w:tr w:rsidTr="00684A75">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061AAF">
            <w:pPr>
              <w:pStyle w:val="BodyText"/>
              <w:rPr>
                <w:lang w:val="en-NZ"/>
              </w:rPr>
            </w:pPr>
            <w:r w:rsidRPr="00061AAF">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061AAF" w:rsidP="00061AAF">
            <w:pPr>
              <w:pStyle w:val="BodyText"/>
            </w:pPr>
            <w:r w:rsidRPr="00061AAF">
              <w:t>Performance criteria describe the performance needed to demonstrate achievement of the element. Where bold italicised text is us</w:t>
            </w:r>
            <w:r w:rsidRPr="00061AAF">
              <w:t>ed, further information is detailed in the required skills and knowledge section and the range statement. Assessment of performance is to be consistent with the evidence guide.</w:t>
            </w:r>
          </w:p>
        </w:tc>
      </w:tr>
    </w:tbl>
    <w:p w:rsidR="00000000" w:rsidRPr="00061AAF" w:rsidP="00061AAF">
      <w:pPr>
        <w:pStyle w:val="BodyText"/>
      </w:pPr>
    </w:p>
    <w:p w:rsidR="00000000" w:rsidRPr="00061AAF" w:rsidP="00061AAF">
      <w:pPr>
        <w:pStyle w:val="AllowPageBreak"/>
      </w:pPr>
    </w:p>
    <w:p w:rsidR="00000000" w:rsidRPr="00061AAF" w:rsidP="00061AAF">
      <w:pPr>
        <w:pStyle w:val="Heading1"/>
      </w:pPr>
      <w:bookmarkStart w:id="8" w:name="O_234477"/>
      <w:bookmarkEnd w:id="8"/>
      <w:r w:rsidRPr="00061AAF">
        <w:t>Elements and Performance Criteria</w:t>
      </w:r>
    </w:p>
    <w:tbl>
      <w:tblPr>
        <w:tblW w:w="0" w:type="auto"/>
        <w:tblLayout w:type="fixed"/>
        <w:tblCellMar>
          <w:left w:w="62" w:type="dxa"/>
          <w:right w:w="62" w:type="dxa"/>
        </w:tblCellMar>
        <w:tblLook w:val="0000"/>
      </w:tblPr>
      <w:tblGrid>
        <w:gridCol w:w="2569"/>
        <w:gridCol w:w="5953"/>
      </w:tblGrid>
      <w:tr w:rsidTr="00684A75">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061AAF" w:rsidP="00061AAF">
            <w:pPr>
              <w:pStyle w:val="BodyText"/>
            </w:pPr>
            <w:r w:rsidRPr="00061AAF">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061AAF">
            <w:pPr>
              <w:pStyle w:val="BodyText"/>
              <w:rPr>
                <w:lang w:val="en-NZ"/>
              </w:rPr>
            </w:pPr>
            <w:r w:rsidRPr="00061AAF">
              <w:rPr>
                <w:rStyle w:val="SpecialBold"/>
              </w:rPr>
              <w:t>PERFORMANCE CRITERIA</w:t>
            </w:r>
          </w:p>
        </w:tc>
      </w:tr>
      <w:tr w:rsidTr="00684A75">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61AAF">
            <w:pPr>
              <w:pStyle w:val="List"/>
              <w:rPr>
                <w:lang w:val="en-NZ"/>
              </w:rPr>
            </w:pPr>
            <w:r w:rsidRPr="00061AAF">
              <w:t>1.</w:t>
            </w:r>
            <w:r w:rsidRPr="00061AAF">
              <w:tab/>
              <w:t>Plan and prepare.</w:t>
            </w:r>
          </w:p>
        </w:tc>
        <w:tc>
          <w:tcPr>
            <w:tcW w:w="5953" w:type="dxa"/>
            <w:tcBorders>
              <w:top w:val="nil"/>
              <w:left w:val="nil"/>
              <w:bottom w:val="nil"/>
              <w:right w:val="nil"/>
            </w:tcBorders>
            <w:tcMar>
              <w:top w:w="0" w:type="dxa"/>
              <w:left w:w="62" w:type="dxa"/>
              <w:bottom w:w="0" w:type="dxa"/>
              <w:right w:w="62" w:type="dxa"/>
            </w:tcMar>
          </w:tcPr>
          <w:p w:rsidR="00000000" w:rsidRPr="00061AAF" w:rsidP="00061AAF">
            <w:pPr>
              <w:pStyle w:val="List2"/>
            </w:pPr>
            <w:r w:rsidRPr="00061AAF">
              <w:t>1.1.</w:t>
            </w:r>
            <w:r w:rsidRPr="00061AAF">
              <w:tab/>
              <w:t xml:space="preserve">Work instructions and operational details are obtained using relevant </w:t>
            </w:r>
            <w:r w:rsidRPr="00061AAF">
              <w:rPr>
                <w:rStyle w:val="BoldandItalics"/>
              </w:rPr>
              <w:t>information</w:t>
            </w:r>
            <w:r w:rsidRPr="00061AAF">
              <w:t xml:space="preserve">, confirmed and applied for </w:t>
            </w:r>
            <w:r w:rsidRPr="00061AAF">
              <w:rPr>
                <w:rStyle w:val="BoldandItalics"/>
              </w:rPr>
              <w:t>planning and preparation</w:t>
            </w:r>
            <w:r w:rsidRPr="00061AAF">
              <w:t xml:space="preserve"> purposes. </w:t>
            </w:r>
          </w:p>
          <w:p w:rsidR="00000000" w:rsidRPr="00061AAF" w:rsidP="00061AAF">
            <w:pPr>
              <w:pStyle w:val="List2"/>
            </w:pPr>
            <w:r w:rsidRPr="00061AAF">
              <w:t>1.2.</w:t>
            </w:r>
            <w:r w:rsidRPr="00061AAF">
              <w:tab/>
            </w:r>
            <w:r w:rsidRPr="00061AAF">
              <w:rPr>
                <w:rStyle w:val="BoldandItalics"/>
              </w:rPr>
              <w:t>Safety</w:t>
            </w:r>
            <w:r w:rsidRPr="00061AAF">
              <w:t xml:space="preserve"> (</w:t>
            </w:r>
            <w:r w:rsidRPr="00061AAF">
              <w:rPr>
                <w:rStyle w:val="BoldandItalics"/>
              </w:rPr>
              <w:t>OHS</w:t>
            </w:r>
            <w:r w:rsidRPr="00061AAF">
              <w:t xml:space="preserve">) requirements are followed in accordance with </w:t>
            </w:r>
            <w:r w:rsidRPr="00061AAF">
              <w:t xml:space="preserve">safety plans and policies. </w:t>
            </w:r>
          </w:p>
          <w:p w:rsidR="00000000" w:rsidRPr="00061AAF" w:rsidP="00061AAF">
            <w:pPr>
              <w:pStyle w:val="List2"/>
            </w:pPr>
            <w:r w:rsidRPr="00061AAF">
              <w:t>1.3.</w:t>
            </w:r>
            <w:r w:rsidRPr="00061AAF">
              <w:tab/>
              <w:t>Signage and barricade requirements are identified and implemented.</w:t>
            </w:r>
          </w:p>
          <w:p w:rsidR="00000000" w:rsidRPr="00061AAF" w:rsidP="00061AAF">
            <w:pPr>
              <w:pStyle w:val="List2"/>
            </w:pPr>
            <w:r w:rsidRPr="00061AAF">
              <w:t>1.4.</w:t>
            </w:r>
            <w:r w:rsidRPr="00061AAF">
              <w:tab/>
            </w:r>
            <w:r w:rsidRPr="00061AAF">
              <w:rPr>
                <w:rStyle w:val="BoldandItalics"/>
              </w:rPr>
              <w:t>Tools</w:t>
            </w:r>
            <w:r w:rsidRPr="00061AAF">
              <w:t xml:space="preserve">, </w:t>
            </w:r>
            <w:r w:rsidRPr="00061AAF">
              <w:rPr>
                <w:rStyle w:val="BoldandItalics"/>
              </w:rPr>
              <w:t>plant and equipment</w:t>
            </w:r>
            <w:r w:rsidRPr="00061AAF">
              <w:t xml:space="preserve"> selected to carry out tasks are consistent with the requirements of the job, checked for serviceability and any faults are r</w:t>
            </w:r>
            <w:r w:rsidRPr="00061AAF">
              <w:t xml:space="preserve">ectified or reported prior to commencement. </w:t>
            </w:r>
          </w:p>
          <w:p w:rsidR="00000000" w:rsidRPr="00061AAF" w:rsidP="00061AAF">
            <w:pPr>
              <w:pStyle w:val="List2"/>
            </w:pPr>
            <w:r w:rsidRPr="00061AAF">
              <w:t>1.5.</w:t>
            </w:r>
            <w:r w:rsidRPr="00061AAF">
              <w:tab/>
              <w:t xml:space="preserve">Material quantity requirements are calculated in accordance with plans and specifications and </w:t>
            </w:r>
            <w:r w:rsidRPr="00061AAF">
              <w:rPr>
                <w:rStyle w:val="BoldandItalics"/>
              </w:rPr>
              <w:t>quality requirements</w:t>
            </w:r>
            <w:r w:rsidRPr="00061AAF">
              <w:t xml:space="preserve">. </w:t>
            </w:r>
          </w:p>
          <w:p w:rsidR="00000000" w:rsidRPr="00061AAF" w:rsidP="00061AAF">
            <w:pPr>
              <w:pStyle w:val="List2"/>
            </w:pPr>
            <w:r w:rsidRPr="00061AAF">
              <w:t>1.6.</w:t>
            </w:r>
            <w:r w:rsidRPr="00061AAF">
              <w:tab/>
            </w:r>
            <w:r w:rsidRPr="00061AAF">
              <w:rPr>
                <w:rStyle w:val="BoldandItalics"/>
              </w:rPr>
              <w:t>Materials</w:t>
            </w:r>
            <w:r w:rsidRPr="00061AAF">
              <w:t xml:space="preserve"> appropriate to the work application are identified, obtained, prepared, sa</w:t>
            </w:r>
            <w:r w:rsidRPr="00061AAF">
              <w:t xml:space="preserve">fely handled and located ready for use. </w:t>
            </w:r>
          </w:p>
          <w:p w:rsidR="00000000" w:rsidP="00061AAF">
            <w:pPr>
              <w:pStyle w:val="List2"/>
              <w:rPr>
                <w:lang w:val="en-NZ"/>
              </w:rPr>
            </w:pPr>
            <w:r w:rsidRPr="00061AAF">
              <w:t>1.7.</w:t>
            </w:r>
            <w:r w:rsidRPr="00061AAF">
              <w:tab/>
            </w:r>
            <w:r w:rsidRPr="00061AAF">
              <w:rPr>
                <w:rStyle w:val="BoldandItalics"/>
              </w:rPr>
              <w:t>Environmental requirements</w:t>
            </w:r>
            <w:r w:rsidRPr="00061AAF">
              <w:t xml:space="preserve"> are identified for the project in accordance with environmental plans and regulatory obligations and applied. </w:t>
            </w:r>
          </w:p>
        </w:tc>
      </w:tr>
      <w:tr w:rsidTr="00684A75">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61AAF">
            <w:pPr>
              <w:pStyle w:val="List"/>
              <w:rPr>
                <w:lang w:val="en-NZ"/>
              </w:rPr>
            </w:pPr>
            <w:r w:rsidRPr="00061AAF">
              <w:t>2.</w:t>
            </w:r>
            <w:r w:rsidRPr="00061AAF">
              <w:tab/>
              <w:t>Confirm the penetration and flashing requirement.</w:t>
            </w:r>
          </w:p>
        </w:tc>
        <w:tc>
          <w:tcPr>
            <w:tcW w:w="5953" w:type="dxa"/>
            <w:tcBorders>
              <w:top w:val="nil"/>
              <w:left w:val="nil"/>
              <w:bottom w:val="nil"/>
              <w:right w:val="nil"/>
            </w:tcBorders>
            <w:tcMar>
              <w:top w:w="0" w:type="dxa"/>
              <w:left w:w="62" w:type="dxa"/>
              <w:bottom w:w="0" w:type="dxa"/>
              <w:right w:w="62" w:type="dxa"/>
            </w:tcMar>
          </w:tcPr>
          <w:p w:rsidR="00000000" w:rsidRPr="00061AAF" w:rsidP="00061AAF">
            <w:pPr>
              <w:pStyle w:val="List2"/>
            </w:pPr>
            <w:r w:rsidRPr="00061AAF">
              <w:t>2.1.</w:t>
            </w:r>
            <w:r w:rsidRPr="00061AAF">
              <w:tab/>
              <w:t xml:space="preserve">Type of </w:t>
            </w:r>
            <w:r w:rsidRPr="00061AAF">
              <w:rPr>
                <w:rStyle w:val="BoldandItalics"/>
              </w:rPr>
              <w:t>penetration and flashing</w:t>
            </w:r>
            <w:r w:rsidRPr="00061AAF">
              <w:t xml:space="preserve"> is selected to match the particular need and host materials. </w:t>
            </w:r>
          </w:p>
          <w:p w:rsidR="00000000" w:rsidRPr="00061AAF" w:rsidP="00061AAF">
            <w:pPr>
              <w:pStyle w:val="List2"/>
            </w:pPr>
            <w:r w:rsidRPr="00061AAF">
              <w:t>2.2.</w:t>
            </w:r>
            <w:r w:rsidRPr="00061AAF">
              <w:tab/>
              <w:t>Location of the penetration is identified, set out and confirmed.</w:t>
            </w:r>
          </w:p>
          <w:p w:rsidR="00000000" w:rsidP="00061AAF">
            <w:pPr>
              <w:pStyle w:val="List2"/>
              <w:rPr>
                <w:lang w:val="en-NZ"/>
              </w:rPr>
            </w:pPr>
            <w:r w:rsidRPr="00061AAF">
              <w:t>2.3.</w:t>
            </w:r>
            <w:r w:rsidRPr="00061AAF">
              <w:tab/>
              <w:t>Tools, plant and equipment selected to carry out tasks are consistent with the requirements o</w:t>
            </w:r>
            <w:r w:rsidRPr="00061AAF">
              <w:t>f the job, checked for serviceability, and any faults are rectified or reported prior to commencement.</w:t>
            </w:r>
          </w:p>
        </w:tc>
      </w:tr>
      <w:tr w:rsidTr="00684A75">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61AAF">
            <w:pPr>
              <w:pStyle w:val="List"/>
              <w:rPr>
                <w:lang w:val="en-NZ"/>
              </w:rPr>
            </w:pPr>
            <w:r w:rsidRPr="00061AAF">
              <w:t>3.</w:t>
            </w:r>
            <w:r w:rsidRPr="00061AAF">
              <w:tab/>
              <w:t>Complete the penetrations and flashings.</w:t>
            </w:r>
          </w:p>
        </w:tc>
        <w:tc>
          <w:tcPr>
            <w:tcW w:w="5953" w:type="dxa"/>
            <w:tcBorders>
              <w:top w:val="nil"/>
              <w:left w:val="nil"/>
              <w:bottom w:val="nil"/>
              <w:right w:val="nil"/>
            </w:tcBorders>
            <w:tcMar>
              <w:top w:w="0" w:type="dxa"/>
              <w:left w:w="62" w:type="dxa"/>
              <w:bottom w:w="0" w:type="dxa"/>
              <w:right w:w="62" w:type="dxa"/>
            </w:tcMar>
          </w:tcPr>
          <w:p w:rsidR="00000000" w:rsidRPr="00061AAF" w:rsidP="00061AAF">
            <w:pPr>
              <w:pStyle w:val="List2"/>
            </w:pPr>
            <w:r w:rsidRPr="00061AAF">
              <w:t>3.1.</w:t>
            </w:r>
            <w:r w:rsidRPr="00061AAF">
              <w:tab/>
              <w:t>Penetrations are completed safely and with minimal modification or damage to the host materials.</w:t>
            </w:r>
          </w:p>
          <w:p w:rsidR="00000000" w:rsidRPr="00061AAF" w:rsidP="00061AAF">
            <w:pPr>
              <w:pStyle w:val="List2"/>
            </w:pPr>
            <w:r w:rsidRPr="00061AAF">
              <w:t>3.2.</w:t>
            </w:r>
            <w:r w:rsidRPr="00061AAF">
              <w:tab/>
              <w:t>F</w:t>
            </w:r>
            <w:r w:rsidRPr="00061AAF">
              <w:t>lashings are completed safely and with minimal modification or damage to the host materials.</w:t>
            </w:r>
          </w:p>
          <w:p w:rsidR="00000000" w:rsidRPr="00061AAF" w:rsidP="00061AAF">
            <w:pPr>
              <w:pStyle w:val="List2"/>
            </w:pPr>
            <w:r w:rsidRPr="00061AAF">
              <w:t>3.3.</w:t>
            </w:r>
            <w:r w:rsidRPr="00061AAF">
              <w:tab/>
              <w:t>Casings, housings or other terminating points are installed and connections made in accordance with state and territory requirements.</w:t>
            </w:r>
          </w:p>
          <w:p w:rsidR="00000000" w:rsidRPr="00061AAF" w:rsidP="00061AAF">
            <w:pPr>
              <w:pStyle w:val="List2"/>
            </w:pPr>
            <w:r w:rsidRPr="00061AAF">
              <w:t>3.4.</w:t>
            </w:r>
            <w:r w:rsidRPr="00061AAF">
              <w:tab/>
              <w:t>Proprietary sealant</w:t>
            </w:r>
            <w:r w:rsidRPr="00061AAF">
              <w:t>s or caulking compounds are applied to restore the integrity of the wall or ceiling system.</w:t>
            </w:r>
          </w:p>
          <w:p w:rsidR="00000000" w:rsidP="00061AAF">
            <w:pPr>
              <w:pStyle w:val="List2"/>
              <w:rPr>
                <w:lang w:val="en-NZ"/>
              </w:rPr>
            </w:pPr>
            <w:r w:rsidRPr="00061AAF">
              <w:t>3.5.</w:t>
            </w:r>
            <w:r w:rsidRPr="00061AAF">
              <w:tab/>
              <w:t>Surfaces are prepared for finishing.</w:t>
            </w:r>
          </w:p>
        </w:tc>
      </w:tr>
      <w:tr w:rsidTr="00684A75">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061AAF">
            <w:pPr>
              <w:pStyle w:val="List"/>
              <w:rPr>
                <w:lang w:val="en-NZ"/>
              </w:rPr>
            </w:pPr>
            <w:r w:rsidRPr="00061AAF">
              <w:t>4.</w:t>
            </w:r>
            <w:r w:rsidRPr="00061AAF">
              <w:tab/>
              <w:t>Clean up.</w:t>
            </w:r>
          </w:p>
        </w:tc>
        <w:tc>
          <w:tcPr>
            <w:tcW w:w="5953" w:type="dxa"/>
            <w:tcBorders>
              <w:top w:val="nil"/>
              <w:left w:val="nil"/>
              <w:bottom w:val="nil"/>
              <w:right w:val="nil"/>
            </w:tcBorders>
            <w:tcMar>
              <w:top w:w="0" w:type="dxa"/>
              <w:left w:w="62" w:type="dxa"/>
              <w:bottom w:w="0" w:type="dxa"/>
              <w:right w:w="62" w:type="dxa"/>
            </w:tcMar>
          </w:tcPr>
          <w:p w:rsidR="00000000" w:rsidRPr="00061AAF" w:rsidP="00061AAF">
            <w:pPr>
              <w:pStyle w:val="List2"/>
            </w:pPr>
            <w:r w:rsidRPr="00061AAF">
              <w:t>4.1.</w:t>
            </w:r>
            <w:r w:rsidRPr="00061AAF">
              <w:tab/>
              <w:t>Work area is cleared and materials disposed of, reused or recycled in accordance with legislation, regu</w:t>
            </w:r>
            <w:r w:rsidRPr="00061AAF">
              <w:t>lations, codes of practice and job specification.</w:t>
            </w:r>
          </w:p>
          <w:p w:rsidR="00000000" w:rsidRPr="00061AAF" w:rsidP="00061AAF">
            <w:pPr>
              <w:pStyle w:val="List2"/>
            </w:pPr>
            <w:r w:rsidRPr="00061AAF">
              <w:t>4.2.</w:t>
            </w:r>
            <w:r w:rsidRPr="00061AAF">
              <w:tab/>
              <w:t>Tools and equipment are cleaned, checked, maintained and stored in accordance with manufacturer recommendations and standard work practices.</w:t>
            </w:r>
          </w:p>
        </w:tc>
      </w:tr>
    </w:tbl>
    <w:p w:rsidR="00684A75" w:rsidP="00061AAF">
      <w:pPr>
        <w:pStyle w:val="BodyText"/>
      </w:pPr>
    </w:p>
    <w:p w:rsidR="00684A75" w:rsidP="00061AAF">
      <w:pPr>
        <w:pStyle w:val="BodyText"/>
      </w:pPr>
    </w:p>
    <w:p w:rsidR="00000000" w:rsidRPr="00061AAF" w:rsidP="00061AAF">
      <w:pPr>
        <w:pStyle w:val="Heading1"/>
      </w:pPr>
      <w:bookmarkStart w:id="9" w:name="O_258427"/>
      <w:bookmarkEnd w:id="9"/>
      <w:r w:rsidRPr="00061AAF">
        <w:t>Required Skills and Knowledge</w:t>
      </w:r>
    </w:p>
    <w:tbl>
      <w:tblPr>
        <w:tblW w:w="0" w:type="auto"/>
        <w:tblLayout w:type="fixed"/>
        <w:tblCellMar>
          <w:left w:w="62" w:type="dxa"/>
          <w:right w:w="62" w:type="dxa"/>
        </w:tblCellMar>
        <w:tblLook w:val="0000"/>
      </w:tblPr>
      <w:tblGrid>
        <w:gridCol w:w="8522"/>
      </w:tblGrid>
      <w:tr w:rsidTr="00684A7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SpecialBold"/>
              </w:rPr>
              <w:t>REQUIRED SKILLS AND KNOWLEDGE</w:t>
            </w:r>
          </w:p>
        </w:tc>
      </w:tr>
      <w:tr w:rsidTr="00684A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t>This section describes the skills and knowledge required for this unit.</w:t>
            </w:r>
          </w:p>
        </w:tc>
      </w:tr>
      <w:tr w:rsidTr="00684A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SpecialBold"/>
              </w:rPr>
              <w:t>Required skills</w:t>
            </w:r>
          </w:p>
        </w:tc>
      </w:tr>
      <w:tr w:rsidTr="00684A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1AAF" w:rsidP="00061AAF">
            <w:pPr>
              <w:pStyle w:val="BodyText"/>
            </w:pPr>
            <w:r w:rsidRPr="00061AAF">
              <w:t>Required skills for this unit are:</w:t>
            </w:r>
          </w:p>
          <w:p w:rsidR="00000000" w:rsidRPr="00061AAF" w:rsidP="00061AAF">
            <w:pPr>
              <w:pStyle w:val="ListBullet"/>
            </w:pPr>
            <w:r w:rsidRPr="00061AAF">
              <w:t>communication skills to:</w:t>
            </w:r>
          </w:p>
          <w:p w:rsidR="00000000" w:rsidRPr="00061AAF" w:rsidP="00061AAF">
            <w:pPr>
              <w:pStyle w:val="ListBullet2"/>
            </w:pPr>
            <w:r w:rsidRPr="00061AAF">
              <w:t>follow instructions</w:t>
            </w:r>
          </w:p>
          <w:p w:rsidR="00000000" w:rsidRPr="00061AAF" w:rsidP="00061AAF">
            <w:pPr>
              <w:pStyle w:val="ListBullet2"/>
            </w:pPr>
            <w:r w:rsidRPr="00061AAF">
              <w:t>read and interpret:</w:t>
            </w:r>
          </w:p>
          <w:p w:rsidR="00000000" w:rsidRPr="00061AAF" w:rsidP="00061AAF">
            <w:pPr>
              <w:pStyle w:val="ListBullet3"/>
            </w:pPr>
            <w:r w:rsidRPr="00061AAF">
              <w:t>documentation from a variety of sources</w:t>
            </w:r>
          </w:p>
          <w:p w:rsidR="00000000" w:rsidRPr="00061AAF" w:rsidP="00061AAF">
            <w:pPr>
              <w:pStyle w:val="ListBullet3"/>
            </w:pPr>
            <w:r w:rsidRPr="00061AAF">
              <w:t>drawings and specifications</w:t>
            </w:r>
          </w:p>
          <w:p w:rsidR="00000000" w:rsidRPr="00061AAF" w:rsidP="00061AAF">
            <w:pPr>
              <w:pStyle w:val="ListBullet2"/>
            </w:pPr>
            <w:r w:rsidRPr="00061AAF">
              <w:t>recognise procedures</w:t>
            </w:r>
          </w:p>
          <w:p w:rsidR="00000000" w:rsidRPr="00061AAF" w:rsidP="00061AAF">
            <w:pPr>
              <w:pStyle w:val="ListBullet2"/>
            </w:pPr>
            <w:r w:rsidRPr="00061AAF">
              <w:t>report faults</w:t>
            </w:r>
          </w:p>
          <w:p w:rsidR="00000000" w:rsidRPr="00061AAF" w:rsidP="00061AAF">
            <w:pPr>
              <w:pStyle w:val="ListBullet2"/>
            </w:pPr>
            <w:r w:rsidRPr="00061AAF">
              <w:t>enable clear and direct communication, using questioning to identify and confirm requirements, share information, listen and understand</w:t>
            </w:r>
          </w:p>
          <w:p w:rsidR="00000000" w:rsidRPr="00061AAF" w:rsidP="00061AAF">
            <w:pPr>
              <w:pStyle w:val="ListBullet2"/>
            </w:pPr>
            <w:r w:rsidRPr="00061AAF">
              <w:t>use language and concepts appropriate to cultural differences</w:t>
            </w:r>
          </w:p>
          <w:p w:rsidR="00000000" w:rsidRPr="00061AAF" w:rsidP="00061AAF">
            <w:pPr>
              <w:pStyle w:val="ListBullet2"/>
            </w:pPr>
            <w:r w:rsidRPr="00061AAF">
              <w:t>use and interpret non-verbal communication, such as hand signals</w:t>
            </w:r>
          </w:p>
          <w:p w:rsidR="00000000" w:rsidRPr="00061AAF" w:rsidP="00061AAF">
            <w:pPr>
              <w:pStyle w:val="ListBullet2"/>
            </w:pPr>
            <w:r w:rsidRPr="00061AAF">
              <w:t>written skills to record results of checks and tests and relevant work completion procedures</w:t>
            </w:r>
          </w:p>
          <w:p w:rsidR="00000000" w:rsidRPr="00061AAF" w:rsidP="00061AAF">
            <w:pPr>
              <w:pStyle w:val="ListBullet"/>
            </w:pPr>
            <w:r w:rsidRPr="00061AAF">
              <w:t>evaluate own actions and make judgm</w:t>
            </w:r>
            <w:r w:rsidRPr="00061AAF">
              <w:t>ents about performance and necessary improvements</w:t>
            </w:r>
          </w:p>
          <w:p w:rsidR="00000000" w:rsidRPr="00061AAF" w:rsidP="00061AAF">
            <w:pPr>
              <w:pStyle w:val="ListBullet"/>
            </w:pPr>
            <w:r w:rsidRPr="00061AAF">
              <w:t>identifying and accurately reporting to appropriate personnel any faults in tools, equipment or materials</w:t>
            </w:r>
          </w:p>
          <w:p w:rsidR="00000000" w:rsidRPr="00061AAF" w:rsidP="00061AAF">
            <w:pPr>
              <w:pStyle w:val="ListBullet"/>
            </w:pPr>
            <w:r w:rsidRPr="00061AAF">
              <w:t>organisational skills, including the ability to plan and set out work</w:t>
            </w:r>
          </w:p>
          <w:p w:rsidR="00000000" w:rsidRPr="00061AAF" w:rsidP="00061AAF">
            <w:pPr>
              <w:pStyle w:val="ListBullet"/>
            </w:pPr>
            <w:r w:rsidRPr="00061AAF">
              <w:t>respond to change and contribute to workplace responsibilities, such as current work site environmental and sustainability frameworks and management systems</w:t>
            </w:r>
          </w:p>
          <w:p w:rsidR="00000000" w:rsidRPr="00061AAF" w:rsidP="00061AAF">
            <w:pPr>
              <w:pStyle w:val="ListBullet"/>
            </w:pPr>
            <w:r w:rsidRPr="00061AAF">
              <w:t>teamwork skills to work with others to action tasks and relate to people from a range of cultural a</w:t>
            </w:r>
            <w:r w:rsidRPr="00061AAF">
              <w:t>nd ethnic backgrounds and with varying physical and mental abilities</w:t>
            </w:r>
          </w:p>
          <w:p w:rsidR="00000000" w:rsidRPr="00061AAF" w:rsidP="00061AAF">
            <w:pPr>
              <w:pStyle w:val="ListBullet"/>
            </w:pPr>
            <w:r w:rsidRPr="00061AAF">
              <w:t>technological skills to:</w:t>
            </w:r>
          </w:p>
          <w:p w:rsidR="00000000" w:rsidRPr="00061AAF" w:rsidP="00061AAF">
            <w:pPr>
              <w:pStyle w:val="ListBullet2"/>
            </w:pPr>
            <w:r w:rsidRPr="00061AAF">
              <w:t>use a range of mobile technology, such as two-way radio and mobile phones</w:t>
            </w:r>
          </w:p>
          <w:p w:rsidR="00000000" w:rsidP="00061AAF">
            <w:pPr>
              <w:pStyle w:val="ListBullet2"/>
              <w:rPr>
                <w:lang w:val="en-NZ"/>
              </w:rPr>
            </w:pPr>
            <w:r w:rsidRPr="00061AAF">
              <w:t>voice and hand signals to access and understand site-specific instructions.</w:t>
            </w:r>
          </w:p>
        </w:tc>
      </w:tr>
      <w:tr w:rsidTr="00684A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SpecialBold"/>
              </w:rPr>
              <w:t>Required knowledge</w:t>
            </w:r>
          </w:p>
        </w:tc>
      </w:tr>
      <w:tr w:rsidTr="00684A7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1AAF" w:rsidP="00061AAF">
            <w:pPr>
              <w:pStyle w:val="BodyText"/>
            </w:pPr>
            <w:r w:rsidRPr="00061AAF">
              <w:t>Required knowledge for this unit is:</w:t>
            </w:r>
          </w:p>
          <w:p w:rsidR="00000000" w:rsidRPr="00061AAF" w:rsidP="00061AAF">
            <w:pPr>
              <w:pStyle w:val="ListBullet"/>
            </w:pPr>
            <w:r w:rsidRPr="00061AAF">
              <w:t>job safety analysis (JSA) and safe work method statements</w:t>
            </w:r>
          </w:p>
          <w:p w:rsidR="00000000" w:rsidRPr="00061AAF" w:rsidP="00061AAF">
            <w:pPr>
              <w:pStyle w:val="ListBullet"/>
            </w:pPr>
            <w:r w:rsidRPr="00061AAF">
              <w:t>materials storage and environmentally friendly waste management</w:t>
            </w:r>
          </w:p>
          <w:p w:rsidR="00000000" w:rsidRPr="00061AAF" w:rsidP="00061AAF">
            <w:pPr>
              <w:pStyle w:val="ListBullet"/>
            </w:pPr>
            <w:r w:rsidRPr="00061AAF">
              <w:t>penetration and flashing techniques</w:t>
            </w:r>
          </w:p>
          <w:p w:rsidR="00000000" w:rsidRPr="00061AAF" w:rsidP="00061AAF">
            <w:pPr>
              <w:pStyle w:val="ListBullet"/>
            </w:pPr>
            <w:r w:rsidRPr="00061AAF">
              <w:t>plans, drawings and specifications</w:t>
            </w:r>
          </w:p>
          <w:p w:rsidR="00000000" w:rsidRPr="00061AAF" w:rsidP="00061AAF">
            <w:pPr>
              <w:pStyle w:val="ListBullet"/>
            </w:pPr>
            <w:r w:rsidRPr="00061AAF">
              <w:t>proce</w:t>
            </w:r>
            <w:r w:rsidRPr="00061AAF">
              <w:t>sses for the calculation of material requirements</w:t>
            </w:r>
          </w:p>
          <w:p w:rsidR="00000000" w:rsidRPr="00061AAF" w:rsidP="00061AAF">
            <w:pPr>
              <w:pStyle w:val="ListBullet"/>
            </w:pPr>
            <w:r w:rsidRPr="00061AAF">
              <w:t>quality requirements</w:t>
            </w:r>
          </w:p>
          <w:p w:rsidR="00000000" w:rsidRPr="00061AAF" w:rsidP="00061AAF">
            <w:pPr>
              <w:pStyle w:val="ListBullet"/>
            </w:pPr>
            <w:r w:rsidRPr="00061AAF">
              <w:t>services locating techniques</w:t>
            </w:r>
          </w:p>
          <w:p w:rsidR="00000000" w:rsidRPr="00061AAF" w:rsidP="00061AAF">
            <w:pPr>
              <w:pStyle w:val="ListBullet"/>
            </w:pPr>
            <w:r w:rsidRPr="00061AAF">
              <w:t>systems and techniques for safe handling of materials</w:t>
            </w:r>
          </w:p>
          <w:p w:rsidR="00000000" w:rsidRPr="00061AAF" w:rsidP="00061AAF">
            <w:pPr>
              <w:pStyle w:val="ListBullet"/>
            </w:pPr>
            <w:r w:rsidRPr="00061AAF">
              <w:t>types of services and purposes for which penetrations and flashings are required</w:t>
            </w:r>
          </w:p>
          <w:p w:rsidR="00000000" w:rsidRPr="00061AAF" w:rsidP="00061AAF">
            <w:pPr>
              <w:pStyle w:val="ListBullet"/>
            </w:pPr>
            <w:r w:rsidRPr="00061AAF">
              <w:t>types, characteristic</w:t>
            </w:r>
            <w:r w:rsidRPr="00061AAF">
              <w:t>s, uses and limitations of wall and ceiling lining materials</w:t>
            </w:r>
          </w:p>
          <w:p w:rsidR="00000000" w:rsidRPr="00061AAF" w:rsidP="00061AAF">
            <w:pPr>
              <w:pStyle w:val="ListBullet"/>
            </w:pPr>
            <w:r w:rsidRPr="00061AAF">
              <w:t>types, characteristics, uses and limitations of hand and power tools for wall and ceiling lining</w:t>
            </w:r>
          </w:p>
          <w:p w:rsidR="00000000" w:rsidRPr="00061AAF" w:rsidP="00061AAF">
            <w:pPr>
              <w:pStyle w:val="ListBullet"/>
            </w:pPr>
            <w:r w:rsidRPr="00061AAF">
              <w:t>wall and ceiling industry terminology</w:t>
            </w:r>
          </w:p>
          <w:p w:rsidR="00000000" w:rsidRPr="00061AAF" w:rsidP="00061AAF">
            <w:pPr>
              <w:pStyle w:val="ListBullet"/>
            </w:pPr>
            <w:r w:rsidRPr="00061AAF">
              <w:t>workplace and equipment safety requirements.</w:t>
            </w:r>
          </w:p>
        </w:tc>
      </w:tr>
    </w:tbl>
    <w:p w:rsidR="00684A75" w:rsidP="00061AAF">
      <w:pPr>
        <w:pStyle w:val="BodyText"/>
      </w:pPr>
    </w:p>
    <w:p w:rsidR="00684A75" w:rsidP="00061AAF">
      <w:pPr>
        <w:pStyle w:val="BodyText"/>
      </w:pPr>
    </w:p>
    <w:p w:rsidR="00000000" w:rsidRPr="00061AAF" w:rsidP="00061AAF">
      <w:pPr>
        <w:pStyle w:val="AllowPageBreak"/>
      </w:pPr>
    </w:p>
    <w:p w:rsidR="00000000" w:rsidRPr="00061AAF" w:rsidP="00061AAF">
      <w:pPr>
        <w:pStyle w:val="Heading1"/>
      </w:pPr>
      <w:bookmarkStart w:id="10" w:name="O_242461"/>
      <w:bookmarkEnd w:id="10"/>
      <w:r w:rsidRPr="00061AAF">
        <w:t>Evidence Guide</w:t>
      </w:r>
    </w:p>
    <w:tbl>
      <w:tblPr>
        <w:tblW w:w="0" w:type="auto"/>
        <w:tblLayout w:type="fixed"/>
        <w:tblCellMar>
          <w:left w:w="62" w:type="dxa"/>
          <w:right w:w="62" w:type="dxa"/>
        </w:tblCellMar>
        <w:tblLook w:val="0000"/>
      </w:tblPr>
      <w:tblGrid>
        <w:gridCol w:w="3496"/>
        <w:gridCol w:w="5026"/>
      </w:tblGrid>
      <w:tr w:rsidTr="00684A7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61AAF">
            <w:pPr>
              <w:pStyle w:val="BodyText"/>
              <w:rPr>
                <w:lang w:val="en-NZ"/>
              </w:rPr>
            </w:pPr>
            <w:r w:rsidRPr="00061AAF">
              <w:rPr>
                <w:rStyle w:val="SpecialBold"/>
              </w:rPr>
              <w:t>EVIDENCE GUIDE</w:t>
            </w:r>
          </w:p>
        </w:tc>
      </w:tr>
      <w:tr w:rsidTr="00684A7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61AAF">
            <w:pPr>
              <w:pStyle w:val="BodyText"/>
              <w:rPr>
                <w:lang w:val="en-NZ"/>
              </w:rPr>
            </w:pPr>
            <w:r w:rsidRPr="00061AAF">
              <w:t>The evidence guide provides advice on assessment and must be read in conjunction with the performance criteria, required skills and knowledge, range statement and the Assessment Guidelines for the Train</w:t>
            </w:r>
            <w:r w:rsidRPr="00061AAF">
              <w:t>ing Package.</w:t>
            </w:r>
          </w:p>
        </w:tc>
      </w:tr>
      <w:tr w:rsidTr="00684A75">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SpecialBold"/>
              </w:rPr>
              <w:t>Overview of assessment</w:t>
            </w:r>
          </w:p>
        </w:tc>
        <w:tc>
          <w:tcPr>
            <w:tcW w:w="5026"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t xml:space="preserve">This unit of competency could be assessed in the workplace or a close simulation of the workplace environment, provided that simulated or project-based </w:t>
            </w:r>
            <w:r w:rsidRPr="00061AAF">
              <w:t xml:space="preserve">assessment techniques fully replicate construction workplace conditions, materials, activities, responsibilities and procedures. </w:t>
            </w:r>
          </w:p>
        </w:tc>
      </w:tr>
      <w:tr w:rsidTr="00684A75">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SpecialBold"/>
              </w:rPr>
              <w:t>Critical aspects for assessment and evidence required to demonstrate competency in this unit</w:t>
            </w:r>
          </w:p>
        </w:tc>
        <w:tc>
          <w:tcPr>
            <w:tcW w:w="5026" w:type="dxa"/>
            <w:tcBorders>
              <w:top w:val="nil"/>
              <w:left w:val="nil"/>
              <w:bottom w:val="nil"/>
              <w:right w:val="nil"/>
            </w:tcBorders>
            <w:tcMar>
              <w:top w:w="0" w:type="dxa"/>
              <w:left w:w="62" w:type="dxa"/>
              <w:bottom w:w="0" w:type="dxa"/>
              <w:right w:w="62" w:type="dxa"/>
            </w:tcMar>
          </w:tcPr>
          <w:p w:rsidR="00000000" w:rsidRPr="00061AAF" w:rsidP="00061AAF">
            <w:pPr>
              <w:pStyle w:val="BodyText"/>
            </w:pPr>
            <w:r w:rsidRPr="00061AAF">
              <w:t>A person who demonstrates competency in this unit must be able to provide evidence of the ability to:</w:t>
            </w:r>
          </w:p>
          <w:p w:rsidR="00000000" w:rsidRPr="00061AAF" w:rsidP="00061AAF">
            <w:pPr>
              <w:pStyle w:val="ListBullet"/>
            </w:pPr>
            <w:r w:rsidRPr="00061AAF">
              <w:t>locate, interpret and apply relevant information, standards and specifications</w:t>
            </w:r>
          </w:p>
          <w:p w:rsidR="00000000" w:rsidRPr="00061AAF" w:rsidP="00061AAF">
            <w:pPr>
              <w:pStyle w:val="ListBullet"/>
            </w:pPr>
            <w:r w:rsidRPr="00061AAF">
              <w:t>comply with site safety plan and OHS legislation, regulations and codes of</w:t>
            </w:r>
            <w:r w:rsidRPr="00061AAF">
              <w:t xml:space="preserve"> practice applicable to workplace operations</w:t>
            </w:r>
          </w:p>
          <w:p w:rsidR="00000000" w:rsidRPr="00061AAF" w:rsidP="00061AAF">
            <w:pPr>
              <w:pStyle w:val="ListBullet"/>
            </w:pPr>
            <w:r w:rsidRPr="00061AAF">
              <w:t>comply with organisational policies and procedures including quality requirements</w:t>
            </w:r>
          </w:p>
          <w:p w:rsidR="00000000" w:rsidRPr="00061AAF" w:rsidP="00061AAF">
            <w:pPr>
              <w:pStyle w:val="ListBullet"/>
            </w:pPr>
            <w:r w:rsidRPr="00061AAF">
              <w:t>safely and effectively operate and use tools, plant and equipment</w:t>
            </w:r>
          </w:p>
          <w:p w:rsidR="00000000" w:rsidRPr="00061AAF" w:rsidP="00061AAF">
            <w:pPr>
              <w:pStyle w:val="ListBullet"/>
            </w:pPr>
            <w:r w:rsidRPr="00061AAF">
              <w:t>communicate and work effectively and safely with others</w:t>
            </w:r>
          </w:p>
          <w:p w:rsidR="00000000" w:rsidRPr="00061AAF" w:rsidP="00061AAF">
            <w:pPr>
              <w:pStyle w:val="ListBullet"/>
            </w:pPr>
            <w:r w:rsidRPr="00061AAF">
              <w:t>complete a minimum of three penetration and flashing tasks, including:</w:t>
            </w:r>
          </w:p>
          <w:p w:rsidR="00000000" w:rsidRPr="00061AAF" w:rsidP="00061AAF">
            <w:pPr>
              <w:pStyle w:val="ListBullet2"/>
            </w:pPr>
            <w:r w:rsidRPr="00061AAF">
              <w:t>one for electrical services</w:t>
            </w:r>
          </w:p>
          <w:p w:rsidR="00000000" w:rsidP="00061AAF">
            <w:pPr>
              <w:pStyle w:val="ListBullet2"/>
              <w:rPr>
                <w:lang w:val="en-NZ"/>
              </w:rPr>
            </w:pPr>
            <w:r w:rsidRPr="00061AAF">
              <w:t xml:space="preserve">one for communication services. </w:t>
            </w:r>
          </w:p>
        </w:tc>
      </w:tr>
      <w:tr w:rsidTr="00684A75">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SpecialBold"/>
              </w:rPr>
              <w:t>Context of and specific resources for assessment</w:t>
            </w:r>
          </w:p>
        </w:tc>
        <w:tc>
          <w:tcPr>
            <w:tcW w:w="5026" w:type="dxa"/>
            <w:tcBorders>
              <w:top w:val="nil"/>
              <w:left w:val="nil"/>
              <w:bottom w:val="nil"/>
              <w:right w:val="nil"/>
            </w:tcBorders>
            <w:tcMar>
              <w:top w:w="0" w:type="dxa"/>
              <w:left w:w="62" w:type="dxa"/>
              <w:bottom w:w="0" w:type="dxa"/>
              <w:right w:w="62" w:type="dxa"/>
            </w:tcMar>
          </w:tcPr>
          <w:p w:rsidR="00000000" w:rsidRPr="00061AAF" w:rsidP="00061AAF">
            <w:pPr>
              <w:pStyle w:val="BodyText"/>
            </w:pPr>
            <w:r w:rsidRPr="00061AAF">
              <w:t>This competency is to be assessed using standard and authorised work practices, safety requirements and environmental constraints.</w:t>
            </w:r>
          </w:p>
          <w:p w:rsidR="00000000" w:rsidRPr="00061AAF" w:rsidP="00061AAF">
            <w:pPr>
              <w:pStyle w:val="BodyText"/>
            </w:pPr>
            <w:r w:rsidRPr="00061AAF">
              <w:t>Assessment of essential underpinning knowledge will usually be conducted in an off-site context.</w:t>
            </w:r>
          </w:p>
          <w:p w:rsidR="00000000" w:rsidRPr="00061AAF" w:rsidP="00061AAF">
            <w:pPr>
              <w:pStyle w:val="BodyText"/>
            </w:pPr>
            <w:r w:rsidRPr="00061AAF">
              <w:t>Assessment is to comply with</w:t>
            </w:r>
            <w:r w:rsidRPr="00061AAF">
              <w:t xml:space="preserve"> relevant regulatory or Australian standards' requirements.</w:t>
            </w:r>
          </w:p>
          <w:p w:rsidR="00000000" w:rsidRPr="00061AAF" w:rsidP="00061AAF">
            <w:pPr>
              <w:pStyle w:val="BodyText"/>
            </w:pPr>
            <w:r w:rsidRPr="00061AAF">
              <w:t>Resource implications for assessment include:</w:t>
            </w:r>
          </w:p>
          <w:p w:rsidR="00000000" w:rsidRPr="00061AAF" w:rsidP="00061AAF">
            <w:pPr>
              <w:pStyle w:val="ListBullet"/>
            </w:pPr>
            <w:r w:rsidRPr="00061AAF">
              <w:t>workplace location or simulated workplace</w:t>
            </w:r>
          </w:p>
          <w:p w:rsidR="00000000" w:rsidRPr="00061AAF" w:rsidP="00061AAF">
            <w:pPr>
              <w:pStyle w:val="ListBullet"/>
            </w:pPr>
            <w:r w:rsidRPr="00061AAF">
              <w:t>hand and power tools and equipment appropriate to the completion of penetrations and flashings</w:t>
            </w:r>
          </w:p>
          <w:p w:rsidR="00000000" w:rsidRPr="00061AAF" w:rsidP="00061AAF">
            <w:pPr>
              <w:pStyle w:val="ListBullet"/>
            </w:pPr>
            <w:r w:rsidRPr="00061AAF">
              <w:t>realistic ac</w:t>
            </w:r>
            <w:r w:rsidRPr="00061AAF">
              <w:t>tivities covering the mandatory task requirements</w:t>
            </w:r>
          </w:p>
          <w:p w:rsidR="00000000" w:rsidRPr="00061AAF" w:rsidP="00061AAF">
            <w:pPr>
              <w:pStyle w:val="ListBullet"/>
            </w:pPr>
            <w:r w:rsidRPr="00061AAF">
              <w:t>specifications and work instructions.</w:t>
            </w:r>
          </w:p>
          <w:p w:rsidR="00000000" w:rsidRPr="00061AAF" w:rsidP="00061AAF">
            <w:pPr>
              <w:pStyle w:val="BodyText"/>
            </w:pPr>
            <w:r w:rsidRPr="00061AAF">
              <w:t>Assessment of this unit of competency may be in conjunction with assessment of other units commonly performed at the same time in normal job roles.</w:t>
            </w:r>
          </w:p>
          <w:p w:rsidR="00000000" w:rsidP="00061AAF">
            <w:pPr>
              <w:pStyle w:val="BodyText"/>
              <w:rPr>
                <w:lang w:val="en-NZ"/>
              </w:rPr>
            </w:pPr>
            <w:r w:rsidRPr="00061AAF">
              <w:t>Reasonable adjustmen</w:t>
            </w:r>
            <w:r w:rsidRPr="00061AAF">
              <w:t xml:space="preserve">ts for people with disabilities must be made to assessment processes where required. This could include access to modified equipment and other physical resources, and the provision of appropriate assessment support. </w:t>
            </w:r>
          </w:p>
        </w:tc>
      </w:tr>
      <w:tr w:rsidTr="00684A75">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SpecialBold"/>
              </w:rPr>
              <w:t>Method of assessment</w:t>
            </w:r>
          </w:p>
        </w:tc>
        <w:tc>
          <w:tcPr>
            <w:tcW w:w="5026" w:type="dxa"/>
            <w:tcBorders>
              <w:top w:val="nil"/>
              <w:left w:val="nil"/>
              <w:bottom w:val="nil"/>
              <w:right w:val="nil"/>
            </w:tcBorders>
            <w:tcMar>
              <w:top w:w="0" w:type="dxa"/>
              <w:left w:w="62" w:type="dxa"/>
              <w:bottom w:w="0" w:type="dxa"/>
              <w:right w:w="62" w:type="dxa"/>
            </w:tcMar>
          </w:tcPr>
          <w:p w:rsidR="00000000" w:rsidRPr="00061AAF" w:rsidP="00061AAF">
            <w:pPr>
              <w:pStyle w:val="BodyText"/>
            </w:pPr>
            <w:r w:rsidRPr="00061AAF">
              <w:t>Assessment method</w:t>
            </w:r>
            <w:r w:rsidRPr="00061AAF">
              <w:t>s must:</w:t>
            </w:r>
          </w:p>
          <w:p w:rsidR="00000000" w:rsidRPr="00061AAF" w:rsidP="00061AAF">
            <w:pPr>
              <w:pStyle w:val="ListBullet"/>
            </w:pPr>
            <w:r w:rsidRPr="00061AAF">
              <w:t>satisfy the endorsed Assessment Guidelines of the Construction, Plumbing and Services Training Package</w:t>
            </w:r>
          </w:p>
          <w:p w:rsidR="00000000" w:rsidRPr="00061AAF" w:rsidP="00061AAF">
            <w:pPr>
              <w:pStyle w:val="ListBullet"/>
            </w:pPr>
            <w:r w:rsidRPr="00061AAF">
              <w:t>include direct observation of tasks in real or simulated work conditions, with questioning to confirm the ability to consistently identify and c</w:t>
            </w:r>
            <w:r w:rsidRPr="00061AAF">
              <w:t>orrectly interpret the essential underpinning knowledge required for practical application</w:t>
            </w:r>
          </w:p>
          <w:p w:rsidR="00000000" w:rsidRPr="00061AAF" w:rsidP="00061AAF">
            <w:pPr>
              <w:pStyle w:val="ListBullet"/>
            </w:pPr>
            <w:r w:rsidRPr="00061AAF">
              <w:t>reinforce the integration of employability skills with workplace tasks and job roles</w:t>
            </w:r>
          </w:p>
          <w:p w:rsidR="00000000" w:rsidRPr="00061AAF" w:rsidP="00061AAF">
            <w:pPr>
              <w:pStyle w:val="ListBullet"/>
            </w:pPr>
            <w:r w:rsidRPr="00061AAF">
              <w:t>confirm that competency is verified and able to be transferred to other circumstances and environments.</w:t>
            </w:r>
          </w:p>
          <w:p w:rsidR="00000000" w:rsidRPr="00061AAF" w:rsidP="00061AAF">
            <w:pPr>
              <w:pStyle w:val="BodyText"/>
            </w:pPr>
            <w:r w:rsidRPr="00061AAF">
              <w:t>Validity and sufficiency of evidence requires that:</w:t>
            </w:r>
          </w:p>
          <w:p w:rsidR="00000000" w:rsidRPr="00061AAF" w:rsidP="00061AAF">
            <w:pPr>
              <w:pStyle w:val="ListBullet"/>
            </w:pPr>
            <w:r w:rsidRPr="00061AAF">
              <w:t xml:space="preserve">competency will need to be demonstrated over a period of time reflecting the scope of the role and </w:t>
            </w:r>
            <w:r w:rsidRPr="00061AAF">
              <w:t>the practical requirements of the workplace</w:t>
            </w:r>
          </w:p>
          <w:p w:rsidR="00000000" w:rsidRPr="00061AAF" w:rsidP="00061AAF">
            <w:pPr>
              <w:pStyle w:val="ListBullet"/>
            </w:pPr>
            <w:r w:rsidRPr="00061AAF">
              <w:t>where the assessment is part of a structured learning experience the evidence collected must relate to a number of performances assessed at different points in time and separated by further learning and practice,</w:t>
            </w:r>
            <w:r w:rsidRPr="00061AAF">
              <w:t xml:space="preserve"> with a decision on competency only taken at the point when the assessor has complete confidence in the person's demonstrated ability and applied knowledge</w:t>
            </w:r>
          </w:p>
          <w:p w:rsidR="00000000" w:rsidRPr="00061AAF" w:rsidP="00061AAF">
            <w:pPr>
              <w:pStyle w:val="ListBullet"/>
            </w:pPr>
            <w:r w:rsidRPr="00061AAF">
              <w:t>all assessment that is part of a structured learning experience must include a combination of direct</w:t>
            </w:r>
            <w:r w:rsidRPr="00061AAF">
              <w:t>, indirect and supplementary evidence.</w:t>
            </w:r>
          </w:p>
          <w:p w:rsidR="00000000" w:rsidRPr="00061AAF" w:rsidP="00061AAF">
            <w:pPr>
              <w:pStyle w:val="BodyText"/>
            </w:pPr>
            <w:r w:rsidRPr="00061AAF">
              <w:t>Assessment processes and techniques should as far as is practical take into account the language, literacy and numeracy capacity of the candidate in relation to the competency being assessed.</w:t>
            </w:r>
          </w:p>
          <w:p w:rsidR="00000000" w:rsidRPr="00061AAF" w:rsidP="00061AAF">
            <w:pPr>
              <w:pStyle w:val="BodyText"/>
            </w:pPr>
            <w:r w:rsidRPr="00061AAF">
              <w:t>Supplementary evidence of</w:t>
            </w:r>
            <w:r w:rsidRPr="00061AAF">
              <w:t xml:space="preserve"> competency may be obtained from relevant authenticated documentation from third parties, such as existing supervisors, team leaders or specialist training staff. </w:t>
            </w:r>
          </w:p>
        </w:tc>
      </w:tr>
    </w:tbl>
    <w:p w:rsidR="00684A75" w:rsidP="00061AAF">
      <w:pPr>
        <w:pStyle w:val="BodyText"/>
      </w:pPr>
    </w:p>
    <w:p w:rsidR="00684A75" w:rsidP="00061AAF">
      <w:pPr>
        <w:pStyle w:val="BodyText"/>
      </w:pPr>
    </w:p>
    <w:p w:rsidR="00000000" w:rsidRPr="00061AAF" w:rsidP="00061AAF">
      <w:pPr>
        <w:pStyle w:val="Heading1"/>
      </w:pPr>
      <w:bookmarkStart w:id="11" w:name="O_250444"/>
      <w:bookmarkEnd w:id="11"/>
      <w:r w:rsidRPr="00061AAF">
        <w:t>Range Statement</w:t>
      </w:r>
    </w:p>
    <w:tbl>
      <w:tblPr>
        <w:tblW w:w="0" w:type="auto"/>
        <w:tblLayout w:type="fixed"/>
        <w:tblCellMar>
          <w:left w:w="62" w:type="dxa"/>
          <w:right w:w="62" w:type="dxa"/>
        </w:tblCellMar>
        <w:tblLook w:val="0000"/>
      </w:tblPr>
      <w:tblGrid>
        <w:gridCol w:w="3513"/>
        <w:gridCol w:w="5009"/>
      </w:tblGrid>
      <w:tr w:rsidTr="00684A7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61AAF">
            <w:pPr>
              <w:pStyle w:val="BodyText"/>
              <w:rPr>
                <w:lang w:val="en-NZ"/>
              </w:rPr>
            </w:pPr>
            <w:r w:rsidRPr="00061AAF">
              <w:rPr>
                <w:rStyle w:val="SpecialBold"/>
              </w:rPr>
              <w:t>RANGE STATEMENT</w:t>
            </w:r>
          </w:p>
        </w:tc>
      </w:tr>
      <w:tr w:rsidTr="00684A7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61AAF">
            <w:pPr>
              <w:pStyle w:val="BodyText"/>
              <w:rPr>
                <w:lang w:val="en-NZ"/>
              </w:rPr>
            </w:pPr>
            <w:r w:rsidRPr="00061AAF">
              <w:t>The range statement relates to the unit of competency as a whole. It allows for different work environments and situations that may affect performance. Bold italicised wording, if used in the performance criteria, is detailed below. Essential operating con</w:t>
            </w:r>
            <w:r w:rsidRPr="00061AAF">
              <w:t>ditions that may be present with training and assessment (depending on the work situation, needs of the candidate, accessibility of the item, and local industry and regional contexts) may also be included.</w:t>
            </w:r>
          </w:p>
        </w:tc>
      </w:tr>
      <w:tr w:rsidTr="00684A7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BoldandItalics"/>
              </w:rPr>
              <w:t>Information</w:t>
            </w:r>
            <w:r w:rsidRPr="00061AAF">
              <w:t xml:space="preserve"> includes:</w:t>
            </w:r>
          </w:p>
        </w:tc>
        <w:tc>
          <w:tcPr>
            <w:tcW w:w="5009" w:type="dxa"/>
            <w:tcBorders>
              <w:top w:val="nil"/>
              <w:left w:val="nil"/>
              <w:bottom w:val="nil"/>
              <w:right w:val="nil"/>
            </w:tcBorders>
            <w:tcMar>
              <w:top w:w="0" w:type="dxa"/>
              <w:left w:w="62" w:type="dxa"/>
              <w:bottom w:w="0" w:type="dxa"/>
              <w:right w:w="62" w:type="dxa"/>
            </w:tcMar>
          </w:tcPr>
          <w:p w:rsidR="00000000" w:rsidRPr="00061AAF" w:rsidP="00061AAF">
            <w:pPr>
              <w:pStyle w:val="ListBullet"/>
            </w:pPr>
            <w:r w:rsidRPr="00061AAF">
              <w:t>diagrams or sketches</w:t>
            </w:r>
          </w:p>
          <w:p w:rsidR="00000000" w:rsidRPr="00061AAF" w:rsidP="00061AAF">
            <w:pPr>
              <w:pStyle w:val="ListBullet"/>
            </w:pPr>
            <w:r w:rsidRPr="00061AAF">
              <w:t>instructions issued by authorised organisational or external personnel</w:t>
            </w:r>
          </w:p>
          <w:p w:rsidR="00000000" w:rsidRPr="00061AAF" w:rsidP="00061AAF">
            <w:pPr>
              <w:pStyle w:val="ListBullet"/>
            </w:pPr>
            <w:r w:rsidRPr="00061AAF">
              <w:t>manufacturer specifications and instructions, where specified</w:t>
            </w:r>
          </w:p>
          <w:p w:rsidR="00000000" w:rsidRPr="00061AAF" w:rsidP="00061AAF">
            <w:pPr>
              <w:pStyle w:val="ListBullet"/>
            </w:pPr>
            <w:r w:rsidRPr="00061AAF">
              <w:t>material safety data sheets (MSDS)</w:t>
            </w:r>
          </w:p>
          <w:p w:rsidR="00000000" w:rsidRPr="00061AAF" w:rsidP="00061AAF">
            <w:pPr>
              <w:pStyle w:val="ListBullet"/>
            </w:pPr>
            <w:r w:rsidRPr="00061AAF">
              <w:t>memos</w:t>
            </w:r>
          </w:p>
          <w:p w:rsidR="00000000" w:rsidRPr="00061AAF" w:rsidP="00061AAF">
            <w:pPr>
              <w:pStyle w:val="ListBullet"/>
            </w:pPr>
            <w:r w:rsidRPr="00061AAF">
              <w:t>regulatory and legislative requirements pertaining to completion of penetrations a</w:t>
            </w:r>
            <w:r w:rsidRPr="00061AAF">
              <w:t>nd flashings</w:t>
            </w:r>
          </w:p>
          <w:p w:rsidR="00000000" w:rsidRPr="00061AAF" w:rsidP="00061AAF">
            <w:pPr>
              <w:pStyle w:val="ListBullet"/>
            </w:pPr>
            <w:r w:rsidRPr="00061AAF">
              <w:t>relevant Australian standards</w:t>
            </w:r>
          </w:p>
          <w:p w:rsidR="00000000" w:rsidRPr="00061AAF" w:rsidP="00061AAF">
            <w:pPr>
              <w:pStyle w:val="ListBullet"/>
            </w:pPr>
            <w:r w:rsidRPr="00061AAF">
              <w:t>safe work procedures relating to completion of penetrations and flashings</w:t>
            </w:r>
          </w:p>
          <w:p w:rsidR="00000000" w:rsidRPr="00061AAF" w:rsidP="00061AAF">
            <w:pPr>
              <w:pStyle w:val="ListBullet"/>
            </w:pPr>
            <w:r w:rsidRPr="00061AAF">
              <w:t>signage</w:t>
            </w:r>
          </w:p>
          <w:p w:rsidR="00000000" w:rsidRPr="00061AAF" w:rsidP="00061AAF">
            <w:pPr>
              <w:pStyle w:val="ListBullet"/>
            </w:pPr>
            <w:r w:rsidRPr="00061AAF">
              <w:t>verbal, written and graphical instructions</w:t>
            </w:r>
          </w:p>
          <w:p w:rsidR="00000000" w:rsidRPr="00061AAF" w:rsidP="00061AAF">
            <w:pPr>
              <w:pStyle w:val="ListBullet"/>
            </w:pPr>
            <w:r w:rsidRPr="00061AAF">
              <w:t>work bulletins</w:t>
            </w:r>
          </w:p>
          <w:p w:rsidR="00000000" w:rsidP="00061AAF">
            <w:pPr>
              <w:pStyle w:val="ListBullet"/>
              <w:rPr>
                <w:lang w:val="en-NZ"/>
              </w:rPr>
            </w:pPr>
            <w:r w:rsidRPr="00061AAF">
              <w:t>work schedules, plans and specifications.</w:t>
            </w:r>
          </w:p>
        </w:tc>
      </w:tr>
      <w:tr w:rsidTr="00684A7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BoldandItalics"/>
              </w:rPr>
              <w:t>Planning and preparation</w:t>
            </w:r>
            <w:r w:rsidRPr="00061AAF">
              <w:t xml:space="preserve"> inclu</w:t>
            </w:r>
            <w:r w:rsidRPr="00061AAF">
              <w:t>de:</w:t>
            </w:r>
          </w:p>
        </w:tc>
        <w:tc>
          <w:tcPr>
            <w:tcW w:w="5009" w:type="dxa"/>
            <w:tcBorders>
              <w:top w:val="nil"/>
              <w:left w:val="nil"/>
              <w:bottom w:val="nil"/>
              <w:right w:val="nil"/>
            </w:tcBorders>
            <w:tcMar>
              <w:top w:w="0" w:type="dxa"/>
              <w:left w:w="62" w:type="dxa"/>
              <w:bottom w:w="0" w:type="dxa"/>
              <w:right w:w="62" w:type="dxa"/>
            </w:tcMar>
          </w:tcPr>
          <w:p w:rsidR="00000000" w:rsidRPr="00061AAF" w:rsidP="00061AAF">
            <w:pPr>
              <w:pStyle w:val="ListBullet"/>
            </w:pPr>
            <w:r w:rsidRPr="00061AAF">
              <w:t>assessment of conditions and hazards</w:t>
            </w:r>
          </w:p>
          <w:p w:rsidR="00000000" w:rsidRPr="00061AAF" w:rsidP="00061AAF">
            <w:pPr>
              <w:pStyle w:val="ListBullet"/>
            </w:pPr>
            <w:r w:rsidRPr="00061AAF">
              <w:t>determination of work requirements and safety plans and policies</w:t>
            </w:r>
          </w:p>
          <w:p w:rsidR="00000000" w:rsidRPr="00061AAF" w:rsidP="00061AAF">
            <w:pPr>
              <w:pStyle w:val="ListBullet"/>
            </w:pPr>
            <w:r w:rsidRPr="00061AAF">
              <w:t>equipment defect identification</w:t>
            </w:r>
          </w:p>
          <w:p w:rsidR="00000000" w:rsidP="00061AAF">
            <w:pPr>
              <w:pStyle w:val="ListBullet"/>
              <w:rPr>
                <w:lang w:val="en-NZ"/>
              </w:rPr>
            </w:pPr>
            <w:r w:rsidRPr="00061AAF">
              <w:t>work site inspection.</w:t>
            </w:r>
          </w:p>
        </w:tc>
      </w:tr>
      <w:tr w:rsidTr="00684A7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BoldandItalics"/>
              </w:rPr>
              <w:t>Safety</w:t>
            </w:r>
            <w:r w:rsidRPr="00061AAF">
              <w:t xml:space="preserve"> (</w:t>
            </w:r>
            <w:r w:rsidRPr="00061AAF">
              <w:rPr>
                <w:rStyle w:val="BoldandItalics"/>
              </w:rPr>
              <w:t>OHS</w:t>
            </w:r>
            <w:r w:rsidRPr="00061AAF">
              <w:t xml:space="preserve">) is to </w:t>
            </w:r>
            <w:r w:rsidRPr="00061AAF">
              <w:t>be in accordance with state and territory legislation and regulations and project safety plan and may include:</w:t>
            </w:r>
          </w:p>
        </w:tc>
        <w:tc>
          <w:tcPr>
            <w:tcW w:w="5009" w:type="dxa"/>
            <w:tcBorders>
              <w:top w:val="nil"/>
              <w:left w:val="nil"/>
              <w:bottom w:val="nil"/>
              <w:right w:val="nil"/>
            </w:tcBorders>
            <w:tcMar>
              <w:top w:w="0" w:type="dxa"/>
              <w:left w:w="62" w:type="dxa"/>
              <w:bottom w:w="0" w:type="dxa"/>
              <w:right w:w="62" w:type="dxa"/>
            </w:tcMar>
          </w:tcPr>
          <w:p w:rsidR="00000000" w:rsidRPr="00061AAF" w:rsidP="00061AAF">
            <w:pPr>
              <w:pStyle w:val="ListBullet"/>
            </w:pPr>
            <w:r w:rsidRPr="00061AAF">
              <w:t>emergency procedures, including extinguishing fires, organisational first aid requirements and evacuation</w:t>
            </w:r>
          </w:p>
          <w:p w:rsidR="00000000" w:rsidRPr="00061AAF" w:rsidP="00061AAF">
            <w:pPr>
              <w:pStyle w:val="ListBullet"/>
            </w:pPr>
            <w:r w:rsidRPr="00061AAF">
              <w:t>hazard control</w:t>
            </w:r>
          </w:p>
          <w:p w:rsidR="00000000" w:rsidRPr="00061AAF" w:rsidP="00061AAF">
            <w:pPr>
              <w:pStyle w:val="ListBullet"/>
            </w:pPr>
            <w:r w:rsidRPr="00061AAF">
              <w:t>hazardous materials and</w:t>
            </w:r>
            <w:r w:rsidRPr="00061AAF">
              <w:t xml:space="preserve"> substances</w:t>
            </w:r>
          </w:p>
          <w:p w:rsidR="00000000" w:rsidRPr="00061AAF" w:rsidP="00061AAF">
            <w:pPr>
              <w:pStyle w:val="ListBullet"/>
            </w:pPr>
            <w:r w:rsidRPr="00061AAF">
              <w:t>organisational first aid</w:t>
            </w:r>
          </w:p>
          <w:p w:rsidR="00000000" w:rsidRPr="00061AAF" w:rsidP="00061AAF">
            <w:pPr>
              <w:pStyle w:val="ListBullet"/>
            </w:pPr>
            <w:r w:rsidRPr="00061AAF">
              <w:t>PPE prescribed under legislation, regulations and workplace policies and practices</w:t>
            </w:r>
          </w:p>
          <w:p w:rsidR="00000000" w:rsidRPr="00061AAF" w:rsidP="00061AAF">
            <w:pPr>
              <w:pStyle w:val="ListBullet"/>
            </w:pPr>
            <w:r w:rsidRPr="00061AAF">
              <w:t>safe operating procedures, including the conduct of operational risk assessment and treatments associated with:</w:t>
            </w:r>
          </w:p>
          <w:p w:rsidR="00000000" w:rsidRPr="00061AAF" w:rsidP="00061AAF">
            <w:pPr>
              <w:pStyle w:val="ListBullet2"/>
            </w:pPr>
            <w:r w:rsidRPr="00061AAF">
              <w:t>cutting edges</w:t>
            </w:r>
          </w:p>
          <w:p w:rsidR="00000000" w:rsidRPr="00061AAF" w:rsidP="00061AAF">
            <w:pPr>
              <w:pStyle w:val="ListBullet2"/>
            </w:pPr>
            <w:r w:rsidRPr="00061AAF">
              <w:t>lighting</w:t>
            </w:r>
          </w:p>
          <w:p w:rsidR="00000000" w:rsidRPr="00061AAF" w:rsidP="00061AAF">
            <w:pPr>
              <w:pStyle w:val="ListBullet2"/>
            </w:pPr>
            <w:r w:rsidRPr="00061AAF">
              <w:t>manual handling</w:t>
            </w:r>
          </w:p>
          <w:p w:rsidR="00000000" w:rsidRPr="00061AAF" w:rsidP="00061AAF">
            <w:pPr>
              <w:pStyle w:val="ListBullet2"/>
            </w:pPr>
            <w:r w:rsidRPr="00061AAF">
              <w:t>noise, dust and ventilation</w:t>
            </w:r>
          </w:p>
          <w:p w:rsidR="00000000" w:rsidRPr="00061AAF" w:rsidP="00061AAF">
            <w:pPr>
              <w:pStyle w:val="ListBullet2"/>
            </w:pPr>
            <w:r w:rsidRPr="00061AAF">
              <w:t>power equipment</w:t>
            </w:r>
          </w:p>
          <w:p w:rsidR="00000000" w:rsidRPr="00061AAF" w:rsidP="00061AAF">
            <w:pPr>
              <w:pStyle w:val="ListBullet2"/>
            </w:pPr>
            <w:r w:rsidRPr="00061AAF">
              <w:t>power leads and sources</w:t>
            </w:r>
          </w:p>
          <w:p w:rsidR="00000000" w:rsidRPr="00061AAF" w:rsidP="00061AAF">
            <w:pPr>
              <w:pStyle w:val="ListBullet2"/>
            </w:pPr>
            <w:r w:rsidRPr="00061AAF">
              <w:t>traffic control</w:t>
            </w:r>
          </w:p>
          <w:p w:rsidR="00000000" w:rsidRPr="00061AAF" w:rsidP="00061AAF">
            <w:pPr>
              <w:pStyle w:val="ListBullet2"/>
            </w:pPr>
            <w:r w:rsidRPr="00061AAF">
              <w:t>trip hazards</w:t>
            </w:r>
          </w:p>
          <w:p w:rsidR="00000000" w:rsidRPr="00061AAF" w:rsidP="00061AAF">
            <w:pPr>
              <w:pStyle w:val="ListBullet2"/>
            </w:pPr>
            <w:r w:rsidRPr="00061AAF">
              <w:t>work site visitors and the public</w:t>
            </w:r>
          </w:p>
          <w:p w:rsidR="00000000" w:rsidRPr="00061AAF" w:rsidP="00061AAF">
            <w:pPr>
              <w:pStyle w:val="ListBullet2"/>
            </w:pPr>
            <w:r w:rsidRPr="00061AAF">
              <w:t>working at heights</w:t>
            </w:r>
          </w:p>
          <w:p w:rsidR="00000000" w:rsidRPr="00061AAF" w:rsidP="00061AAF">
            <w:pPr>
              <w:pStyle w:val="ListBullet2"/>
            </w:pPr>
            <w:r w:rsidRPr="00061AAF">
              <w:t>working in confined spaces</w:t>
            </w:r>
          </w:p>
          <w:p w:rsidR="00000000" w:rsidRPr="00061AAF" w:rsidP="00061AAF">
            <w:pPr>
              <w:pStyle w:val="ListBullet2"/>
            </w:pPr>
            <w:r w:rsidRPr="00061AAF">
              <w:t>working in proximity to others</w:t>
            </w:r>
          </w:p>
          <w:p w:rsidR="00000000" w:rsidRPr="00061AAF" w:rsidP="00061AAF">
            <w:pPr>
              <w:pStyle w:val="ListBullet"/>
            </w:pPr>
            <w:r w:rsidRPr="00061AAF">
              <w:t>use of firefighting equipment</w:t>
            </w:r>
          </w:p>
          <w:p w:rsidR="00000000" w:rsidRPr="00061AAF" w:rsidP="00061AAF">
            <w:pPr>
              <w:pStyle w:val="ListBullet"/>
            </w:pPr>
            <w:r w:rsidRPr="00061AAF">
              <w:t>u</w:t>
            </w:r>
            <w:r w:rsidRPr="00061AAF">
              <w:t>se of tools and equipment</w:t>
            </w:r>
          </w:p>
          <w:p w:rsidR="00000000" w:rsidP="00061AAF">
            <w:pPr>
              <w:pStyle w:val="ListBullet"/>
              <w:rPr>
                <w:lang w:val="en-NZ"/>
              </w:rPr>
            </w:pPr>
            <w:r w:rsidRPr="00061AAF">
              <w:t>workplace environmental requirements and safety.</w:t>
            </w:r>
          </w:p>
        </w:tc>
      </w:tr>
      <w:tr w:rsidTr="00684A7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BoldandItalics"/>
              </w:rPr>
              <w:t>Tools and equipment</w:t>
            </w:r>
            <w:r w:rsidRPr="00061AAF">
              <w:t xml:space="preserve"> include:</w:t>
            </w:r>
          </w:p>
        </w:tc>
        <w:tc>
          <w:tcPr>
            <w:tcW w:w="5009" w:type="dxa"/>
            <w:tcBorders>
              <w:top w:val="nil"/>
              <w:left w:val="nil"/>
              <w:bottom w:val="nil"/>
              <w:right w:val="nil"/>
            </w:tcBorders>
            <w:tcMar>
              <w:top w:w="0" w:type="dxa"/>
              <w:left w:w="62" w:type="dxa"/>
              <w:bottom w:w="0" w:type="dxa"/>
              <w:right w:w="62" w:type="dxa"/>
            </w:tcMar>
          </w:tcPr>
          <w:p w:rsidR="00000000" w:rsidRPr="00061AAF" w:rsidP="00061AAF">
            <w:pPr>
              <w:pStyle w:val="ListBullet"/>
            </w:pPr>
            <w:r w:rsidRPr="00061AAF">
              <w:t>broad knives</w:t>
            </w:r>
          </w:p>
          <w:p w:rsidR="00000000" w:rsidRPr="00061AAF" w:rsidP="00061AAF">
            <w:pPr>
              <w:pStyle w:val="ListBullet"/>
            </w:pPr>
            <w:r w:rsidRPr="00061AAF">
              <w:t>brooms</w:t>
            </w:r>
          </w:p>
          <w:p w:rsidR="00000000" w:rsidRPr="00061AAF" w:rsidP="00061AAF">
            <w:pPr>
              <w:pStyle w:val="ListBullet"/>
            </w:pPr>
            <w:r w:rsidRPr="00061AAF">
              <w:t>electric screw guns</w:t>
            </w:r>
          </w:p>
          <w:p w:rsidR="00000000" w:rsidRPr="00061AAF" w:rsidP="00061AAF">
            <w:pPr>
              <w:pStyle w:val="ListBullet"/>
            </w:pPr>
            <w:r w:rsidRPr="00061AAF">
              <w:t>hand and power drills</w:t>
            </w:r>
          </w:p>
          <w:p w:rsidR="00000000" w:rsidRPr="00061AAF" w:rsidP="00061AAF">
            <w:pPr>
              <w:pStyle w:val="ListBullet"/>
            </w:pPr>
            <w:r w:rsidRPr="00061AAF">
              <w:t>hand saws</w:t>
            </w:r>
          </w:p>
          <w:p w:rsidR="00000000" w:rsidRPr="00061AAF" w:rsidP="00061AAF">
            <w:pPr>
              <w:pStyle w:val="ListBullet"/>
            </w:pPr>
            <w:r w:rsidRPr="00061AAF">
              <w:t>keyhole saws</w:t>
            </w:r>
          </w:p>
          <w:p w:rsidR="00000000" w:rsidRPr="00061AAF" w:rsidP="00061AAF">
            <w:pPr>
              <w:pStyle w:val="ListBullet"/>
            </w:pPr>
            <w:r w:rsidRPr="00061AAF">
              <w:t>measuring tapes and rules</w:t>
            </w:r>
          </w:p>
          <w:p w:rsidR="00000000" w:rsidRPr="00061AAF" w:rsidP="00061AAF">
            <w:pPr>
              <w:pStyle w:val="ListBullet"/>
            </w:pPr>
            <w:r w:rsidRPr="00061AAF">
              <w:t>paintbrushes</w:t>
            </w:r>
          </w:p>
          <w:p w:rsidR="00000000" w:rsidRPr="00061AAF" w:rsidP="00061AAF">
            <w:pPr>
              <w:pStyle w:val="ListBullet"/>
            </w:pPr>
            <w:r w:rsidRPr="00061AAF">
              <w:t>plasterboard hammers</w:t>
            </w:r>
          </w:p>
          <w:p w:rsidR="00000000" w:rsidRPr="00061AAF" w:rsidP="00061AAF">
            <w:pPr>
              <w:pStyle w:val="ListBullet"/>
            </w:pPr>
            <w:r w:rsidRPr="00061AAF">
              <w:t>plasterer's trowels</w:t>
            </w:r>
          </w:p>
          <w:p w:rsidR="00000000" w:rsidRPr="00061AAF" w:rsidP="00061AAF">
            <w:pPr>
              <w:pStyle w:val="ListBullet"/>
            </w:pPr>
            <w:r w:rsidRPr="00061AAF">
              <w:t>scaffold planks</w:t>
            </w:r>
          </w:p>
          <w:p w:rsidR="00000000" w:rsidRPr="00061AAF" w:rsidP="00061AAF">
            <w:pPr>
              <w:pStyle w:val="ListBullet"/>
            </w:pPr>
            <w:r w:rsidRPr="00061AAF">
              <w:t>T squares</w:t>
            </w:r>
          </w:p>
          <w:p w:rsidR="00000000" w:rsidRPr="00061AAF" w:rsidP="00061AAF">
            <w:pPr>
              <w:pStyle w:val="ListBullet"/>
            </w:pPr>
            <w:r w:rsidRPr="00061AAF">
              <w:t>taping knives</w:t>
            </w:r>
          </w:p>
          <w:p w:rsidR="00000000" w:rsidP="00061AAF">
            <w:pPr>
              <w:pStyle w:val="ListBullet"/>
              <w:rPr>
                <w:lang w:val="en-NZ"/>
              </w:rPr>
            </w:pPr>
            <w:r w:rsidRPr="00061AAF">
              <w:t>trestles.</w:t>
            </w:r>
          </w:p>
        </w:tc>
      </w:tr>
      <w:tr w:rsidTr="00684A7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BoldandItalics"/>
              </w:rPr>
              <w:t>Plant and equipment</w:t>
            </w:r>
            <w:r w:rsidRPr="00061AAF">
              <w:t xml:space="preserve"> include:</w:t>
            </w:r>
          </w:p>
        </w:tc>
        <w:tc>
          <w:tcPr>
            <w:tcW w:w="5009" w:type="dxa"/>
            <w:tcBorders>
              <w:top w:val="nil"/>
              <w:left w:val="nil"/>
              <w:bottom w:val="nil"/>
              <w:right w:val="nil"/>
            </w:tcBorders>
            <w:tcMar>
              <w:top w:w="0" w:type="dxa"/>
              <w:left w:w="62" w:type="dxa"/>
              <w:bottom w:w="0" w:type="dxa"/>
              <w:right w:w="62" w:type="dxa"/>
            </w:tcMar>
          </w:tcPr>
          <w:p w:rsidR="00000000" w:rsidRPr="00061AAF" w:rsidP="00061AAF">
            <w:pPr>
              <w:pStyle w:val="ListBullet"/>
            </w:pPr>
            <w:r w:rsidRPr="00061AAF">
              <w:t>earth leakage protection</w:t>
            </w:r>
          </w:p>
          <w:p w:rsidR="00000000" w:rsidRPr="00061AAF" w:rsidP="00061AAF">
            <w:pPr>
              <w:pStyle w:val="ListBullet"/>
            </w:pPr>
            <w:r w:rsidRPr="00061AAF">
              <w:t>lighting sets</w:t>
            </w:r>
          </w:p>
          <w:p w:rsidR="00000000" w:rsidRPr="00061AAF" w:rsidP="00061AAF">
            <w:pPr>
              <w:pStyle w:val="ListBullet"/>
            </w:pPr>
            <w:r w:rsidRPr="00061AAF">
              <w:t>power activated fasteners</w:t>
            </w:r>
          </w:p>
          <w:p w:rsidR="00000000" w:rsidRPr="00061AAF" w:rsidP="00061AAF">
            <w:pPr>
              <w:pStyle w:val="ListBullet"/>
            </w:pPr>
            <w:r w:rsidRPr="00061AAF">
              <w:t>power routers</w:t>
            </w:r>
          </w:p>
          <w:p w:rsidR="00000000" w:rsidRPr="00061AAF" w:rsidP="00061AAF">
            <w:pPr>
              <w:pStyle w:val="ListBullet"/>
            </w:pPr>
            <w:r w:rsidRPr="00061AAF">
              <w:t>power saws</w:t>
            </w:r>
          </w:p>
          <w:p w:rsidR="00000000" w:rsidRPr="00061AAF" w:rsidP="00061AAF">
            <w:pPr>
              <w:pStyle w:val="ListBullet"/>
            </w:pPr>
            <w:r w:rsidRPr="00061AAF">
              <w:t>small compressor air operated</w:t>
            </w:r>
          </w:p>
          <w:p w:rsidR="00000000" w:rsidP="00061AAF">
            <w:pPr>
              <w:pStyle w:val="ListBullet"/>
              <w:rPr>
                <w:lang w:val="en-NZ"/>
              </w:rPr>
            </w:pPr>
            <w:r w:rsidRPr="00061AAF">
              <w:t>small petrol or diesel engine driven generators.</w:t>
            </w:r>
          </w:p>
        </w:tc>
      </w:tr>
      <w:tr w:rsidTr="00684A7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BoldandItalics"/>
              </w:rPr>
              <w:t>Quality requirements</w:t>
            </w:r>
            <w:r w:rsidRPr="00061AAF">
              <w:t xml:space="preserve"> include relevant regulations, including:</w:t>
            </w:r>
          </w:p>
        </w:tc>
        <w:tc>
          <w:tcPr>
            <w:tcW w:w="5009" w:type="dxa"/>
            <w:tcBorders>
              <w:top w:val="nil"/>
              <w:left w:val="nil"/>
              <w:bottom w:val="nil"/>
              <w:right w:val="nil"/>
            </w:tcBorders>
            <w:tcMar>
              <w:top w:w="0" w:type="dxa"/>
              <w:left w:w="62" w:type="dxa"/>
              <w:bottom w:w="0" w:type="dxa"/>
              <w:right w:w="62" w:type="dxa"/>
            </w:tcMar>
          </w:tcPr>
          <w:p w:rsidR="00000000" w:rsidRPr="00061AAF" w:rsidP="00061AAF">
            <w:pPr>
              <w:pStyle w:val="ListBullet"/>
            </w:pPr>
            <w:r w:rsidRPr="00061AAF">
              <w:t>Australian standards</w:t>
            </w:r>
          </w:p>
          <w:p w:rsidR="00000000" w:rsidRPr="00061AAF" w:rsidP="00061AAF">
            <w:pPr>
              <w:pStyle w:val="ListBullet"/>
            </w:pPr>
            <w:r w:rsidRPr="00061AAF">
              <w:t>internal company quality policy and standards</w:t>
            </w:r>
          </w:p>
          <w:p w:rsidR="00000000" w:rsidRPr="00061AAF" w:rsidP="00061AAF">
            <w:pPr>
              <w:pStyle w:val="ListBullet"/>
            </w:pPr>
            <w:r w:rsidRPr="00061AAF">
              <w:t>manufacturer specifications</w:t>
            </w:r>
          </w:p>
          <w:p w:rsidR="00000000" w:rsidP="00061AAF">
            <w:pPr>
              <w:pStyle w:val="ListBullet"/>
              <w:rPr>
                <w:lang w:val="en-NZ"/>
              </w:rPr>
            </w:pPr>
            <w:r w:rsidRPr="00061AAF">
              <w:t>workplace operations and procedures.</w:t>
            </w:r>
          </w:p>
        </w:tc>
      </w:tr>
      <w:tr w:rsidTr="00684A7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BoldandItalics"/>
              </w:rPr>
              <w:t>Materials</w:t>
            </w:r>
            <w:r w:rsidRPr="00061AAF">
              <w:t xml:space="preserve"> include:</w:t>
            </w:r>
          </w:p>
        </w:tc>
        <w:tc>
          <w:tcPr>
            <w:tcW w:w="5009" w:type="dxa"/>
            <w:tcBorders>
              <w:top w:val="nil"/>
              <w:left w:val="nil"/>
              <w:bottom w:val="nil"/>
              <w:right w:val="nil"/>
            </w:tcBorders>
            <w:tcMar>
              <w:top w:w="0" w:type="dxa"/>
              <w:left w:w="62" w:type="dxa"/>
              <w:bottom w:w="0" w:type="dxa"/>
              <w:right w:w="62" w:type="dxa"/>
            </w:tcMar>
          </w:tcPr>
          <w:p w:rsidR="00000000" w:rsidRPr="00061AAF" w:rsidP="00061AAF">
            <w:pPr>
              <w:pStyle w:val="ListBullet"/>
            </w:pPr>
            <w:r w:rsidRPr="00061AAF">
              <w:t>beads</w:t>
            </w:r>
          </w:p>
          <w:p w:rsidR="00000000" w:rsidRPr="00061AAF" w:rsidP="00061AAF">
            <w:pPr>
              <w:pStyle w:val="ListBullet"/>
            </w:pPr>
            <w:r w:rsidRPr="00061AAF">
              <w:t>cement render</w:t>
            </w:r>
          </w:p>
          <w:p w:rsidR="00000000" w:rsidRPr="00061AAF" w:rsidP="00061AAF">
            <w:pPr>
              <w:pStyle w:val="ListBullet"/>
            </w:pPr>
            <w:r w:rsidRPr="00061AAF">
              <w:t>fibre cement sheets</w:t>
            </w:r>
          </w:p>
          <w:p w:rsidR="00000000" w:rsidRPr="00061AAF" w:rsidP="00061AAF">
            <w:pPr>
              <w:pStyle w:val="ListBullet"/>
            </w:pPr>
            <w:r w:rsidRPr="00061AAF">
              <w:t>finishing materials</w:t>
            </w:r>
          </w:p>
          <w:p w:rsidR="00000000" w:rsidRPr="00061AAF" w:rsidP="00061AAF">
            <w:pPr>
              <w:pStyle w:val="ListBullet"/>
            </w:pPr>
            <w:r w:rsidRPr="00061AAF">
              <w:t>plaster compounds</w:t>
            </w:r>
          </w:p>
          <w:p w:rsidR="00000000" w:rsidRPr="00061AAF" w:rsidP="00061AAF">
            <w:pPr>
              <w:pStyle w:val="ListBullet"/>
            </w:pPr>
            <w:r w:rsidRPr="00061AAF">
              <w:t>plasterboard</w:t>
            </w:r>
          </w:p>
          <w:p w:rsidR="00000000" w:rsidRPr="00061AAF" w:rsidP="00061AAF">
            <w:pPr>
              <w:pStyle w:val="ListBullet"/>
            </w:pPr>
            <w:r w:rsidRPr="00061AAF">
              <w:t>plasterglass sheets</w:t>
            </w:r>
          </w:p>
          <w:p w:rsidR="00000000" w:rsidP="00061AAF">
            <w:pPr>
              <w:pStyle w:val="ListBullet"/>
              <w:rPr>
                <w:lang w:val="en-NZ"/>
              </w:rPr>
            </w:pPr>
            <w:r w:rsidRPr="00061AAF">
              <w:t>water resistant plasterboard.</w:t>
            </w:r>
          </w:p>
        </w:tc>
      </w:tr>
      <w:tr w:rsidTr="00684A7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BoldandItalics"/>
              </w:rPr>
              <w:t>Environmental requirements</w:t>
            </w:r>
            <w:r w:rsidRPr="00061AAF">
              <w:t xml:space="preserve"> include:</w:t>
            </w:r>
          </w:p>
        </w:tc>
        <w:tc>
          <w:tcPr>
            <w:tcW w:w="5009" w:type="dxa"/>
            <w:tcBorders>
              <w:top w:val="nil"/>
              <w:left w:val="nil"/>
              <w:bottom w:val="nil"/>
              <w:right w:val="nil"/>
            </w:tcBorders>
            <w:tcMar>
              <w:top w:w="0" w:type="dxa"/>
              <w:left w:w="62" w:type="dxa"/>
              <w:bottom w:w="0" w:type="dxa"/>
              <w:right w:w="62" w:type="dxa"/>
            </w:tcMar>
          </w:tcPr>
          <w:p w:rsidR="00000000" w:rsidRPr="00061AAF" w:rsidP="00061AAF">
            <w:pPr>
              <w:pStyle w:val="ListBullet"/>
            </w:pPr>
            <w:r w:rsidRPr="00061AAF">
              <w:t>clean-up management</w:t>
            </w:r>
          </w:p>
          <w:p w:rsidR="00000000" w:rsidRPr="00061AAF" w:rsidP="00061AAF">
            <w:pPr>
              <w:pStyle w:val="ListBullet"/>
            </w:pPr>
            <w:r w:rsidRPr="00061AAF">
              <w:t>dust and noise</w:t>
            </w:r>
          </w:p>
          <w:p w:rsidR="00000000" w:rsidRPr="00061AAF" w:rsidP="00061AAF">
            <w:pPr>
              <w:pStyle w:val="ListBullet"/>
            </w:pPr>
            <w:r w:rsidRPr="00061AAF">
              <w:t>vibration</w:t>
            </w:r>
          </w:p>
          <w:p w:rsidR="00000000" w:rsidP="00061AAF">
            <w:pPr>
              <w:pStyle w:val="ListBullet"/>
              <w:rPr>
                <w:lang w:val="en-NZ"/>
              </w:rPr>
            </w:pPr>
            <w:r w:rsidRPr="00061AAF">
              <w:t>waste management.</w:t>
            </w:r>
          </w:p>
        </w:tc>
      </w:tr>
      <w:tr w:rsidTr="00684A75">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BoldandItalics"/>
              </w:rPr>
              <w:t>Penetration and flashings</w:t>
            </w:r>
            <w:r w:rsidRPr="00061AAF">
              <w:t xml:space="preserve"> include those required for:</w:t>
            </w:r>
          </w:p>
        </w:tc>
        <w:tc>
          <w:tcPr>
            <w:tcW w:w="5009" w:type="dxa"/>
            <w:tcBorders>
              <w:top w:val="nil"/>
              <w:left w:val="nil"/>
              <w:bottom w:val="nil"/>
              <w:right w:val="nil"/>
            </w:tcBorders>
            <w:tcMar>
              <w:top w:w="0" w:type="dxa"/>
              <w:left w:w="62" w:type="dxa"/>
              <w:bottom w:w="0" w:type="dxa"/>
              <w:right w:w="62" w:type="dxa"/>
            </w:tcMar>
          </w:tcPr>
          <w:p w:rsidR="00000000" w:rsidRPr="00061AAF" w:rsidP="00061AAF">
            <w:pPr>
              <w:pStyle w:val="ListBullet"/>
            </w:pPr>
            <w:r w:rsidRPr="00061AAF">
              <w:t>communications</w:t>
            </w:r>
          </w:p>
          <w:p w:rsidR="00000000" w:rsidRPr="00061AAF" w:rsidP="00061AAF">
            <w:pPr>
              <w:pStyle w:val="ListBullet"/>
            </w:pPr>
            <w:r w:rsidRPr="00061AAF">
              <w:t>control joints</w:t>
            </w:r>
          </w:p>
          <w:p w:rsidR="00000000" w:rsidRPr="00061AAF" w:rsidP="00061AAF">
            <w:pPr>
              <w:pStyle w:val="ListBullet"/>
            </w:pPr>
            <w:r w:rsidRPr="00061AAF">
              <w:t>electrical power</w:t>
            </w:r>
          </w:p>
          <w:p w:rsidR="00000000" w:rsidRPr="00061AAF" w:rsidP="00061AAF">
            <w:pPr>
              <w:pStyle w:val="ListBullet"/>
            </w:pPr>
            <w:r w:rsidRPr="00061AAF">
              <w:t>plumbing.</w:t>
            </w:r>
          </w:p>
        </w:tc>
      </w:tr>
    </w:tbl>
    <w:p w:rsidR="00684A75" w:rsidP="00061AAF">
      <w:pPr>
        <w:pStyle w:val="BodyText"/>
      </w:pPr>
    </w:p>
    <w:p w:rsidR="00684A75" w:rsidP="00061AAF">
      <w:pPr>
        <w:pStyle w:val="BodyText"/>
      </w:pPr>
    </w:p>
    <w:p w:rsidR="00000000" w:rsidRPr="00061AAF" w:rsidP="00061AAF">
      <w:pPr>
        <w:pStyle w:val="Heading1"/>
      </w:pPr>
      <w:bookmarkStart w:id="12" w:name="O_199129"/>
      <w:bookmarkEnd w:id="12"/>
      <w:r w:rsidRPr="00061AAF">
        <w:t>Unit Sector(s)</w:t>
      </w:r>
    </w:p>
    <w:tbl>
      <w:tblPr>
        <w:tblW w:w="0" w:type="auto"/>
        <w:tblLayout w:type="fixed"/>
        <w:tblCellMar>
          <w:left w:w="62" w:type="dxa"/>
          <w:right w:w="62" w:type="dxa"/>
        </w:tblCellMar>
        <w:tblLook w:val="0000"/>
      </w:tblPr>
      <w:tblGrid>
        <w:gridCol w:w="2476"/>
        <w:gridCol w:w="6046"/>
      </w:tblGrid>
      <w:tr w:rsidTr="00684A75">
        <w:tblPrEx>
          <w:tblW w:w="0" w:type="auto"/>
          <w:tblLayout w:type="fixed"/>
          <w:tblCellMar>
            <w:left w:w="62" w:type="dxa"/>
            <w:right w:w="62" w:type="dxa"/>
          </w:tblCellMar>
          <w:tblLook w:val="0000"/>
        </w:tblPrEx>
        <w:trPr>
          <w:tblHeader/>
        </w:trPr>
        <w:tc>
          <w:tcPr>
            <w:tcW w:w="2476"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SpecialBold"/>
              </w:rPr>
              <w:t>Unit sector</w:t>
            </w:r>
          </w:p>
        </w:tc>
        <w:tc>
          <w:tcPr>
            <w:tcW w:w="6046" w:type="dxa"/>
            <w:tcBorders>
              <w:top w:val="nil"/>
              <w:left w:val="nil"/>
              <w:bottom w:val="nil"/>
              <w:right w:val="nil"/>
            </w:tcBorders>
            <w:tcMar>
              <w:top w:w="0" w:type="dxa"/>
              <w:left w:w="62" w:type="dxa"/>
              <w:bottom w:w="0" w:type="dxa"/>
              <w:right w:w="62" w:type="dxa"/>
            </w:tcMar>
          </w:tcPr>
          <w:p w:rsidR="00000000" w:rsidRPr="00061AAF" w:rsidP="00061AAF">
            <w:pPr>
              <w:pStyle w:val="BodyText"/>
            </w:pPr>
            <w:r w:rsidRPr="00061AAF">
              <w:t>Construction</w:t>
            </w:r>
          </w:p>
        </w:tc>
      </w:tr>
    </w:tbl>
    <w:p w:rsidR="00684A75" w:rsidP="00061AAF">
      <w:pPr>
        <w:pStyle w:val="BodyText"/>
      </w:pPr>
    </w:p>
    <w:p w:rsidR="00684A75" w:rsidP="00061AAF">
      <w:pPr>
        <w:pStyle w:val="BodyText"/>
      </w:pPr>
    </w:p>
    <w:p w:rsidR="00000000" w:rsidRPr="00061AAF" w:rsidP="00061AAF">
      <w:pPr>
        <w:pStyle w:val="Heading1"/>
      </w:pPr>
      <w:bookmarkStart w:id="13" w:name="O_199126"/>
      <w:bookmarkEnd w:id="13"/>
      <w:r w:rsidRPr="00061AAF">
        <w:t>Co-requisite units</w:t>
      </w:r>
    </w:p>
    <w:tbl>
      <w:tblPr>
        <w:tblW w:w="0" w:type="auto"/>
        <w:tblLayout w:type="fixed"/>
        <w:tblCellMar>
          <w:left w:w="62" w:type="dxa"/>
          <w:right w:w="62" w:type="dxa"/>
        </w:tblCellMar>
        <w:tblLook w:val="0000"/>
      </w:tblPr>
      <w:tblGrid>
        <w:gridCol w:w="2489"/>
        <w:gridCol w:w="2126"/>
        <w:gridCol w:w="3907"/>
      </w:tblGrid>
      <w:tr w:rsidTr="00684A75">
        <w:tblPrEx>
          <w:tblW w:w="0" w:type="auto"/>
          <w:tblLayout w:type="fixed"/>
          <w:tblCellMar>
            <w:left w:w="62" w:type="dxa"/>
            <w:right w:w="62" w:type="dxa"/>
          </w:tblCellMar>
          <w:tblLook w:val="0000"/>
        </w:tblPrEx>
        <w:trPr>
          <w:tblHeader/>
        </w:trPr>
        <w:tc>
          <w:tcPr>
            <w:tcW w:w="2489"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SpecialBold"/>
              </w:rPr>
              <w:t>Co-requisite units</w:t>
            </w:r>
          </w:p>
        </w:tc>
        <w:tc>
          <w:tcPr>
            <w:tcW w:w="6033" w:type="dxa"/>
            <w:gridSpan w:val="2"/>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t>Nil</w:t>
            </w:r>
          </w:p>
        </w:tc>
      </w:tr>
      <w:tr w:rsidTr="00684A75">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07"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p>
        </w:tc>
      </w:tr>
      <w:tr w:rsidTr="00684A75">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07" w:type="dxa"/>
            <w:tcBorders>
              <w:top w:val="nil"/>
              <w:left w:val="nil"/>
              <w:bottom w:val="nil"/>
              <w:right w:val="nil"/>
            </w:tcBorders>
            <w:tcMar>
              <w:top w:w="0" w:type="dxa"/>
              <w:left w:w="62" w:type="dxa"/>
              <w:bottom w:w="0" w:type="dxa"/>
              <w:right w:w="62" w:type="dxa"/>
            </w:tcMar>
          </w:tcPr>
          <w:p w:rsidR="00000000" w:rsidRPr="00061AAF" w:rsidP="00061AAF">
            <w:pPr>
              <w:pStyle w:val="BodyText"/>
            </w:pPr>
          </w:p>
        </w:tc>
      </w:tr>
    </w:tbl>
    <w:p w:rsidR="00684A75" w:rsidP="00061AAF">
      <w:pPr>
        <w:pStyle w:val="BodyText"/>
      </w:pPr>
    </w:p>
    <w:p w:rsidR="00684A75" w:rsidP="00061AAF">
      <w:pPr>
        <w:pStyle w:val="BodyText"/>
      </w:pPr>
    </w:p>
    <w:p w:rsidR="00000000" w:rsidRPr="00061AAF" w:rsidP="00061AAF">
      <w:pPr>
        <w:pStyle w:val="Heading1"/>
      </w:pPr>
      <w:bookmarkStart w:id="14" w:name="O_199128"/>
      <w:bookmarkEnd w:id="14"/>
      <w:r w:rsidRPr="00061AAF">
        <w:t>Functional area</w:t>
      </w:r>
    </w:p>
    <w:tbl>
      <w:tblPr>
        <w:tblW w:w="0" w:type="auto"/>
        <w:tblLayout w:type="fixed"/>
        <w:tblCellMar>
          <w:left w:w="62" w:type="dxa"/>
          <w:right w:w="62" w:type="dxa"/>
        </w:tblCellMar>
        <w:tblLook w:val="0000"/>
      </w:tblPr>
      <w:tblGrid>
        <w:gridCol w:w="2578"/>
        <w:gridCol w:w="5944"/>
      </w:tblGrid>
      <w:tr w:rsidTr="00684A75">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061AAF">
            <w:pPr>
              <w:pStyle w:val="BodyText"/>
              <w:rPr>
                <w:lang w:val="en-NZ"/>
              </w:rPr>
            </w:pPr>
            <w:r w:rsidRPr="00061AAF">
              <w:rPr>
                <w:rStyle w:val="SpecialBold"/>
              </w:rPr>
              <w:t>Functional area</w:t>
            </w:r>
          </w:p>
        </w:tc>
        <w:tc>
          <w:tcPr>
            <w:tcW w:w="5944" w:type="dxa"/>
            <w:tcBorders>
              <w:top w:val="nil"/>
              <w:left w:val="nil"/>
              <w:bottom w:val="nil"/>
              <w:right w:val="nil"/>
            </w:tcBorders>
            <w:tcMar>
              <w:top w:w="0" w:type="dxa"/>
              <w:left w:w="62" w:type="dxa"/>
              <w:bottom w:w="0" w:type="dxa"/>
              <w:right w:w="62" w:type="dxa"/>
            </w:tcMar>
          </w:tcPr>
          <w:p w:rsidR="00000000" w:rsidRPr="00061AAF" w:rsidP="00061AAF">
            <w:pPr>
              <w:pStyle w:val="BodyText"/>
            </w:pPr>
          </w:p>
        </w:tc>
      </w:tr>
    </w:tbl>
    <w:p w:rsidR="00684A75" w:rsidP="00061AAF">
      <w:pPr>
        <w:pStyle w:val="BodyText"/>
      </w:pPr>
    </w:p>
    <w:p w:rsidR="00684A75" w:rsidP="00061AAF">
      <w:pPr>
        <w:pStyle w:val="BodyText"/>
      </w:pPr>
    </w:p>
    <w:p w:rsidR="00000000" w:rsidRPr="00061AAF" w:rsidP="00061AAF"/>
    <w:sectPr w:rsidSect="00061A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A75" w:rsidP="00684A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75" w:rsidP="00061A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84A75" w:rsidP="00061A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84A75" w:rsidP="00061A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A75" w:rsidP="00684A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A75" w:rsidP="00061AAF">
    <w:pPr>
      <w:pStyle w:val="Header"/>
      <w:framePr w:wrap="around"/>
    </w:pPr>
    <w:r>
      <w:fldChar w:fldCharType="begin"/>
    </w:r>
    <w:r>
      <w:instrText xml:space="preserve"> TITLE   \* MERGEFORMAT </w:instrText>
    </w:r>
    <w:r>
      <w:fldChar w:fldCharType="separate"/>
    </w:r>
    <w:r>
      <w:t>CPCCWC2001A Complete penetrations and flashings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4A75" w:rsidP="00061A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C222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AE4A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E223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A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1AAF"/>
    <w:pPr>
      <w:spacing w:before="360" w:after="60"/>
      <w:outlineLvl w:val="0"/>
    </w:pPr>
    <w:rPr>
      <w:sz w:val="32"/>
    </w:rPr>
  </w:style>
  <w:style w:type="paragraph" w:styleId="Heading2">
    <w:name w:val="heading 2"/>
    <w:basedOn w:val="HeadingBase"/>
    <w:next w:val="BodyText"/>
    <w:link w:val="Heading2Char"/>
    <w:qFormat/>
    <w:rsid w:val="00061AAF"/>
    <w:pPr>
      <w:keepLines/>
      <w:spacing w:before="240" w:after="120"/>
      <w:outlineLvl w:val="1"/>
    </w:pPr>
    <w:rPr>
      <w:sz w:val="28"/>
      <w:szCs w:val="40"/>
    </w:rPr>
  </w:style>
  <w:style w:type="paragraph" w:styleId="Heading3">
    <w:name w:val="heading 3"/>
    <w:basedOn w:val="HeadingBase"/>
    <w:next w:val="BodyText"/>
    <w:link w:val="Heading3Char"/>
    <w:qFormat/>
    <w:rsid w:val="00061AAF"/>
    <w:pPr>
      <w:spacing w:before="180" w:after="120"/>
      <w:outlineLvl w:val="2"/>
    </w:pPr>
    <w:rPr>
      <w:spacing w:val="-10"/>
      <w:kern w:val="32"/>
    </w:rPr>
  </w:style>
  <w:style w:type="paragraph" w:styleId="Heading4">
    <w:name w:val="heading 4"/>
    <w:basedOn w:val="HeadingBase"/>
    <w:next w:val="BodyText"/>
    <w:link w:val="Heading4Char"/>
    <w:qFormat/>
    <w:rsid w:val="00061AAF"/>
    <w:pPr>
      <w:spacing w:before="160" w:after="120"/>
      <w:outlineLvl w:val="3"/>
    </w:pPr>
    <w:rPr>
      <w:sz w:val="22"/>
    </w:rPr>
  </w:style>
  <w:style w:type="paragraph" w:styleId="Heading5">
    <w:name w:val="heading 5"/>
    <w:basedOn w:val="HeadingBase"/>
    <w:next w:val="Normal"/>
    <w:link w:val="Heading5Char"/>
    <w:qFormat/>
    <w:rsid w:val="00061AAF"/>
    <w:pPr>
      <w:spacing w:before="80"/>
      <w:outlineLvl w:val="4"/>
    </w:pPr>
    <w:rPr>
      <w:color w:val="918585"/>
      <w:sz w:val="20"/>
    </w:rPr>
  </w:style>
  <w:style w:type="paragraph" w:styleId="Heading6">
    <w:name w:val="heading 6"/>
    <w:basedOn w:val="HeadingBase"/>
    <w:next w:val="Normal"/>
    <w:link w:val="Heading6Char"/>
    <w:qFormat/>
    <w:rsid w:val="00061AAF"/>
    <w:pPr>
      <w:spacing w:before="60"/>
      <w:outlineLvl w:val="5"/>
    </w:pPr>
    <w:rPr>
      <w:color w:val="918585"/>
      <w:sz w:val="20"/>
    </w:rPr>
  </w:style>
  <w:style w:type="paragraph" w:styleId="Heading7">
    <w:name w:val="heading 7"/>
    <w:basedOn w:val="Normal"/>
    <w:next w:val="Normal"/>
    <w:link w:val="Heading7Char"/>
    <w:qFormat/>
    <w:rsid w:val="00061AAF"/>
    <w:pPr>
      <w:ind w:left="720"/>
      <w:outlineLvl w:val="6"/>
    </w:pPr>
    <w:rPr>
      <w:i/>
    </w:rPr>
  </w:style>
  <w:style w:type="paragraph" w:styleId="Heading8">
    <w:name w:val="heading 8"/>
    <w:basedOn w:val="Normal"/>
    <w:next w:val="Normal"/>
    <w:link w:val="Heading8Char"/>
    <w:qFormat/>
    <w:rsid w:val="00061AAF"/>
    <w:pPr>
      <w:ind w:left="720"/>
      <w:outlineLvl w:val="7"/>
    </w:pPr>
    <w:rPr>
      <w:i/>
    </w:rPr>
  </w:style>
  <w:style w:type="paragraph" w:styleId="Heading9">
    <w:name w:val="heading 9"/>
    <w:basedOn w:val="Normal"/>
    <w:next w:val="Normal"/>
    <w:link w:val="Heading9Char"/>
    <w:qFormat/>
    <w:rsid w:val="00061AAF"/>
    <w:pPr>
      <w:ind w:left="720"/>
      <w:outlineLvl w:val="8"/>
    </w:pPr>
    <w:rPr>
      <w:i/>
    </w:rPr>
  </w:style>
  <w:style w:type="character" w:default="1" w:styleId="DefaultParagraphFont">
    <w:name w:val="Default Paragraph Font"/>
    <w:uiPriority w:val="1"/>
    <w:unhideWhenUsed/>
    <w:rsid w:val="00061A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AAF"/>
  </w:style>
  <w:style w:type="character" w:customStyle="1" w:styleId="Heading1Char">
    <w:name w:val="Heading 1 Char"/>
    <w:basedOn w:val="DefaultParagraphFont"/>
    <w:link w:val="Heading1"/>
    <w:rsid w:val="00061AAF"/>
    <w:rPr>
      <w:rFonts w:ascii="Times New Roman" w:eastAsia="Times New Roman" w:hAnsi="Times New Roman" w:cs="Times New Roman"/>
      <w:b/>
      <w:sz w:val="32"/>
      <w:szCs w:val="20"/>
      <w:lang w:eastAsia="en-US"/>
    </w:rPr>
  </w:style>
  <w:style w:type="paragraph" w:styleId="BodyText">
    <w:name w:val="Body Text"/>
    <w:basedOn w:val="Normal"/>
    <w:link w:val="BodyTextChar"/>
    <w:rsid w:val="00061A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1AAF"/>
    <w:rPr>
      <w:rFonts w:ascii="Times New Roman" w:eastAsia="Times New Roman" w:hAnsi="Times New Roman" w:cs="Times New Roman"/>
      <w:sz w:val="24"/>
      <w:lang w:val="en-US" w:eastAsia="en-US"/>
    </w:rPr>
  </w:style>
  <w:style w:type="paragraph" w:styleId="Footer">
    <w:name w:val="footer"/>
    <w:basedOn w:val="Normal"/>
    <w:link w:val="FooterChar"/>
    <w:rsid w:val="00061A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AAF"/>
    <w:rPr>
      <w:rFonts w:ascii="Times New Roman" w:eastAsia="Times New Roman" w:hAnsi="Times New Roman" w:cs="Times New Roman"/>
      <w:sz w:val="16"/>
      <w:lang w:val="en-US" w:eastAsia="en-US"/>
    </w:rPr>
  </w:style>
  <w:style w:type="paragraph" w:styleId="List">
    <w:name w:val="List"/>
    <w:basedOn w:val="BodyText"/>
    <w:next w:val="BodyText"/>
    <w:rsid w:val="00061AAF"/>
    <w:pPr>
      <w:tabs>
        <w:tab w:val="left" w:pos="340"/>
      </w:tabs>
      <w:spacing w:before="60" w:after="60"/>
      <w:ind w:left="340" w:hanging="340"/>
    </w:pPr>
  </w:style>
  <w:style w:type="paragraph" w:styleId="ListBullet">
    <w:name w:val="List Bullet"/>
    <w:basedOn w:val="List"/>
    <w:rsid w:val="00061AAF"/>
    <w:pPr>
      <w:numPr>
        <w:numId w:val="14"/>
      </w:numPr>
      <w:tabs>
        <w:tab w:val="clear" w:pos="340"/>
      </w:tabs>
      <w:spacing w:before="40" w:after="40"/>
    </w:pPr>
  </w:style>
  <w:style w:type="character" w:customStyle="1" w:styleId="SpecialBold">
    <w:name w:val="Special Bold"/>
    <w:basedOn w:val="DefaultParagraphFont"/>
    <w:rsid w:val="00061AAF"/>
    <w:rPr>
      <w:b/>
      <w:spacing w:val="0"/>
    </w:rPr>
  </w:style>
  <w:style w:type="paragraph" w:styleId="ListBullet2">
    <w:name w:val="List Bullet 2"/>
    <w:basedOn w:val="List2"/>
    <w:rsid w:val="00061AAF"/>
    <w:pPr>
      <w:numPr>
        <w:numId w:val="15"/>
      </w:numPr>
      <w:tabs>
        <w:tab w:val="clear" w:pos="680"/>
      </w:tabs>
    </w:pPr>
  </w:style>
  <w:style w:type="paragraph" w:styleId="Header">
    <w:name w:val="header"/>
    <w:basedOn w:val="Normal"/>
    <w:link w:val="HeaderChar"/>
    <w:rsid w:val="00061A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A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1AAF"/>
    <w:pPr>
      <w:spacing w:before="240" w:after="120"/>
      <w:outlineLvl w:val="0"/>
    </w:pPr>
    <w:rPr>
      <w:rFonts w:ascii="Times New Roman" w:hAnsi="Times New Roman"/>
      <w:b/>
      <w:sz w:val="28"/>
    </w:rPr>
  </w:style>
  <w:style w:type="paragraph" w:customStyle="1" w:styleId="AllowPageBreak">
    <w:name w:val="AllowPageBreak"/>
    <w:rsid w:val="00061A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1AAF"/>
    <w:pPr>
      <w:tabs>
        <w:tab w:val="left" w:pos="680"/>
      </w:tabs>
      <w:spacing w:before="60" w:after="60"/>
      <w:ind w:left="680" w:hanging="340"/>
    </w:pPr>
  </w:style>
  <w:style w:type="paragraph" w:styleId="ListBullet3">
    <w:name w:val="List Bullet 3"/>
    <w:basedOn w:val="List3"/>
    <w:rsid w:val="00061AAF"/>
    <w:pPr>
      <w:numPr>
        <w:numId w:val="3"/>
      </w:numPr>
      <w:tabs>
        <w:tab w:val="clear" w:pos="1021"/>
      </w:tabs>
      <w:ind w:left="1037" w:hanging="357"/>
    </w:pPr>
  </w:style>
  <w:style w:type="character" w:customStyle="1" w:styleId="BoldandItalics">
    <w:name w:val="Bold and Italics"/>
    <w:qFormat/>
    <w:rsid w:val="00061AAF"/>
    <w:rPr>
      <w:b/>
      <w:i/>
      <w:u w:val="none"/>
    </w:rPr>
  </w:style>
  <w:style w:type="character" w:customStyle="1" w:styleId="Heading2Char">
    <w:name w:val="Heading 2 Char"/>
    <w:basedOn w:val="DefaultParagraphFont"/>
    <w:link w:val="Heading2"/>
    <w:rsid w:val="00061A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A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A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A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A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A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1A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1AAF"/>
    <w:rPr>
      <w:rFonts w:ascii="Courier New" w:eastAsia="Times New Roman" w:hAnsi="Courier New" w:cs="Times New Roman"/>
      <w:i/>
      <w:szCs w:val="20"/>
      <w:lang w:val="en-US" w:eastAsia="en-US"/>
    </w:rPr>
  </w:style>
  <w:style w:type="paragraph" w:customStyle="1" w:styleId="HeadingBase">
    <w:name w:val="Heading Base"/>
    <w:rsid w:val="00061A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AAF"/>
    <w:pPr>
      <w:tabs>
        <w:tab w:val="right" w:leader="dot" w:pos="9072"/>
      </w:tabs>
      <w:ind w:left="567"/>
    </w:pPr>
    <w:rPr>
      <w:szCs w:val="22"/>
    </w:rPr>
  </w:style>
  <w:style w:type="paragraph" w:customStyle="1" w:styleId="TOCBase">
    <w:name w:val="TOC Base"/>
    <w:rsid w:val="00061A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AAF"/>
    <w:pPr>
      <w:tabs>
        <w:tab w:val="right" w:leader="dot" w:pos="9072"/>
      </w:tabs>
      <w:spacing w:before="40" w:after="40"/>
      <w:ind w:left="284"/>
    </w:pPr>
    <w:rPr>
      <w:rFonts w:ascii="Times New Roman" w:hAnsi="Times New Roman"/>
    </w:rPr>
  </w:style>
  <w:style w:type="paragraph" w:styleId="TOC1">
    <w:name w:val="toc 1"/>
    <w:basedOn w:val="TOCBase"/>
    <w:next w:val="Normal"/>
    <w:rsid w:val="00061A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1AAF"/>
    <w:pPr>
      <w:spacing w:before="5040"/>
      <w:jc w:val="center"/>
    </w:pPr>
    <w:rPr>
      <w:sz w:val="48"/>
      <w:szCs w:val="72"/>
      <w:lang w:val="en-US"/>
    </w:rPr>
  </w:style>
  <w:style w:type="character" w:customStyle="1" w:styleId="TitleChar">
    <w:name w:val="Title Char"/>
    <w:basedOn w:val="DefaultParagraphFont"/>
    <w:link w:val="Title"/>
    <w:rsid w:val="00061A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AAF"/>
    <w:pPr>
      <w:tabs>
        <w:tab w:val="left" w:pos="3600"/>
        <w:tab w:val="left" w:pos="3958"/>
      </w:tabs>
    </w:pPr>
  </w:style>
  <w:style w:type="paragraph" w:customStyle="1" w:styleId="Note">
    <w:name w:val="Note"/>
    <w:basedOn w:val="BodyText"/>
    <w:rsid w:val="00061A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AAF"/>
    <w:pPr>
      <w:framePr w:wrap="auto" w:hAnchor="text" w:y="6049"/>
    </w:pPr>
    <w:rPr>
      <w:color w:val="000000"/>
      <w:sz w:val="40"/>
    </w:rPr>
  </w:style>
  <w:style w:type="paragraph" w:customStyle="1" w:styleId="TOCTitle">
    <w:name w:val="TOCTitle"/>
    <w:basedOn w:val="Heading1"/>
    <w:rsid w:val="00061AAF"/>
    <w:pPr>
      <w:spacing w:after="240"/>
      <w:jc w:val="center"/>
      <w:outlineLvl w:val="9"/>
    </w:pPr>
    <w:rPr>
      <w:caps/>
    </w:rPr>
  </w:style>
  <w:style w:type="paragraph" w:customStyle="1" w:styleId="Version">
    <w:name w:val="Version"/>
    <w:rsid w:val="00061A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AAF"/>
    <w:pPr>
      <w:keepNext w:val="0"/>
      <w:tabs>
        <w:tab w:val="right" w:pos="4176"/>
      </w:tabs>
      <w:ind w:left="198" w:hanging="198"/>
    </w:pPr>
    <w:rPr>
      <w:rFonts w:ascii="Garamond" w:hAnsi="Garamond"/>
    </w:rPr>
  </w:style>
  <w:style w:type="paragraph" w:styleId="IndexHeading">
    <w:name w:val="index heading"/>
    <w:basedOn w:val="Normal"/>
    <w:next w:val="Index1"/>
    <w:semiHidden/>
    <w:rsid w:val="00061AAF"/>
    <w:pPr>
      <w:spacing w:before="120" w:after="120"/>
    </w:pPr>
    <w:rPr>
      <w:rFonts w:ascii="Arial" w:hAnsi="Arial"/>
      <w:b/>
      <w:color w:val="918585"/>
      <w:sz w:val="24"/>
    </w:rPr>
  </w:style>
  <w:style w:type="paragraph" w:customStyle="1" w:styleId="Chapter">
    <w:name w:val="Chapter"/>
    <w:basedOn w:val="Normal"/>
    <w:rsid w:val="00061AAF"/>
    <w:pPr>
      <w:spacing w:before="240"/>
    </w:pPr>
    <w:rPr>
      <w:rFonts w:ascii="Times New Roman" w:hAnsi="Times New Roman"/>
      <w:smallCaps/>
      <w:spacing w:val="80"/>
      <w:sz w:val="28"/>
    </w:rPr>
  </w:style>
  <w:style w:type="paragraph" w:customStyle="1" w:styleId="InChapter">
    <w:name w:val="InChapter"/>
    <w:basedOn w:val="Heading3"/>
    <w:rsid w:val="00061AAF"/>
    <w:pPr>
      <w:spacing w:after="240"/>
      <w:outlineLvl w:val="9"/>
    </w:pPr>
    <w:rPr>
      <w:noProof/>
    </w:rPr>
  </w:style>
  <w:style w:type="paragraph" w:styleId="Index2">
    <w:name w:val="index 2"/>
    <w:basedOn w:val="Normal"/>
    <w:next w:val="Normal"/>
    <w:semiHidden/>
    <w:rsid w:val="00061AAF"/>
    <w:pPr>
      <w:tabs>
        <w:tab w:val="right" w:pos="4176"/>
      </w:tabs>
      <w:ind w:left="568" w:hanging="284"/>
    </w:pPr>
    <w:rPr>
      <w:rFonts w:ascii="Garamond" w:hAnsi="Garamond"/>
    </w:rPr>
  </w:style>
  <w:style w:type="paragraph" w:customStyle="1" w:styleId="Byline">
    <w:name w:val="Byline"/>
    <w:rsid w:val="00061A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AAF"/>
    <w:pPr>
      <w:tabs>
        <w:tab w:val="clear" w:pos="3600"/>
        <w:tab w:val="clear" w:pos="3958"/>
      </w:tabs>
      <w:jc w:val="right"/>
    </w:pPr>
  </w:style>
  <w:style w:type="character" w:styleId="Emphasis">
    <w:name w:val="Emphasis"/>
    <w:basedOn w:val="DefaultParagraphFont"/>
    <w:qFormat/>
    <w:rsid w:val="00061AAF"/>
    <w:rPr>
      <w:i/>
    </w:rPr>
  </w:style>
  <w:style w:type="paragraph" w:styleId="Caption">
    <w:name w:val="caption"/>
    <w:basedOn w:val="BodyText"/>
    <w:next w:val="Normal"/>
    <w:qFormat/>
    <w:rsid w:val="00061AAF"/>
    <w:pPr>
      <w:framePr w:w="2268" w:hSpace="181" w:vSpace="181" w:wrap="around" w:vAnchor="text" w:hAnchor="page" w:x="1135" w:y="285" w:anchorLock="1"/>
    </w:pPr>
    <w:rPr>
      <w:i/>
    </w:rPr>
  </w:style>
  <w:style w:type="paragraph" w:customStyle="1" w:styleId="MiniTOCTitle">
    <w:name w:val="MiniTOCTitle"/>
    <w:basedOn w:val="Heading4"/>
    <w:rsid w:val="00061AAF"/>
    <w:pPr>
      <w:spacing w:before="240"/>
      <w:outlineLvl w:val="9"/>
    </w:pPr>
    <w:rPr>
      <w:noProof/>
      <w:sz w:val="24"/>
    </w:rPr>
  </w:style>
  <w:style w:type="paragraph" w:customStyle="1" w:styleId="MiniTOCItem">
    <w:name w:val="MiniTOCItem"/>
    <w:basedOn w:val="ListBullet"/>
    <w:rsid w:val="00061AAF"/>
    <w:pPr>
      <w:numPr>
        <w:numId w:val="0"/>
      </w:numPr>
      <w:tabs>
        <w:tab w:val="right" w:leader="dot" w:pos="6521"/>
      </w:tabs>
      <w:spacing w:before="0" w:after="0"/>
    </w:pPr>
  </w:style>
  <w:style w:type="paragraph" w:customStyle="1" w:styleId="TOFTitle">
    <w:name w:val="TOFTitle"/>
    <w:basedOn w:val="TOCTitle"/>
    <w:rsid w:val="00061AAF"/>
  </w:style>
  <w:style w:type="paragraph" w:styleId="TableofFigures">
    <w:name w:val="table of figures"/>
    <w:basedOn w:val="Normal"/>
    <w:next w:val="Normal"/>
    <w:semiHidden/>
    <w:rsid w:val="00061AAF"/>
    <w:pPr>
      <w:tabs>
        <w:tab w:val="right" w:leader="dot" w:pos="9072"/>
      </w:tabs>
      <w:ind w:left="970" w:hanging="403"/>
    </w:pPr>
    <w:rPr>
      <w:rFonts w:ascii="Times New Roman" w:hAnsi="Times New Roman"/>
      <w:b/>
    </w:rPr>
  </w:style>
  <w:style w:type="paragraph" w:styleId="ListNumber">
    <w:name w:val="List Number"/>
    <w:basedOn w:val="List"/>
    <w:rsid w:val="00061AAF"/>
    <w:pPr>
      <w:numPr>
        <w:numId w:val="12"/>
      </w:numPr>
    </w:pPr>
  </w:style>
  <w:style w:type="character" w:customStyle="1" w:styleId="WingdingSymbols">
    <w:name w:val="Wingding Symbols"/>
    <w:rsid w:val="00061AAF"/>
    <w:rPr>
      <w:rFonts w:ascii="Wingdings" w:hAnsi="Wingdings"/>
    </w:rPr>
  </w:style>
  <w:style w:type="paragraph" w:customStyle="1" w:styleId="TableHeading">
    <w:name w:val="Table Heading"/>
    <w:basedOn w:val="HeadingBase"/>
    <w:rsid w:val="00061AAF"/>
    <w:pPr>
      <w:keepLines/>
      <w:pBdr>
        <w:bottom w:val="single" w:sz="6" w:space="1" w:color="918585"/>
      </w:pBdr>
      <w:spacing w:before="240"/>
    </w:pPr>
  </w:style>
  <w:style w:type="character" w:customStyle="1" w:styleId="HotSpot">
    <w:name w:val="HotSpot"/>
    <w:rsid w:val="00061AAF"/>
    <w:rPr>
      <w:color w:val="0033CC"/>
      <w:u w:val="none"/>
    </w:rPr>
  </w:style>
  <w:style w:type="paragraph" w:customStyle="1" w:styleId="BodyTextRight">
    <w:name w:val="Body Text Right"/>
    <w:basedOn w:val="BodyText"/>
    <w:rsid w:val="00061AAF"/>
    <w:pPr>
      <w:spacing w:before="0" w:after="0"/>
      <w:jc w:val="right"/>
    </w:pPr>
  </w:style>
  <w:style w:type="paragraph" w:styleId="Index3">
    <w:name w:val="index 3"/>
    <w:basedOn w:val="ListNumber2"/>
    <w:next w:val="Normal"/>
    <w:semiHidden/>
    <w:rsid w:val="00061AAF"/>
    <w:pPr>
      <w:numPr>
        <w:numId w:val="0"/>
      </w:numPr>
      <w:tabs>
        <w:tab w:val="right" w:leader="dot" w:pos="4176"/>
      </w:tabs>
    </w:pPr>
  </w:style>
  <w:style w:type="paragraph" w:styleId="ListNumber2">
    <w:name w:val="List Number 2"/>
    <w:basedOn w:val="List2"/>
    <w:rsid w:val="00061AAF"/>
    <w:pPr>
      <w:numPr>
        <w:numId w:val="11"/>
      </w:numPr>
      <w:tabs>
        <w:tab w:val="clear" w:pos="1060"/>
      </w:tabs>
    </w:pPr>
  </w:style>
  <w:style w:type="paragraph" w:customStyle="1" w:styleId="MarginNote">
    <w:name w:val="Margin Note"/>
    <w:basedOn w:val="BodyText"/>
    <w:rsid w:val="00061A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A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A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1AAF"/>
    <w:rPr>
      <w:sz w:val="32"/>
    </w:rPr>
  </w:style>
  <w:style w:type="paragraph" w:customStyle="1" w:styleId="HeadingProcedure">
    <w:name w:val="Heading Procedure"/>
    <w:basedOn w:val="HeadingBase"/>
    <w:next w:val="Normal"/>
    <w:rsid w:val="00061AAF"/>
    <w:pPr>
      <w:tabs>
        <w:tab w:val="left" w:pos="0"/>
      </w:tabs>
      <w:spacing w:before="120" w:after="60"/>
    </w:pPr>
    <w:rPr>
      <w:i/>
      <w:color w:val="918585"/>
      <w:sz w:val="22"/>
    </w:rPr>
  </w:style>
  <w:style w:type="paragraph" w:customStyle="1" w:styleId="TableBodyText">
    <w:name w:val="Table Body Text"/>
    <w:basedOn w:val="BodyText"/>
    <w:rsid w:val="00061AAF"/>
    <w:pPr>
      <w:spacing w:before="60" w:after="60"/>
    </w:pPr>
  </w:style>
  <w:style w:type="paragraph" w:styleId="ListContinue">
    <w:name w:val="List Continue"/>
    <w:basedOn w:val="List"/>
    <w:rsid w:val="00061AAF"/>
    <w:pPr>
      <w:ind w:firstLine="0"/>
    </w:pPr>
  </w:style>
  <w:style w:type="paragraph" w:customStyle="1" w:styleId="ListNote">
    <w:name w:val="List Note"/>
    <w:basedOn w:val="List"/>
    <w:rsid w:val="00061AAF"/>
    <w:pPr>
      <w:pBdr>
        <w:top w:val="single" w:sz="6" w:space="2" w:color="918585"/>
        <w:bottom w:val="single" w:sz="6" w:space="2" w:color="918585"/>
      </w:pBdr>
      <w:tabs>
        <w:tab w:val="left" w:pos="1021"/>
      </w:tabs>
      <w:ind w:firstLine="0"/>
    </w:pPr>
  </w:style>
  <w:style w:type="paragraph" w:customStyle="1" w:styleId="Warning">
    <w:name w:val="Warning"/>
    <w:basedOn w:val="BodyText"/>
    <w:rsid w:val="00061AAF"/>
    <w:pPr>
      <w:shd w:val="clear" w:color="auto" w:fill="D9D9D9"/>
      <w:tabs>
        <w:tab w:val="left" w:pos="992"/>
      </w:tabs>
      <w:ind w:left="119" w:right="119"/>
    </w:pPr>
    <w:rPr>
      <w:sz w:val="20"/>
    </w:rPr>
  </w:style>
  <w:style w:type="paragraph" w:customStyle="1" w:styleId="MarginIcons">
    <w:name w:val="Margin Icons"/>
    <w:basedOn w:val="BodyText"/>
    <w:rsid w:val="00061A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AAF"/>
    <w:rPr>
      <w:rFonts w:ascii="Courier New" w:hAnsi="Courier New"/>
    </w:rPr>
  </w:style>
  <w:style w:type="paragraph" w:customStyle="1" w:styleId="NoteBullet">
    <w:name w:val="Note Bullet"/>
    <w:basedOn w:val="Note"/>
    <w:rsid w:val="00061AAF"/>
    <w:pPr>
      <w:tabs>
        <w:tab w:val="clear" w:pos="680"/>
      </w:tabs>
      <w:spacing w:before="60" w:after="60"/>
    </w:pPr>
  </w:style>
  <w:style w:type="paragraph" w:customStyle="1" w:styleId="SubHeading2">
    <w:name w:val="SubHeading2"/>
    <w:basedOn w:val="HeadingBase"/>
    <w:rsid w:val="00061AAF"/>
    <w:pPr>
      <w:spacing w:before="240" w:after="60"/>
    </w:pPr>
    <w:rPr>
      <w:sz w:val="20"/>
    </w:rPr>
  </w:style>
  <w:style w:type="paragraph" w:customStyle="1" w:styleId="SubHeading1">
    <w:name w:val="SubHeading1"/>
    <w:basedOn w:val="HeadingBase"/>
    <w:rsid w:val="00061AAF"/>
    <w:pPr>
      <w:spacing w:before="240" w:after="60"/>
    </w:pPr>
    <w:rPr>
      <w:color w:val="918585"/>
      <w:sz w:val="22"/>
    </w:rPr>
  </w:style>
  <w:style w:type="paragraph" w:customStyle="1" w:styleId="SideHeading">
    <w:name w:val="Side Heading"/>
    <w:basedOn w:val="HeadingBase"/>
    <w:rsid w:val="00061A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AAF"/>
    <w:pPr>
      <w:numPr>
        <w:numId w:val="13"/>
      </w:numPr>
    </w:pPr>
  </w:style>
  <w:style w:type="paragraph" w:styleId="PlainText">
    <w:name w:val="Plain Text"/>
    <w:basedOn w:val="Normal"/>
    <w:link w:val="PlainTextChar"/>
    <w:rsid w:val="00061AAF"/>
    <w:rPr>
      <w:sz w:val="20"/>
    </w:rPr>
  </w:style>
  <w:style w:type="character" w:customStyle="1" w:styleId="PlainTextChar">
    <w:name w:val="Plain Text Char"/>
    <w:basedOn w:val="DefaultParagraphFont"/>
    <w:link w:val="PlainText"/>
    <w:rsid w:val="00061A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1AAF"/>
    <w:rPr>
      <w:b/>
      <w:smallCaps/>
    </w:rPr>
  </w:style>
  <w:style w:type="paragraph" w:customStyle="1" w:styleId="TableListNumber">
    <w:name w:val="Table List Number"/>
    <w:basedOn w:val="ListNumber"/>
    <w:rsid w:val="00061AAF"/>
    <w:pPr>
      <w:numPr>
        <w:numId w:val="0"/>
      </w:numPr>
    </w:pPr>
  </w:style>
  <w:style w:type="paragraph" w:styleId="TOC4">
    <w:name w:val="toc 4"/>
    <w:basedOn w:val="TOCBase"/>
    <w:next w:val="Normal"/>
    <w:semiHidden/>
    <w:rsid w:val="00061AAF"/>
    <w:pPr>
      <w:tabs>
        <w:tab w:val="right" w:leader="dot" w:pos="9071"/>
      </w:tabs>
      <w:ind w:left="1701"/>
    </w:pPr>
  </w:style>
  <w:style w:type="paragraph" w:customStyle="1" w:styleId="ListAlpha">
    <w:name w:val="List Alpha"/>
    <w:basedOn w:val="List"/>
    <w:rsid w:val="00061AAF"/>
    <w:pPr>
      <w:numPr>
        <w:numId w:val="10"/>
      </w:numPr>
    </w:pPr>
  </w:style>
  <w:style w:type="paragraph" w:customStyle="1" w:styleId="ListAlpha2">
    <w:name w:val="List Alpha 2"/>
    <w:basedOn w:val="List2"/>
    <w:rsid w:val="00061AAF"/>
    <w:pPr>
      <w:numPr>
        <w:numId w:val="9"/>
      </w:numPr>
    </w:pPr>
  </w:style>
  <w:style w:type="paragraph" w:styleId="List3">
    <w:name w:val="List 3"/>
    <w:basedOn w:val="BodyText"/>
    <w:rsid w:val="00061AAF"/>
    <w:pPr>
      <w:tabs>
        <w:tab w:val="left" w:pos="1021"/>
      </w:tabs>
      <w:spacing w:before="60" w:after="60"/>
      <w:ind w:left="1020" w:hanging="340"/>
    </w:pPr>
  </w:style>
  <w:style w:type="paragraph" w:styleId="List4">
    <w:name w:val="List 4"/>
    <w:basedOn w:val="BodyText"/>
    <w:rsid w:val="00061AAF"/>
    <w:pPr>
      <w:tabs>
        <w:tab w:val="left" w:pos="1361"/>
      </w:tabs>
      <w:spacing w:before="60" w:after="60"/>
      <w:ind w:left="1361" w:hanging="340"/>
    </w:pPr>
  </w:style>
  <w:style w:type="paragraph" w:styleId="List5">
    <w:name w:val="List 5"/>
    <w:basedOn w:val="BodyText"/>
    <w:rsid w:val="00061AAF"/>
    <w:pPr>
      <w:tabs>
        <w:tab w:val="left" w:pos="1701"/>
      </w:tabs>
      <w:spacing w:before="60" w:after="60"/>
      <w:ind w:left="1701" w:hanging="340"/>
    </w:pPr>
  </w:style>
  <w:style w:type="paragraph" w:styleId="ListBullet4">
    <w:name w:val="List Bullet 4"/>
    <w:basedOn w:val="List4"/>
    <w:rsid w:val="00061AAF"/>
    <w:pPr>
      <w:numPr>
        <w:numId w:val="4"/>
      </w:numPr>
    </w:pPr>
  </w:style>
  <w:style w:type="paragraph" w:styleId="ListBullet5">
    <w:name w:val="List Bullet 5"/>
    <w:basedOn w:val="List5"/>
    <w:rsid w:val="00061AAF"/>
    <w:pPr>
      <w:numPr>
        <w:numId w:val="5"/>
      </w:numPr>
    </w:pPr>
  </w:style>
  <w:style w:type="paragraph" w:styleId="ListContinue2">
    <w:name w:val="List Continue 2"/>
    <w:basedOn w:val="List2"/>
    <w:rsid w:val="00061AAF"/>
    <w:pPr>
      <w:ind w:firstLine="0"/>
    </w:pPr>
  </w:style>
  <w:style w:type="paragraph" w:styleId="ListContinue3">
    <w:name w:val="List Continue 3"/>
    <w:basedOn w:val="List3"/>
    <w:rsid w:val="00061AAF"/>
    <w:pPr>
      <w:ind w:left="1021" w:firstLine="0"/>
    </w:pPr>
  </w:style>
  <w:style w:type="paragraph" w:styleId="ListContinue4">
    <w:name w:val="List Continue 4"/>
    <w:basedOn w:val="List4"/>
    <w:rsid w:val="00061AAF"/>
    <w:pPr>
      <w:ind w:firstLine="0"/>
    </w:pPr>
  </w:style>
  <w:style w:type="paragraph" w:styleId="ListContinue5">
    <w:name w:val="List Continue 5"/>
    <w:basedOn w:val="List5"/>
    <w:rsid w:val="00061AAF"/>
    <w:pPr>
      <w:ind w:firstLine="0"/>
    </w:pPr>
  </w:style>
  <w:style w:type="paragraph" w:styleId="ListNumber3">
    <w:name w:val="List Number 3"/>
    <w:basedOn w:val="List3"/>
    <w:rsid w:val="00061AAF"/>
    <w:pPr>
      <w:numPr>
        <w:numId w:val="6"/>
      </w:numPr>
    </w:pPr>
  </w:style>
  <w:style w:type="paragraph" w:styleId="ListNumber4">
    <w:name w:val="List Number 4"/>
    <w:basedOn w:val="List4"/>
    <w:rsid w:val="00061AAF"/>
    <w:pPr>
      <w:numPr>
        <w:numId w:val="7"/>
      </w:numPr>
    </w:pPr>
  </w:style>
  <w:style w:type="paragraph" w:styleId="ListNumber5">
    <w:name w:val="List Number 5"/>
    <w:basedOn w:val="List5"/>
    <w:rsid w:val="00061AAF"/>
    <w:pPr>
      <w:numPr>
        <w:numId w:val="8"/>
      </w:numPr>
    </w:pPr>
  </w:style>
  <w:style w:type="paragraph" w:styleId="BlockText">
    <w:name w:val="Block Text"/>
    <w:basedOn w:val="Normal"/>
    <w:rsid w:val="00061AAF"/>
    <w:pPr>
      <w:spacing w:after="120"/>
      <w:ind w:left="1440" w:right="1440"/>
    </w:pPr>
  </w:style>
  <w:style w:type="character" w:customStyle="1" w:styleId="Subscript">
    <w:name w:val="Subscript"/>
    <w:basedOn w:val="DefaultParagraphFont"/>
    <w:rsid w:val="00061AAF"/>
    <w:rPr>
      <w:sz w:val="16"/>
      <w:vertAlign w:val="subscript"/>
    </w:rPr>
  </w:style>
  <w:style w:type="character" w:customStyle="1" w:styleId="Superscript">
    <w:name w:val="Superscript"/>
    <w:basedOn w:val="DefaultParagraphFont"/>
    <w:rsid w:val="00061AAF"/>
    <w:rPr>
      <w:sz w:val="16"/>
      <w:vertAlign w:val="superscript"/>
    </w:rPr>
  </w:style>
  <w:style w:type="character" w:customStyle="1" w:styleId="Symbols">
    <w:name w:val="Symbols"/>
    <w:basedOn w:val="DefaultParagraphFont"/>
    <w:rsid w:val="00061AAF"/>
    <w:rPr>
      <w:rFonts w:ascii="Symbol" w:hAnsi="Symbol"/>
    </w:rPr>
  </w:style>
  <w:style w:type="character" w:customStyle="1" w:styleId="MenuOptions">
    <w:name w:val="Menu Options"/>
    <w:basedOn w:val="DefaultParagraphFont"/>
    <w:rsid w:val="00061AAF"/>
    <w:rPr>
      <w:rFonts w:ascii="Arial Narrow" w:hAnsi="Arial Narrow"/>
      <w:smallCaps/>
    </w:rPr>
  </w:style>
  <w:style w:type="character" w:customStyle="1" w:styleId="Buttons">
    <w:name w:val="Buttons"/>
    <w:basedOn w:val="DefaultParagraphFont"/>
    <w:rsid w:val="00061AAF"/>
    <w:rPr>
      <w:b/>
    </w:rPr>
  </w:style>
  <w:style w:type="character" w:customStyle="1" w:styleId="Underlined">
    <w:name w:val="Underlined"/>
    <w:basedOn w:val="DefaultParagraphFont"/>
    <w:rsid w:val="00061AAF"/>
    <w:rPr>
      <w:u w:val="single"/>
    </w:rPr>
  </w:style>
  <w:style w:type="paragraph" w:customStyle="1" w:styleId="TableBodyTextRight">
    <w:name w:val="Table Body Text Right"/>
    <w:basedOn w:val="TableBodyText"/>
    <w:rsid w:val="00061AAF"/>
    <w:pPr>
      <w:widowControl w:val="0"/>
      <w:autoSpaceDE w:val="0"/>
      <w:autoSpaceDN w:val="0"/>
      <w:adjustRightInd w:val="0"/>
      <w:jc w:val="right"/>
    </w:pPr>
    <w:rPr>
      <w:rFonts w:cs="Arial"/>
      <w:szCs w:val="18"/>
    </w:rPr>
  </w:style>
  <w:style w:type="paragraph" w:customStyle="1" w:styleId="CopyrightText">
    <w:name w:val="Copyright Text"/>
    <w:basedOn w:val="BodyText"/>
    <w:rsid w:val="00061AAF"/>
    <w:rPr>
      <w:sz w:val="18"/>
    </w:rPr>
  </w:style>
  <w:style w:type="paragraph" w:customStyle="1" w:styleId="BodySmallRight">
    <w:name w:val="Body Small Right"/>
    <w:basedOn w:val="BodyTextRight"/>
    <w:rsid w:val="00061AAF"/>
    <w:rPr>
      <w:sz w:val="18"/>
      <w:szCs w:val="18"/>
    </w:rPr>
  </w:style>
  <w:style w:type="paragraph" w:customStyle="1" w:styleId="MarginEdition">
    <w:name w:val="Margin Edition"/>
    <w:basedOn w:val="MarginNote"/>
    <w:rsid w:val="00061AAF"/>
    <w:pPr>
      <w:spacing w:before="0" w:after="0"/>
    </w:pPr>
    <w:rPr>
      <w:rFonts w:ascii="Times New Roman" w:hAnsi="Times New Roman"/>
      <w:color w:val="999999"/>
    </w:rPr>
  </w:style>
  <w:style w:type="paragraph" w:customStyle="1" w:styleId="Spacer">
    <w:name w:val="Spacer"/>
    <w:basedOn w:val="Normal"/>
    <w:rsid w:val="00061AAF"/>
    <w:rPr>
      <w:sz w:val="2"/>
      <w:szCs w:val="2"/>
    </w:rPr>
  </w:style>
  <w:style w:type="character" w:customStyle="1" w:styleId="Small">
    <w:name w:val="Small"/>
    <w:basedOn w:val="DefaultParagraphFont"/>
    <w:rsid w:val="00061AAF"/>
    <w:rPr>
      <w:sz w:val="16"/>
    </w:rPr>
  </w:style>
  <w:style w:type="paragraph" w:customStyle="1" w:styleId="WideTable">
    <w:name w:val="Wide Table"/>
    <w:basedOn w:val="Normal"/>
    <w:rsid w:val="00061AAF"/>
    <w:pPr>
      <w:ind w:left="-1418"/>
    </w:pPr>
    <w:rPr>
      <w:sz w:val="2"/>
      <w:szCs w:val="2"/>
    </w:rPr>
  </w:style>
  <w:style w:type="character" w:styleId="PageNumber">
    <w:name w:val="page number"/>
    <w:basedOn w:val="DefaultParagraphFont"/>
    <w:rsid w:val="00061AAF"/>
  </w:style>
  <w:style w:type="paragraph" w:styleId="Quote">
    <w:name w:val="Quote"/>
    <w:basedOn w:val="Heading1"/>
    <w:link w:val="QuoteChar"/>
    <w:qFormat/>
    <w:rsid w:val="00061AAF"/>
    <w:rPr>
      <w:b w:val="0"/>
      <w:sz w:val="72"/>
      <w:szCs w:val="72"/>
      <w:lang w:val="en-NZ"/>
    </w:rPr>
  </w:style>
  <w:style w:type="character" w:customStyle="1" w:styleId="QuoteChar">
    <w:name w:val="Quote Char"/>
    <w:basedOn w:val="DefaultParagraphFont"/>
    <w:link w:val="Quote"/>
    <w:rsid w:val="00061A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AAF"/>
    <w:pPr>
      <w:pageBreakBefore/>
    </w:pPr>
  </w:style>
  <w:style w:type="paragraph" w:customStyle="1" w:styleId="Border">
    <w:name w:val="Border"/>
    <w:basedOn w:val="Normal"/>
    <w:qFormat/>
    <w:rsid w:val="00061A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AAF"/>
    <w:rPr>
      <w:b/>
      <w:bCs/>
      <w:i/>
      <w:iCs/>
      <w:color w:val="auto"/>
    </w:rPr>
  </w:style>
  <w:style w:type="paragraph" w:styleId="IntenseQuote">
    <w:name w:val="Intense Quote"/>
    <w:basedOn w:val="Normal"/>
    <w:next w:val="Normal"/>
    <w:link w:val="IntenseQuoteChar"/>
    <w:uiPriority w:val="30"/>
    <w:qFormat/>
    <w:rsid w:val="00061A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A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1AAF"/>
    <w:rPr>
      <w:smallCaps/>
      <w:color w:val="auto"/>
      <w:u w:val="single"/>
    </w:rPr>
  </w:style>
  <w:style w:type="character" w:styleId="IntenseReference">
    <w:name w:val="Intense Reference"/>
    <w:basedOn w:val="DefaultParagraphFont"/>
    <w:uiPriority w:val="32"/>
    <w:qFormat/>
    <w:rsid w:val="00061AAF"/>
    <w:rPr>
      <w:b/>
      <w:bCs/>
      <w:smallCaps/>
      <w:color w:val="auto"/>
      <w:spacing w:val="5"/>
      <w:u w:val="single"/>
    </w:rPr>
  </w:style>
  <w:style w:type="paragraph" w:customStyle="1" w:styleId="2ColumnHeading">
    <w:name w:val="2Column Heading"/>
    <w:basedOn w:val="BodyText"/>
    <w:qFormat/>
    <w:rsid w:val="00061AAF"/>
    <w:pPr>
      <w:spacing w:after="60"/>
      <w:ind w:left="-2268"/>
    </w:pPr>
    <w:rPr>
      <w:b/>
    </w:rPr>
  </w:style>
  <w:style w:type="paragraph" w:customStyle="1" w:styleId="Heading1TOC">
    <w:name w:val="Heading1 TOC"/>
    <w:basedOn w:val="Normal"/>
    <w:qFormat/>
    <w:rsid w:val="00061AAF"/>
    <w:pPr>
      <w:spacing w:before="240" w:after="120"/>
    </w:pPr>
    <w:rPr>
      <w:rFonts w:ascii="Times New Roman" w:hAnsi="Times New Roman"/>
      <w:b/>
      <w:sz w:val="32"/>
    </w:rPr>
  </w:style>
  <w:style w:type="paragraph" w:customStyle="1" w:styleId="Heading2TOC">
    <w:name w:val="Heading2 TOC"/>
    <w:basedOn w:val="Normal"/>
    <w:qFormat/>
    <w:rsid w:val="00061AAF"/>
    <w:pPr>
      <w:spacing w:before="240" w:after="60"/>
    </w:pPr>
    <w:rPr>
      <w:rFonts w:ascii="Times New Roman" w:hAnsi="Times New Roman"/>
      <w:b/>
      <w:sz w:val="28"/>
    </w:rPr>
  </w:style>
  <w:style w:type="character" w:customStyle="1" w:styleId="Underline">
    <w:name w:val="Underline"/>
    <w:basedOn w:val="DefaultParagraphFont"/>
    <w:qFormat/>
    <w:rsid w:val="00061AAF"/>
    <w:rPr>
      <w:u w:val="single"/>
    </w:rPr>
  </w:style>
  <w:style w:type="paragraph" w:styleId="BalloonText">
    <w:name w:val="Balloon Text"/>
    <w:basedOn w:val="Normal"/>
    <w:link w:val="BalloonTextChar"/>
    <w:rsid w:val="00061AAF"/>
    <w:rPr>
      <w:rFonts w:ascii="Tahoma" w:hAnsi="Tahoma" w:cs="Tahoma"/>
      <w:sz w:val="16"/>
      <w:szCs w:val="16"/>
    </w:rPr>
  </w:style>
  <w:style w:type="character" w:customStyle="1" w:styleId="BalloonTextChar">
    <w:name w:val="Balloon Text Char"/>
    <w:basedOn w:val="DefaultParagraphFont"/>
    <w:link w:val="BalloonText"/>
    <w:rsid w:val="00061A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1A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1A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1805</Words>
  <Characters>11484</Characters>
  <Application>Microsoft Office Word</Application>
  <DocSecurity>0</DocSecurity>
  <Lines>413</Lines>
  <Paragraphs>223</Paragraphs>
  <ScaleCrop>false</ScaleCrop>
  <Company>Author-it Software Corporation Ltd.</Company>
  <LinksUpToDate>false</LinksUpToDate>
  <CharactersWithSpaces>13206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CPCCWC2001A Complete penetrations and flashings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2012-05-26T05:41:00Z</dcterms:created>
  <dcterms:modified xsi:type="dcterms:W3CDTF">2012-05-26T05:41:00Z</dcterms:modified>
</cp:coreProperties>
</file>