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723" w:rsidP="00740723">
      <w:pPr>
        <w:pStyle w:val="Title"/>
      </w:pPr>
      <w:r>
        <w:fldChar w:fldCharType="begin"/>
      </w:r>
      <w:r>
        <w:instrText xml:space="preserve"> TITLE   \* MERGEFORMAT </w:instrText>
      </w:r>
      <w:r>
        <w:fldChar w:fldCharType="separate"/>
      </w:r>
      <w:r>
        <w:t>CPCCSV6011A Apply legal procedures to building surveying</w:t>
      </w:r>
      <w:r>
        <w:fldChar w:fldCharType="end"/>
      </w:r>
    </w:p>
    <w:p w:rsidR="00740723" w:rsidP="00740723">
      <w:pPr>
        <w:pStyle w:val="Version"/>
        <w:sectPr w:rsidSect="00440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CAB" w:rsidP="00440CAB">
      <w:pPr>
        <w:pStyle w:val="SuperHeading"/>
      </w:pPr>
      <w:r w:rsidRPr="00440CAB">
        <w:t>CPCCSV6011A Apply legal procedures to building surveying</w:t>
      </w:r>
    </w:p>
    <w:p w:rsidR="00000000" w:rsidRPr="00440CAB" w:rsidP="00440CAB">
      <w:pPr>
        <w:pStyle w:val="Heading1"/>
      </w:pPr>
      <w:bookmarkStart w:id="1" w:name="O_269756"/>
      <w:bookmarkEnd w:id="1"/>
      <w:r w:rsidRPr="00440CAB">
        <w:t>Modification History</w:t>
      </w:r>
    </w:p>
    <w:p w:rsidR="00000000" w:rsidRPr="00440CAB" w:rsidP="00440CAB">
      <w:pPr>
        <w:pStyle w:val="BodyText"/>
      </w:pPr>
      <w:r w:rsidRPr="00440CAB">
        <w:t>Not Applicable</w:t>
      </w:r>
    </w:p>
    <w:p w:rsidR="00000000" w:rsidRPr="00440CAB" w:rsidP="00440CAB">
      <w:pPr>
        <w:pStyle w:val="AllowPageBreak"/>
      </w:pPr>
    </w:p>
    <w:p w:rsidR="00000000" w:rsidRPr="00440CAB" w:rsidP="00440CAB">
      <w:pPr>
        <w:pStyle w:val="Heading1"/>
      </w:pPr>
      <w:bookmarkStart w:id="2" w:name="O_199067"/>
      <w:bookmarkEnd w:id="2"/>
      <w:r w:rsidRPr="00440CAB">
        <w:t>Unit Descriptor</w:t>
      </w:r>
    </w:p>
    <w:tbl>
      <w:tblPr>
        <w:tblW w:w="0" w:type="auto"/>
        <w:tblLayout w:type="fixed"/>
        <w:tblCellMar>
          <w:left w:w="62" w:type="dxa"/>
          <w:right w:w="62" w:type="dxa"/>
        </w:tblCellMar>
        <w:tblLook w:val="0000"/>
      </w:tblPr>
      <w:tblGrid>
        <w:gridCol w:w="2643"/>
        <w:gridCol w:w="5879"/>
      </w:tblGrid>
      <w:tr w:rsidTr="0074072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This unit of competency specifies the outcomes required to advise on building cont</w:t>
            </w:r>
            <w:r w:rsidRPr="00440CAB">
              <w:t>rol activities in a court of law and present evidence in accordance with rules of evidence for civil and criminal trials.</w:t>
            </w:r>
          </w:p>
          <w:p w:rsidR="00000000" w:rsidRPr="00440CAB" w:rsidP="00440CAB">
            <w:pPr>
              <w:pStyle w:val="BodyText"/>
            </w:pPr>
            <w:r w:rsidRPr="00440CAB">
              <w:t>It includes the identification and application of the rules of statutory interpretation as they relate to building control legislation</w:t>
            </w:r>
            <w:r w:rsidRPr="00440CAB">
              <w:t>.</w:t>
            </w:r>
          </w:p>
        </w:tc>
      </w:tr>
    </w:tbl>
    <w:p w:rsidR="00740723" w:rsidP="00440CAB">
      <w:pPr>
        <w:pStyle w:val="BodyText"/>
      </w:pPr>
    </w:p>
    <w:p w:rsidR="00740723" w:rsidP="00440CAB">
      <w:pPr>
        <w:pStyle w:val="BodyText"/>
      </w:pPr>
    </w:p>
    <w:p w:rsidR="00000000" w:rsidRPr="00440CAB" w:rsidP="00440CAB">
      <w:pPr>
        <w:pStyle w:val="Heading1"/>
      </w:pPr>
      <w:bookmarkStart w:id="3" w:name="O_199071"/>
      <w:bookmarkEnd w:id="3"/>
      <w:r w:rsidRPr="00440CAB">
        <w:t>Application of the Unit</w:t>
      </w:r>
    </w:p>
    <w:tbl>
      <w:tblPr>
        <w:tblW w:w="0" w:type="auto"/>
        <w:tblLayout w:type="fixed"/>
        <w:tblCellMar>
          <w:left w:w="62" w:type="dxa"/>
          <w:right w:w="62" w:type="dxa"/>
        </w:tblCellMar>
        <w:tblLook w:val="0000"/>
      </w:tblPr>
      <w:tblGrid>
        <w:gridCol w:w="2708"/>
        <w:gridCol w:w="5814"/>
      </w:tblGrid>
      <w:tr w:rsidTr="00740723">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 xml:space="preserve">This unit of competency supports the attainment of the understanding and skills to apply legal procedures to building surveying within the </w:t>
            </w:r>
            <w:r w:rsidRPr="00440CAB">
              <w:t xml:space="preserve">context of common law, relevant legislation, the Building Code of Australia (BCA) and Australian standards. </w:t>
            </w:r>
          </w:p>
        </w:tc>
      </w:tr>
    </w:tbl>
    <w:p w:rsidR="00740723" w:rsidP="00440CAB">
      <w:pPr>
        <w:pStyle w:val="BodyText"/>
      </w:pPr>
    </w:p>
    <w:p w:rsidR="00740723" w:rsidP="00440CAB">
      <w:pPr>
        <w:pStyle w:val="BodyText"/>
      </w:pPr>
    </w:p>
    <w:p w:rsidR="00000000" w:rsidRPr="00440CAB" w:rsidP="00440CAB">
      <w:pPr>
        <w:pStyle w:val="Heading1"/>
      </w:pPr>
      <w:bookmarkStart w:id="4" w:name="O_278016"/>
      <w:bookmarkEnd w:id="4"/>
      <w:r w:rsidRPr="00440CAB">
        <w:t>Licensing/Regulatory Information</w:t>
      </w:r>
    </w:p>
    <w:p w:rsidR="00000000" w:rsidRPr="00440CAB" w:rsidP="00440CAB">
      <w:pPr>
        <w:pStyle w:val="BodyText"/>
      </w:pPr>
      <w:r w:rsidRPr="00440CAB">
        <w:t>Not Applicable</w:t>
      </w:r>
    </w:p>
    <w:p w:rsidR="00000000" w:rsidRPr="00440CAB" w:rsidP="00440CAB">
      <w:pPr>
        <w:pStyle w:val="AllowPageBreak"/>
      </w:pPr>
    </w:p>
    <w:p w:rsidR="00000000" w:rsidRPr="00440CAB" w:rsidP="00440CAB">
      <w:pPr>
        <w:pStyle w:val="Heading1"/>
      </w:pPr>
      <w:bookmarkStart w:id="5" w:name="O_199069"/>
      <w:bookmarkEnd w:id="5"/>
      <w:r w:rsidRPr="00440CAB">
        <w:t>Pre-Requisites</w:t>
      </w:r>
    </w:p>
    <w:tbl>
      <w:tblPr>
        <w:tblW w:w="0" w:type="auto"/>
        <w:tblLayout w:type="fixed"/>
        <w:tblCellMar>
          <w:left w:w="62" w:type="dxa"/>
          <w:right w:w="62" w:type="dxa"/>
        </w:tblCellMar>
        <w:tblLook w:val="0000"/>
      </w:tblPr>
      <w:tblGrid>
        <w:gridCol w:w="2718"/>
        <w:gridCol w:w="1322"/>
        <w:gridCol w:w="4482"/>
      </w:tblGrid>
      <w:tr w:rsidTr="00740723">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t>Nil</w:t>
            </w:r>
          </w:p>
        </w:tc>
      </w:tr>
      <w:tr w:rsidTr="00740723">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p>
        </w:tc>
      </w:tr>
      <w:tr w:rsidTr="00740723">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440CAB" w:rsidP="00440CAB">
            <w:pPr>
              <w:pStyle w:val="BodyText"/>
            </w:pPr>
          </w:p>
        </w:tc>
      </w:tr>
    </w:tbl>
    <w:p w:rsidR="00740723" w:rsidP="00440CAB">
      <w:pPr>
        <w:pStyle w:val="BodyText"/>
      </w:pPr>
    </w:p>
    <w:p w:rsidR="00740723" w:rsidP="00440CAB">
      <w:pPr>
        <w:pStyle w:val="BodyText"/>
      </w:pPr>
    </w:p>
    <w:p w:rsidR="00000000" w:rsidRPr="00440CAB" w:rsidP="00440CAB">
      <w:pPr>
        <w:pStyle w:val="Heading1"/>
      </w:pPr>
      <w:bookmarkStart w:id="6" w:name="O_199068"/>
      <w:bookmarkEnd w:id="6"/>
      <w:r w:rsidRPr="00440CAB">
        <w:t>Employability Skills Information</w:t>
      </w:r>
    </w:p>
    <w:tbl>
      <w:tblPr>
        <w:tblW w:w="0" w:type="auto"/>
        <w:tblLayout w:type="fixed"/>
        <w:tblCellMar>
          <w:left w:w="62" w:type="dxa"/>
          <w:right w:w="62" w:type="dxa"/>
        </w:tblCellMar>
        <w:tblLook w:val="0000"/>
      </w:tblPr>
      <w:tblGrid>
        <w:gridCol w:w="2744"/>
        <w:gridCol w:w="5778"/>
      </w:tblGrid>
      <w:tr w:rsidTr="00740723">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This unit contains employability skills.</w:t>
            </w:r>
          </w:p>
        </w:tc>
      </w:tr>
    </w:tbl>
    <w:p w:rsidR="00740723" w:rsidP="00440CAB">
      <w:pPr>
        <w:pStyle w:val="BodyText"/>
      </w:pPr>
    </w:p>
    <w:p w:rsidR="00740723" w:rsidP="00440CAB">
      <w:pPr>
        <w:pStyle w:val="BodyText"/>
      </w:pPr>
    </w:p>
    <w:p w:rsidR="00000000" w:rsidRPr="00440CAB" w:rsidP="00440CAB">
      <w:pPr>
        <w:pStyle w:val="Heading1"/>
      </w:pPr>
      <w:bookmarkStart w:id="7" w:name="O_287802"/>
      <w:bookmarkEnd w:id="7"/>
      <w:r w:rsidRPr="00440CAB">
        <w:t>Elements and Performance Criteria Pre-Content</w:t>
      </w:r>
    </w:p>
    <w:tbl>
      <w:tblPr>
        <w:tblW w:w="0" w:type="auto"/>
        <w:tblLayout w:type="fixed"/>
        <w:tblCellMar>
          <w:left w:w="62" w:type="dxa"/>
          <w:right w:w="62" w:type="dxa"/>
        </w:tblCellMar>
        <w:tblLook w:val="0000"/>
      </w:tblPr>
      <w:tblGrid>
        <w:gridCol w:w="2591"/>
        <w:gridCol w:w="5931"/>
      </w:tblGrid>
      <w:tr w:rsidTr="00740723">
        <w:tblPrEx>
          <w:tblW w:w="0" w:type="auto"/>
          <w:tblLayout w:type="fixed"/>
          <w:tblCellMar>
            <w:left w:w="62" w:type="dxa"/>
            <w:right w:w="62" w:type="dxa"/>
          </w:tblCellMar>
          <w:tblLook w:val="0000"/>
        </w:tblPrEx>
        <w:tc>
          <w:tcPr>
            <w:tcW w:w="2591" w:type="dxa"/>
            <w:tcBorders>
              <w:top w:val="single" w:sz="6" w:space="0" w:color="auto"/>
              <w:left w:val="nil"/>
              <w:bottom w:val="nil"/>
              <w:right w:val="nil"/>
            </w:tcBorders>
            <w:tcMar>
              <w:top w:w="0" w:type="dxa"/>
              <w:left w:w="62" w:type="dxa"/>
              <w:bottom w:w="0" w:type="dxa"/>
              <w:right w:w="62" w:type="dxa"/>
            </w:tcMar>
          </w:tcPr>
          <w:p w:rsidR="00000000" w:rsidP="00440CAB">
            <w:pPr>
              <w:pStyle w:val="BodyText"/>
              <w:rPr>
                <w:lang w:val="en-NZ"/>
              </w:rPr>
            </w:pPr>
            <w:r w:rsidRPr="00440CAB">
              <w:t>Elements describe the essential outcomes of a unit of competency.</w:t>
            </w:r>
          </w:p>
        </w:tc>
        <w:tc>
          <w:tcPr>
            <w:tcW w:w="5931" w:type="dxa"/>
            <w:tcBorders>
              <w:top w:val="single" w:sz="6" w:space="0" w:color="auto"/>
              <w:left w:val="nil"/>
              <w:bottom w:val="nil"/>
              <w:right w:val="nil"/>
            </w:tcBorders>
            <w:tcMar>
              <w:top w:w="0" w:type="dxa"/>
              <w:left w:w="62" w:type="dxa"/>
              <w:bottom w:w="0" w:type="dxa"/>
              <w:right w:w="62" w:type="dxa"/>
            </w:tcMar>
          </w:tcPr>
          <w:p w:rsidR="00000000" w:rsidRPr="00440CAB" w:rsidP="00440CAB">
            <w:pPr>
              <w:pStyle w:val="BodyText"/>
            </w:pPr>
            <w:r w:rsidRPr="00440CAB">
              <w:t>Performance criteria describe the performance needed to demonstrate achievement of the element. Where bold italicised text is used, further information is detailed in the required skills and knowledge section and the range statement. Assessment of performa</w:t>
            </w:r>
            <w:r w:rsidRPr="00440CAB">
              <w:t>nce is to be consistent with the evidence guide.</w:t>
            </w:r>
          </w:p>
        </w:tc>
      </w:tr>
    </w:tbl>
    <w:p w:rsidR="00000000" w:rsidRPr="00440CAB" w:rsidP="00440CAB">
      <w:pPr>
        <w:pStyle w:val="BodyText"/>
      </w:pPr>
    </w:p>
    <w:p w:rsidR="00000000" w:rsidRPr="00440CAB" w:rsidP="00440CAB">
      <w:pPr>
        <w:pStyle w:val="AllowPageBreak"/>
      </w:pPr>
    </w:p>
    <w:p w:rsidR="00000000" w:rsidRPr="00440CAB" w:rsidP="00440CAB">
      <w:pPr>
        <w:pStyle w:val="Heading1"/>
      </w:pPr>
      <w:bookmarkStart w:id="8" w:name="O_234469"/>
      <w:bookmarkEnd w:id="8"/>
      <w:r w:rsidRPr="00440CAB">
        <w:t>Elements and Performance Criteria</w:t>
      </w:r>
    </w:p>
    <w:tbl>
      <w:tblPr>
        <w:tblW w:w="0" w:type="auto"/>
        <w:tblLayout w:type="fixed"/>
        <w:tblCellMar>
          <w:left w:w="62" w:type="dxa"/>
          <w:right w:w="62" w:type="dxa"/>
        </w:tblCellMar>
        <w:tblLook w:val="0000"/>
      </w:tblPr>
      <w:tblGrid>
        <w:gridCol w:w="2591"/>
        <w:gridCol w:w="5931"/>
      </w:tblGrid>
      <w:tr w:rsidTr="00740723">
        <w:tblPrEx>
          <w:tblW w:w="0" w:type="auto"/>
          <w:tblLayout w:type="fixed"/>
          <w:tblCellMar>
            <w:left w:w="62" w:type="dxa"/>
            <w:right w:w="62" w:type="dxa"/>
          </w:tblCellMar>
          <w:tblLook w:val="0000"/>
        </w:tblPrEx>
        <w:trPr>
          <w:tblHeader/>
        </w:trPr>
        <w:tc>
          <w:tcPr>
            <w:tcW w:w="2591" w:type="dxa"/>
            <w:tcBorders>
              <w:top w:val="nil"/>
              <w:left w:val="nil"/>
              <w:bottom w:val="single" w:sz="6" w:space="0" w:color="auto"/>
              <w:right w:val="nil"/>
            </w:tcBorders>
            <w:tcMar>
              <w:top w:w="0" w:type="dxa"/>
              <w:left w:w="62" w:type="dxa"/>
              <w:bottom w:w="0" w:type="dxa"/>
              <w:right w:w="62" w:type="dxa"/>
            </w:tcMar>
          </w:tcPr>
          <w:p w:rsidR="00000000" w:rsidRPr="00440CAB" w:rsidP="00440CAB">
            <w:pPr>
              <w:pStyle w:val="BodyText"/>
            </w:pPr>
            <w:r w:rsidRPr="00440CAB">
              <w:rPr>
                <w:rStyle w:val="SpecialBold"/>
              </w:rPr>
              <w:t>ELEMENT</w:t>
            </w:r>
          </w:p>
        </w:tc>
        <w:tc>
          <w:tcPr>
            <w:tcW w:w="5931" w:type="dxa"/>
            <w:tcBorders>
              <w:top w:val="nil"/>
              <w:left w:val="nil"/>
              <w:bottom w:val="single" w:sz="6" w:space="0" w:color="auto"/>
              <w:right w:val="nil"/>
            </w:tcBorders>
            <w:tcMar>
              <w:top w:w="0" w:type="dxa"/>
              <w:left w:w="62" w:type="dxa"/>
              <w:bottom w:w="0" w:type="dxa"/>
              <w:right w:w="62" w:type="dxa"/>
            </w:tcMar>
          </w:tcPr>
          <w:p w:rsidR="00000000" w:rsidP="00440CAB">
            <w:pPr>
              <w:pStyle w:val="BodyText"/>
              <w:rPr>
                <w:lang w:val="en-NZ"/>
              </w:rPr>
            </w:pPr>
            <w:r w:rsidRPr="00440CAB">
              <w:rPr>
                <w:rStyle w:val="SpecialBold"/>
              </w:rPr>
              <w:t>PERFORMANCE CRITERIA</w:t>
            </w:r>
          </w:p>
        </w:tc>
      </w:tr>
      <w:tr w:rsidTr="00740723">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440CAB">
            <w:pPr>
              <w:pStyle w:val="List"/>
              <w:rPr>
                <w:lang w:val="en-NZ"/>
              </w:rPr>
            </w:pPr>
            <w:r w:rsidRPr="00440CAB">
              <w:t>1.</w:t>
            </w:r>
            <w:r w:rsidRPr="00440CAB">
              <w:tab/>
              <w:t>Distinguish between common law, judicial precedent and legislation.</w:t>
            </w:r>
          </w:p>
        </w:tc>
        <w:tc>
          <w:tcPr>
            <w:tcW w:w="5931" w:type="dxa"/>
            <w:tcBorders>
              <w:top w:val="nil"/>
              <w:left w:val="nil"/>
              <w:bottom w:val="nil"/>
              <w:right w:val="nil"/>
            </w:tcBorders>
            <w:tcMar>
              <w:top w:w="0" w:type="dxa"/>
              <w:left w:w="62" w:type="dxa"/>
              <w:bottom w:w="0" w:type="dxa"/>
              <w:right w:w="62" w:type="dxa"/>
            </w:tcMar>
          </w:tcPr>
          <w:p w:rsidR="00000000" w:rsidRPr="00440CAB" w:rsidP="00440CAB">
            <w:pPr>
              <w:pStyle w:val="List2"/>
            </w:pPr>
            <w:r w:rsidRPr="00440CAB">
              <w:t>1.1.</w:t>
            </w:r>
            <w:r w:rsidRPr="00440CAB">
              <w:tab/>
              <w:t xml:space="preserve">Common law in the </w:t>
            </w:r>
            <w:r w:rsidRPr="00440CAB">
              <w:rPr>
                <w:rStyle w:val="BoldandItalics"/>
              </w:rPr>
              <w:t>Australian legal system</w:t>
            </w:r>
            <w:r w:rsidRPr="00440CAB">
              <w:t xml:space="preserve"> is analysed and documented. </w:t>
            </w:r>
          </w:p>
          <w:p w:rsidR="00000000" w:rsidRPr="00440CAB" w:rsidP="00440CAB">
            <w:pPr>
              <w:pStyle w:val="List2"/>
            </w:pPr>
            <w:r w:rsidRPr="00440CAB">
              <w:t>1.2.</w:t>
            </w:r>
            <w:r w:rsidRPr="00440CAB">
              <w:tab/>
              <w:t>Binding and persuasive precedent is analysed and interpreted.</w:t>
            </w:r>
          </w:p>
          <w:p w:rsidR="00000000" w:rsidRPr="00440CAB" w:rsidP="00440CAB">
            <w:pPr>
              <w:pStyle w:val="List2"/>
            </w:pPr>
            <w:r w:rsidRPr="00440CAB">
              <w:t>1.3.</w:t>
            </w:r>
            <w:r w:rsidRPr="00440CAB">
              <w:tab/>
              <w:t xml:space="preserve">Relationship between common law and </w:t>
            </w:r>
            <w:r w:rsidRPr="00440CAB">
              <w:rPr>
                <w:rStyle w:val="BoldandItalics"/>
              </w:rPr>
              <w:t>statute law</w:t>
            </w:r>
            <w:r w:rsidRPr="00440CAB">
              <w:t xml:space="preserve"> is analysed and documented. </w:t>
            </w:r>
          </w:p>
          <w:p w:rsidR="00000000" w:rsidRPr="00440CAB" w:rsidP="00440CAB">
            <w:pPr>
              <w:pStyle w:val="List2"/>
            </w:pPr>
            <w:r w:rsidRPr="00440CAB">
              <w:t>1.4.</w:t>
            </w:r>
            <w:r w:rsidRPr="00440CAB">
              <w:tab/>
              <w:t>Delegated legislation and authorities' allocated specific powers are doc</w:t>
            </w:r>
            <w:r w:rsidRPr="00440CAB">
              <w:t>umented.</w:t>
            </w:r>
          </w:p>
          <w:p w:rsidR="00000000" w:rsidP="00440CAB">
            <w:pPr>
              <w:pStyle w:val="List2"/>
              <w:rPr>
                <w:lang w:val="en-NZ"/>
              </w:rPr>
            </w:pPr>
            <w:r w:rsidRPr="00440CAB">
              <w:t>1.5.</w:t>
            </w:r>
            <w:r w:rsidRPr="00440CAB">
              <w:tab/>
              <w:t>Legal practice of reading case law and law updates are appraised and noted.</w:t>
            </w:r>
          </w:p>
        </w:tc>
      </w:tr>
      <w:tr w:rsidTr="00740723">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440CAB">
            <w:pPr>
              <w:pStyle w:val="List"/>
              <w:rPr>
                <w:lang w:val="en-NZ"/>
              </w:rPr>
            </w:pPr>
            <w:r w:rsidRPr="00440CAB">
              <w:t>2.</w:t>
            </w:r>
            <w:r w:rsidRPr="00440CAB">
              <w:tab/>
              <w:t>Identify and interpret the court hierarchy and the civil/criminal jurisdictions of each court.</w:t>
            </w:r>
          </w:p>
        </w:tc>
        <w:tc>
          <w:tcPr>
            <w:tcW w:w="5931" w:type="dxa"/>
            <w:tcBorders>
              <w:top w:val="nil"/>
              <w:left w:val="nil"/>
              <w:bottom w:val="nil"/>
              <w:right w:val="nil"/>
            </w:tcBorders>
            <w:tcMar>
              <w:top w:w="0" w:type="dxa"/>
              <w:left w:w="62" w:type="dxa"/>
              <w:bottom w:w="0" w:type="dxa"/>
              <w:right w:w="62" w:type="dxa"/>
            </w:tcMar>
          </w:tcPr>
          <w:p w:rsidR="00000000" w:rsidRPr="00440CAB" w:rsidP="00440CAB">
            <w:pPr>
              <w:pStyle w:val="List2"/>
            </w:pPr>
            <w:r w:rsidRPr="00440CAB">
              <w:t>2.1.</w:t>
            </w:r>
            <w:r w:rsidRPr="00440CAB">
              <w:tab/>
              <w:t>Civil/criminal court hierarchy is analysed and documented.</w:t>
            </w:r>
          </w:p>
          <w:p w:rsidR="00000000" w:rsidRPr="00440CAB" w:rsidP="00440CAB">
            <w:pPr>
              <w:pStyle w:val="List2"/>
            </w:pPr>
            <w:r w:rsidRPr="00440CAB">
              <w:t>2.2.</w:t>
            </w:r>
            <w:r w:rsidRPr="00440CAB">
              <w:tab/>
              <w:t xml:space="preserve">Details of the </w:t>
            </w:r>
            <w:r w:rsidRPr="00440CAB">
              <w:rPr>
                <w:rStyle w:val="BoldandItalics"/>
              </w:rPr>
              <w:t>types of courts</w:t>
            </w:r>
            <w:r w:rsidRPr="00440CAB">
              <w:t xml:space="preserve"> for civil/criminal jurisdiction of each court are analysed and documented. </w:t>
            </w:r>
          </w:p>
          <w:p w:rsidR="00000000" w:rsidRPr="00440CAB" w:rsidP="00440CAB">
            <w:pPr>
              <w:pStyle w:val="List2"/>
            </w:pPr>
            <w:r w:rsidRPr="00440CAB">
              <w:t>2.3.</w:t>
            </w:r>
            <w:r w:rsidRPr="00440CAB">
              <w:tab/>
              <w:t>System of civil/criminal appeals is identified and documented.</w:t>
            </w:r>
          </w:p>
          <w:p w:rsidR="00000000" w:rsidRPr="00440CAB" w:rsidP="00440CAB">
            <w:pPr>
              <w:pStyle w:val="List2"/>
            </w:pPr>
            <w:r w:rsidRPr="00440CAB">
              <w:t>2.4.</w:t>
            </w:r>
            <w:r w:rsidRPr="00440CAB">
              <w:tab/>
              <w:t>Jurisdiction that the coroner's court has in regulatory practice and it</w:t>
            </w:r>
            <w:r w:rsidRPr="00440CAB">
              <w:t>s role in legislative reform are identified and documented.</w:t>
            </w:r>
          </w:p>
          <w:p w:rsidR="00000000" w:rsidP="00440CAB">
            <w:pPr>
              <w:pStyle w:val="List2"/>
              <w:rPr>
                <w:lang w:val="en-NZ"/>
              </w:rPr>
            </w:pPr>
            <w:r w:rsidRPr="00440CAB">
              <w:t>2.5.</w:t>
            </w:r>
            <w:r w:rsidRPr="00440CAB">
              <w:tab/>
              <w:t>Role of legal personnel in the court system is identified and documented.</w:t>
            </w:r>
          </w:p>
        </w:tc>
      </w:tr>
      <w:tr w:rsidTr="00740723">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440CAB">
            <w:pPr>
              <w:pStyle w:val="List"/>
              <w:rPr>
                <w:lang w:val="en-NZ"/>
              </w:rPr>
            </w:pPr>
            <w:r w:rsidRPr="00440CAB">
              <w:t>3.</w:t>
            </w:r>
            <w:r w:rsidRPr="00440CAB">
              <w:tab/>
              <w:t>Identify and interpret courtroom procedures.</w:t>
            </w:r>
          </w:p>
        </w:tc>
        <w:tc>
          <w:tcPr>
            <w:tcW w:w="5931" w:type="dxa"/>
            <w:tcBorders>
              <w:top w:val="nil"/>
              <w:left w:val="nil"/>
              <w:bottom w:val="nil"/>
              <w:right w:val="nil"/>
            </w:tcBorders>
            <w:tcMar>
              <w:top w:w="0" w:type="dxa"/>
              <w:left w:w="62" w:type="dxa"/>
              <w:bottom w:w="0" w:type="dxa"/>
              <w:right w:w="62" w:type="dxa"/>
            </w:tcMar>
          </w:tcPr>
          <w:p w:rsidR="00000000" w:rsidRPr="00440CAB" w:rsidP="00440CAB">
            <w:pPr>
              <w:pStyle w:val="List2"/>
            </w:pPr>
            <w:r w:rsidRPr="00440CAB">
              <w:t>3.1.</w:t>
            </w:r>
            <w:r w:rsidRPr="00440CAB">
              <w:tab/>
              <w:t>Court examination procedures are identified and documented.</w:t>
            </w:r>
          </w:p>
          <w:p w:rsidR="00000000" w:rsidRPr="00440CAB" w:rsidP="00440CAB">
            <w:pPr>
              <w:pStyle w:val="List2"/>
            </w:pPr>
            <w:r w:rsidRPr="00440CAB">
              <w:t>3.2</w:t>
            </w:r>
            <w:r w:rsidRPr="00440CAB">
              <w:t>.</w:t>
            </w:r>
            <w:r w:rsidRPr="00440CAB">
              <w:tab/>
              <w:t>Role of a judge and jury in a civil/criminal trial and eligibility to attend for jury service are identified and documented.</w:t>
            </w:r>
          </w:p>
          <w:p w:rsidR="00000000" w:rsidRPr="00440CAB" w:rsidP="00440CAB">
            <w:pPr>
              <w:pStyle w:val="List2"/>
            </w:pPr>
            <w:r w:rsidRPr="00440CAB">
              <w:t>3.3.</w:t>
            </w:r>
            <w:r w:rsidRPr="00440CAB">
              <w:tab/>
              <w:t>Format of a prosecution brief is identified and documented.</w:t>
            </w:r>
          </w:p>
          <w:p w:rsidR="00000000" w:rsidRPr="00440CAB" w:rsidP="00440CAB">
            <w:pPr>
              <w:pStyle w:val="List2"/>
            </w:pPr>
            <w:r w:rsidRPr="00440CAB">
              <w:t>3.4.</w:t>
            </w:r>
            <w:r w:rsidRPr="00440CAB">
              <w:tab/>
              <w:t>Appropriate manner of entering in to and departing courts o</w:t>
            </w:r>
            <w:r w:rsidRPr="00440CAB">
              <w:t>r tribunals is adhered to.</w:t>
            </w:r>
          </w:p>
          <w:p w:rsidR="00000000" w:rsidRPr="00440CAB" w:rsidP="00440CAB">
            <w:pPr>
              <w:pStyle w:val="List2"/>
            </w:pPr>
            <w:r w:rsidRPr="00440CAB">
              <w:t>3.5.</w:t>
            </w:r>
            <w:r w:rsidRPr="00440CAB">
              <w:tab/>
              <w:t>Appropriate manner of addressing courts or tribunals is adhered to.</w:t>
            </w:r>
          </w:p>
          <w:p w:rsidR="00000000" w:rsidP="00440CAB">
            <w:pPr>
              <w:pStyle w:val="List2"/>
              <w:rPr>
                <w:lang w:val="en-NZ"/>
              </w:rPr>
            </w:pPr>
            <w:r w:rsidRPr="00440CAB">
              <w:t>3.6.</w:t>
            </w:r>
            <w:r w:rsidRPr="00440CAB">
              <w:tab/>
              <w:t>Relevant legal language is applied.</w:t>
            </w:r>
          </w:p>
        </w:tc>
      </w:tr>
      <w:tr w:rsidTr="00740723">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440CAB">
            <w:pPr>
              <w:pStyle w:val="List"/>
              <w:rPr>
                <w:lang w:val="en-NZ"/>
              </w:rPr>
            </w:pPr>
            <w:r w:rsidRPr="00440CAB">
              <w:t>4.</w:t>
            </w:r>
            <w:r w:rsidRPr="00440CAB">
              <w:tab/>
              <w:t>Identify types of offences and defences within criminal law.</w:t>
            </w:r>
          </w:p>
        </w:tc>
        <w:tc>
          <w:tcPr>
            <w:tcW w:w="5931" w:type="dxa"/>
            <w:tcBorders>
              <w:top w:val="nil"/>
              <w:left w:val="nil"/>
              <w:bottom w:val="nil"/>
              <w:right w:val="nil"/>
            </w:tcBorders>
            <w:tcMar>
              <w:top w:w="0" w:type="dxa"/>
              <w:left w:w="62" w:type="dxa"/>
              <w:bottom w:w="0" w:type="dxa"/>
              <w:right w:w="62" w:type="dxa"/>
            </w:tcMar>
          </w:tcPr>
          <w:p w:rsidR="00000000" w:rsidRPr="00440CAB" w:rsidP="00440CAB">
            <w:pPr>
              <w:pStyle w:val="List2"/>
            </w:pPr>
            <w:r w:rsidRPr="00440CAB">
              <w:t>4.1.</w:t>
            </w:r>
            <w:r w:rsidRPr="00440CAB">
              <w:tab/>
              <w:t>Presumption of innocence in a criminal case a</w:t>
            </w:r>
            <w:r w:rsidRPr="00440CAB">
              <w:t>nd the burden of proof are analysed and documented.</w:t>
            </w:r>
          </w:p>
          <w:p w:rsidR="00000000" w:rsidRPr="00440CAB" w:rsidP="00440CAB">
            <w:pPr>
              <w:pStyle w:val="List2"/>
            </w:pPr>
            <w:r w:rsidRPr="00440CAB">
              <w:t>4.2.</w:t>
            </w:r>
            <w:r w:rsidRPr="00440CAB">
              <w:tab/>
              <w:t>General principles of criminal liability are determined.</w:t>
            </w:r>
          </w:p>
          <w:p w:rsidR="00000000" w:rsidRPr="00440CAB" w:rsidP="00440CAB">
            <w:pPr>
              <w:pStyle w:val="List2"/>
            </w:pPr>
            <w:r w:rsidRPr="00440CAB">
              <w:t>4.3.</w:t>
            </w:r>
            <w:r w:rsidRPr="00440CAB">
              <w:tab/>
              <w:t>Differences between summary and indictable offences are analysed and documented.</w:t>
            </w:r>
          </w:p>
          <w:p w:rsidR="00000000" w:rsidP="00440CAB">
            <w:pPr>
              <w:pStyle w:val="List2"/>
              <w:rPr>
                <w:lang w:val="en-NZ"/>
              </w:rPr>
            </w:pPr>
            <w:r w:rsidRPr="00440CAB">
              <w:t>4.4.</w:t>
            </w:r>
            <w:r w:rsidRPr="00440CAB">
              <w:tab/>
              <w:t>Types of defences are analysed and documented.</w:t>
            </w:r>
          </w:p>
        </w:tc>
      </w:tr>
      <w:tr w:rsidTr="00740723">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440CAB">
            <w:pPr>
              <w:pStyle w:val="List"/>
              <w:rPr>
                <w:lang w:val="en-NZ"/>
              </w:rPr>
            </w:pPr>
            <w:r w:rsidRPr="00440CAB">
              <w:t>5.</w:t>
            </w:r>
            <w:r w:rsidRPr="00440CAB">
              <w:tab/>
            </w:r>
            <w:r w:rsidRPr="00440CAB">
              <w:t>Detail types of evidence admissible in a civil/criminal trial.</w:t>
            </w:r>
          </w:p>
        </w:tc>
        <w:tc>
          <w:tcPr>
            <w:tcW w:w="5931" w:type="dxa"/>
            <w:tcBorders>
              <w:top w:val="nil"/>
              <w:left w:val="nil"/>
              <w:bottom w:val="nil"/>
              <w:right w:val="nil"/>
            </w:tcBorders>
            <w:tcMar>
              <w:top w:w="0" w:type="dxa"/>
              <w:left w:w="62" w:type="dxa"/>
              <w:bottom w:w="0" w:type="dxa"/>
              <w:right w:w="62" w:type="dxa"/>
            </w:tcMar>
          </w:tcPr>
          <w:p w:rsidR="00000000" w:rsidRPr="00440CAB" w:rsidP="00440CAB">
            <w:pPr>
              <w:pStyle w:val="List2"/>
            </w:pPr>
            <w:r w:rsidRPr="00440CAB">
              <w:t>5.1.</w:t>
            </w:r>
            <w:r w:rsidRPr="00440CAB">
              <w:tab/>
            </w:r>
            <w:r w:rsidRPr="00440CAB">
              <w:rPr>
                <w:rStyle w:val="BoldandItalics"/>
              </w:rPr>
              <w:t>Types of evidence</w:t>
            </w:r>
            <w:r w:rsidRPr="00440CAB">
              <w:t xml:space="preserve"> are analysed and documented. </w:t>
            </w:r>
          </w:p>
          <w:p w:rsidR="00000000" w:rsidRPr="00440CAB" w:rsidP="00440CAB">
            <w:pPr>
              <w:pStyle w:val="List2"/>
            </w:pPr>
            <w:r w:rsidRPr="00440CAB">
              <w:t>5.2.</w:t>
            </w:r>
            <w:r w:rsidRPr="00440CAB">
              <w:tab/>
              <w:t>Differences between types of evidence in a court of law are defined and outlined.</w:t>
            </w:r>
          </w:p>
          <w:p w:rsidR="00000000" w:rsidP="00440CAB">
            <w:pPr>
              <w:pStyle w:val="List2"/>
              <w:rPr>
                <w:lang w:val="en-NZ"/>
              </w:rPr>
            </w:pPr>
            <w:r w:rsidRPr="00440CAB">
              <w:t>5.3.</w:t>
            </w:r>
            <w:r w:rsidRPr="00440CAB">
              <w:tab/>
              <w:t>Evidence rules are identified and documented.</w:t>
            </w:r>
          </w:p>
        </w:tc>
      </w:tr>
      <w:tr w:rsidTr="00740723">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440CAB">
            <w:pPr>
              <w:pStyle w:val="List"/>
              <w:rPr>
                <w:lang w:val="en-NZ"/>
              </w:rPr>
            </w:pPr>
            <w:r w:rsidRPr="00440CAB">
              <w:t>6</w:t>
            </w:r>
            <w:r w:rsidRPr="00440CAB">
              <w:t>.</w:t>
            </w:r>
            <w:r w:rsidRPr="00440CAB">
              <w:tab/>
              <w:t>Identify the rules of statutory interpretation.</w:t>
            </w:r>
          </w:p>
        </w:tc>
        <w:tc>
          <w:tcPr>
            <w:tcW w:w="5931" w:type="dxa"/>
            <w:tcBorders>
              <w:top w:val="nil"/>
              <w:left w:val="nil"/>
              <w:bottom w:val="nil"/>
              <w:right w:val="nil"/>
            </w:tcBorders>
            <w:tcMar>
              <w:top w:w="0" w:type="dxa"/>
              <w:left w:w="62" w:type="dxa"/>
              <w:bottom w:w="0" w:type="dxa"/>
              <w:right w:w="62" w:type="dxa"/>
            </w:tcMar>
          </w:tcPr>
          <w:p w:rsidR="00000000" w:rsidRPr="00440CAB" w:rsidP="00440CAB">
            <w:pPr>
              <w:pStyle w:val="List2"/>
            </w:pPr>
            <w:r w:rsidRPr="00440CAB">
              <w:t>6.1.</w:t>
            </w:r>
            <w:r w:rsidRPr="00440CAB">
              <w:tab/>
              <w:t>Acts of parliament and subordinate legislation as a source of law are analysed and documented.</w:t>
            </w:r>
          </w:p>
          <w:p w:rsidR="00000000" w:rsidRPr="00440CAB" w:rsidP="00440CAB">
            <w:pPr>
              <w:pStyle w:val="List2"/>
            </w:pPr>
            <w:r w:rsidRPr="00440CAB">
              <w:t>6.2.</w:t>
            </w:r>
            <w:r w:rsidRPr="00440CAB">
              <w:tab/>
              <w:t xml:space="preserve">Extrinsic and intrinsic material as they relate to </w:t>
            </w:r>
            <w:r w:rsidRPr="00440CAB">
              <w:rPr>
                <w:rStyle w:val="BoldandItalics"/>
              </w:rPr>
              <w:t>federal</w:t>
            </w:r>
            <w:r w:rsidRPr="00440CAB">
              <w:t xml:space="preserve">, </w:t>
            </w:r>
            <w:r w:rsidRPr="00440CAB">
              <w:rPr>
                <w:rStyle w:val="BoldandItalics"/>
              </w:rPr>
              <w:t>state or territory</w:t>
            </w:r>
            <w:r w:rsidRPr="00440CAB">
              <w:t xml:space="preserve"> Interpretation Acts ar</w:t>
            </w:r>
            <w:r w:rsidRPr="00440CAB">
              <w:t xml:space="preserve">e identified and documented. </w:t>
            </w:r>
          </w:p>
          <w:p w:rsidR="00000000" w:rsidRPr="00440CAB" w:rsidP="00440CAB">
            <w:pPr>
              <w:pStyle w:val="List2"/>
            </w:pPr>
            <w:r w:rsidRPr="00440CAB">
              <w:t>6.3.</w:t>
            </w:r>
            <w:r w:rsidRPr="00440CAB">
              <w:tab/>
            </w:r>
            <w:r w:rsidRPr="00440CAB">
              <w:rPr>
                <w:rStyle w:val="BoldandItalics"/>
              </w:rPr>
              <w:t>Syntactical presumptions</w:t>
            </w:r>
            <w:r w:rsidRPr="00440CAB">
              <w:t xml:space="preserve"> are analysed and documented. </w:t>
            </w:r>
          </w:p>
          <w:p w:rsidR="00000000" w:rsidRPr="00440CAB" w:rsidP="00440CAB">
            <w:pPr>
              <w:pStyle w:val="List2"/>
            </w:pPr>
            <w:r w:rsidRPr="00440CAB">
              <w:t>6.4.</w:t>
            </w:r>
            <w:r w:rsidRPr="00440CAB">
              <w:tab/>
              <w:t xml:space="preserve">General approaches to </w:t>
            </w:r>
            <w:r w:rsidRPr="00440CAB">
              <w:rPr>
                <w:rStyle w:val="BoldandItalics"/>
              </w:rPr>
              <w:t>statutory interpretation</w:t>
            </w:r>
            <w:r w:rsidRPr="00440CAB">
              <w:t xml:space="preserve"> are identified and analysed. </w:t>
            </w:r>
          </w:p>
        </w:tc>
      </w:tr>
    </w:tbl>
    <w:p w:rsidR="00740723" w:rsidP="00440CAB">
      <w:pPr>
        <w:pStyle w:val="BodyText"/>
      </w:pPr>
    </w:p>
    <w:p w:rsidR="00740723" w:rsidP="00440CAB">
      <w:pPr>
        <w:pStyle w:val="BodyText"/>
      </w:pPr>
    </w:p>
    <w:p w:rsidR="00000000" w:rsidRPr="00440CAB" w:rsidP="00440CAB">
      <w:pPr>
        <w:pStyle w:val="Heading1"/>
      </w:pPr>
      <w:bookmarkStart w:id="9" w:name="O_258419"/>
      <w:bookmarkEnd w:id="9"/>
      <w:r w:rsidRPr="00440CAB">
        <w:t>Required Skills and Knowledge</w:t>
      </w:r>
    </w:p>
    <w:tbl>
      <w:tblPr>
        <w:tblW w:w="0" w:type="auto"/>
        <w:tblLayout w:type="fixed"/>
        <w:tblCellMar>
          <w:left w:w="62" w:type="dxa"/>
          <w:right w:w="62" w:type="dxa"/>
        </w:tblCellMar>
        <w:tblLook w:val="0000"/>
      </w:tblPr>
      <w:tblGrid>
        <w:gridCol w:w="8522"/>
      </w:tblGrid>
      <w:tr w:rsidTr="0074072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REQUIRED SKILLS AND KNOWLEDGE</w:t>
            </w:r>
          </w:p>
        </w:tc>
      </w:tr>
      <w:tr w:rsidTr="007407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t>This section describes the skills and knowledge required for this unit.</w:t>
            </w:r>
          </w:p>
        </w:tc>
      </w:tr>
      <w:tr w:rsidTr="007407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Required skills</w:t>
            </w:r>
          </w:p>
        </w:tc>
      </w:tr>
      <w:tr w:rsidTr="007407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Required skills for this unit are:</w:t>
            </w:r>
          </w:p>
          <w:p w:rsidR="00000000" w:rsidRPr="00440CAB" w:rsidP="00440CAB">
            <w:pPr>
              <w:pStyle w:val="ListBullet"/>
            </w:pPr>
            <w:r w:rsidRPr="00440CAB">
              <w:t xml:space="preserve">ability to respond to change and contribute to workplace responsibilities, such </w:t>
            </w:r>
            <w:r w:rsidRPr="00440CAB">
              <w:t>as current work site environmental and sustainability frameworks or management systems</w:t>
            </w:r>
          </w:p>
          <w:p w:rsidR="00000000" w:rsidRPr="00440CAB" w:rsidP="00440CAB">
            <w:pPr>
              <w:pStyle w:val="ListBullet"/>
            </w:pPr>
            <w:r w:rsidRPr="00440CAB">
              <w:t>communication skills to:</w:t>
            </w:r>
          </w:p>
          <w:p w:rsidR="00000000" w:rsidRPr="00440CAB" w:rsidP="00440CAB">
            <w:pPr>
              <w:pStyle w:val="ListBullet2"/>
            </w:pPr>
            <w:r w:rsidRPr="00440CAB">
              <w:t>address courts/tribunals</w:t>
            </w:r>
          </w:p>
          <w:p w:rsidR="00000000" w:rsidRPr="00440CAB" w:rsidP="00440CAB">
            <w:pPr>
              <w:pStyle w:val="ListBullet2"/>
            </w:pPr>
            <w:r w:rsidRPr="00440CAB">
              <w:t>enable clear and direct communication, using questioning to identify and confirm requirements, share information, list</w:t>
            </w:r>
            <w:r w:rsidRPr="00440CAB">
              <w:t>en and understand</w:t>
            </w:r>
          </w:p>
          <w:p w:rsidR="00000000" w:rsidRPr="00440CAB" w:rsidP="00440CAB">
            <w:pPr>
              <w:pStyle w:val="ListBullet2"/>
            </w:pPr>
            <w:r w:rsidRPr="00440CAB">
              <w:t>read and interpret:</w:t>
            </w:r>
          </w:p>
          <w:p w:rsidR="00000000" w:rsidRPr="00440CAB" w:rsidP="00440CAB">
            <w:pPr>
              <w:pStyle w:val="ListBullet3"/>
            </w:pPr>
            <w:r w:rsidRPr="00440CAB">
              <w:t>legislation</w:t>
            </w:r>
          </w:p>
          <w:p w:rsidR="00000000" w:rsidRPr="00440CAB" w:rsidP="00440CAB">
            <w:pPr>
              <w:pStyle w:val="ListBullet3"/>
            </w:pPr>
            <w:r w:rsidRPr="00440CAB">
              <w:t>other relevant documentation</w:t>
            </w:r>
          </w:p>
          <w:p w:rsidR="00000000" w:rsidRPr="00440CAB" w:rsidP="00440CAB">
            <w:pPr>
              <w:pStyle w:val="ListBullet2"/>
            </w:pPr>
            <w:r w:rsidRPr="00440CAB">
              <w:t>use language and concepts appropriate to cultural differences</w:t>
            </w:r>
          </w:p>
          <w:p w:rsidR="00000000" w:rsidRPr="00440CAB" w:rsidP="00440CAB">
            <w:pPr>
              <w:pStyle w:val="ListBullet2"/>
            </w:pPr>
            <w:r w:rsidRPr="00440CAB">
              <w:t>use and interpret non-verbal communication</w:t>
            </w:r>
          </w:p>
          <w:p w:rsidR="00000000" w:rsidP="00440CAB">
            <w:pPr>
              <w:pStyle w:val="ListBullet2"/>
              <w:rPr>
                <w:lang w:val="en-NZ"/>
              </w:rPr>
            </w:pPr>
            <w:r w:rsidRPr="00440CAB">
              <w:t>written skills to record relevant information.</w:t>
            </w:r>
          </w:p>
        </w:tc>
      </w:tr>
      <w:tr w:rsidTr="007407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Required knowledge</w:t>
            </w:r>
          </w:p>
        </w:tc>
      </w:tr>
      <w:tr w:rsidTr="007407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Required knowledge for this unit is:</w:t>
            </w:r>
          </w:p>
          <w:p w:rsidR="00000000" w:rsidRPr="00440CAB" w:rsidP="00440CAB">
            <w:pPr>
              <w:pStyle w:val="ListBullet"/>
            </w:pPr>
            <w:r w:rsidRPr="00440CAB">
              <w:t>Australian legal system and applications of law and legal principles in building surveying</w:t>
            </w:r>
          </w:p>
          <w:p w:rsidR="00000000" w:rsidRPr="00440CAB" w:rsidP="00440CAB">
            <w:pPr>
              <w:pStyle w:val="ListBullet"/>
            </w:pPr>
            <w:r w:rsidRPr="00440CAB">
              <w:t>building policy and legislation</w:t>
            </w:r>
          </w:p>
          <w:p w:rsidR="00000000" w:rsidRPr="00440CAB" w:rsidP="00440CAB">
            <w:pPr>
              <w:pStyle w:val="ListBullet"/>
            </w:pPr>
            <w:r w:rsidRPr="00440CAB">
              <w:t>legal terminology, definitions, processes and procedures used in standard court operations</w:t>
            </w:r>
          </w:p>
          <w:p w:rsidR="00000000" w:rsidRPr="00440CAB" w:rsidP="00440CAB">
            <w:pPr>
              <w:pStyle w:val="ListBullet"/>
            </w:pPr>
            <w:r w:rsidRPr="00440CAB">
              <w:t>proc</w:t>
            </w:r>
            <w:r w:rsidRPr="00440CAB">
              <w:t>esses for the administration and preparation of documentation</w:t>
            </w:r>
          </w:p>
          <w:p w:rsidR="00000000" w:rsidRPr="00440CAB" w:rsidP="00440CAB">
            <w:pPr>
              <w:pStyle w:val="ListBullet"/>
            </w:pPr>
            <w:r w:rsidRPr="00440CAB">
              <w:t>relevant federal, state or territory legislation and local government policy and procedures</w:t>
            </w:r>
          </w:p>
          <w:p w:rsidR="00000000" w:rsidRPr="00440CAB" w:rsidP="00440CAB">
            <w:pPr>
              <w:pStyle w:val="ListBullet"/>
            </w:pPr>
            <w:r w:rsidRPr="00440CAB">
              <w:t>research processes and strategies.</w:t>
            </w:r>
          </w:p>
        </w:tc>
      </w:tr>
    </w:tbl>
    <w:p w:rsidR="00740723" w:rsidP="00440CAB">
      <w:pPr>
        <w:pStyle w:val="BodyText"/>
      </w:pPr>
    </w:p>
    <w:p w:rsidR="00740723" w:rsidP="00440CAB">
      <w:pPr>
        <w:pStyle w:val="BodyText"/>
      </w:pPr>
    </w:p>
    <w:p w:rsidR="00000000" w:rsidRPr="00440CAB" w:rsidP="00440CAB">
      <w:pPr>
        <w:pStyle w:val="AllowPageBreak"/>
      </w:pPr>
    </w:p>
    <w:p w:rsidR="00000000" w:rsidRPr="00440CAB" w:rsidP="00440CAB">
      <w:pPr>
        <w:pStyle w:val="Heading1"/>
      </w:pPr>
      <w:bookmarkStart w:id="10" w:name="O_242453"/>
      <w:bookmarkEnd w:id="10"/>
      <w:r w:rsidRPr="00440CAB">
        <w:t>Evidence Guide</w:t>
      </w:r>
    </w:p>
    <w:tbl>
      <w:tblPr>
        <w:tblW w:w="0" w:type="auto"/>
        <w:tblLayout w:type="fixed"/>
        <w:tblCellMar>
          <w:left w:w="62" w:type="dxa"/>
          <w:right w:w="62" w:type="dxa"/>
        </w:tblCellMar>
        <w:tblLook w:val="0000"/>
      </w:tblPr>
      <w:tblGrid>
        <w:gridCol w:w="3513"/>
        <w:gridCol w:w="5009"/>
      </w:tblGrid>
      <w:tr w:rsidTr="0074072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0CAB">
            <w:pPr>
              <w:pStyle w:val="BodyText"/>
              <w:rPr>
                <w:lang w:val="en-NZ"/>
              </w:rPr>
            </w:pPr>
            <w:r w:rsidRPr="00440CAB">
              <w:rPr>
                <w:rStyle w:val="SpecialBold"/>
              </w:rPr>
              <w:t>EVIDENCE GUIDE</w:t>
            </w:r>
          </w:p>
        </w:tc>
      </w:tr>
      <w:tr w:rsidTr="0074072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0CAB">
            <w:pPr>
              <w:pStyle w:val="BodyText"/>
              <w:rPr>
                <w:lang w:val="en-NZ"/>
              </w:rPr>
            </w:pPr>
            <w:r w:rsidRPr="00440CAB">
              <w:t>The evidence guide provides advice on assessment and must be read in conjunction with the performance criteria, required skills and knowledge, range statement and the Assessment Guidelines for the Training Package.</w:t>
            </w:r>
          </w:p>
        </w:tc>
      </w:tr>
      <w:tr w:rsidTr="0074072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t>This unit of competency could be assessed in the workplace or a close simulation of the workplace environment, provided that simulated or project-based assessment techniques fully replicate construction workplace conditions, materials, activities, responsi</w:t>
            </w:r>
            <w:r w:rsidRPr="00440CAB">
              <w:t xml:space="preserve">bilities and procedures. </w:t>
            </w:r>
          </w:p>
        </w:tc>
      </w:tr>
      <w:tr w:rsidTr="0074072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A person who demonstrates competency in this unit must be able to provide evidence of the ability to:</w:t>
            </w:r>
          </w:p>
          <w:p w:rsidR="00000000" w:rsidRPr="00440CAB" w:rsidP="00440CAB">
            <w:pPr>
              <w:pStyle w:val="ListBullet"/>
            </w:pPr>
            <w:r w:rsidRPr="00440CAB">
              <w:t>comply with OHS regulations appli</w:t>
            </w:r>
            <w:r w:rsidRPr="00440CAB">
              <w:t>cable to workplace operations</w:t>
            </w:r>
          </w:p>
          <w:p w:rsidR="00000000" w:rsidRPr="00440CAB" w:rsidP="00440CAB">
            <w:pPr>
              <w:pStyle w:val="ListBullet"/>
            </w:pPr>
            <w:r w:rsidRPr="00440CAB">
              <w:t>apply organisational management policies and procedures, including quality assurance requirements where applicable</w:t>
            </w:r>
          </w:p>
          <w:p w:rsidR="00000000" w:rsidRPr="00440CAB" w:rsidP="00440CAB">
            <w:pPr>
              <w:pStyle w:val="ListBullet"/>
            </w:pPr>
            <w:r w:rsidRPr="00440CAB">
              <w:t xml:space="preserve">perform research, interpretation and analysis together with attendance and involvement in at least one civil law case and at least one criminal law case impacting on building control legislation, all in accordance with the professional code of conduct and </w:t>
            </w:r>
            <w:r w:rsidRPr="00440CAB">
              <w:t>ethics applicable to building control</w:t>
            </w:r>
          </w:p>
          <w:p w:rsidR="00000000" w:rsidP="00440CAB">
            <w:pPr>
              <w:pStyle w:val="ListBullet"/>
              <w:rPr>
                <w:lang w:val="en-NZ"/>
              </w:rPr>
            </w:pPr>
            <w:r w:rsidRPr="00440CAB">
              <w:t>provide reports to appropriate body/individual as determined by the project brief.</w:t>
            </w:r>
          </w:p>
        </w:tc>
      </w:tr>
      <w:tr w:rsidTr="0074072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This competency is to be assessed using standard and authorised work practices, safet</w:t>
            </w:r>
            <w:r w:rsidRPr="00440CAB">
              <w:t>y requirements and environmental constraints.</w:t>
            </w:r>
          </w:p>
          <w:p w:rsidR="00000000" w:rsidRPr="00440CAB" w:rsidP="00440CAB">
            <w:pPr>
              <w:pStyle w:val="BodyText"/>
            </w:pPr>
            <w:r w:rsidRPr="00440CAB">
              <w:t>Assessment of essential underpinning knowledge will usually be conducted in an off-site context.</w:t>
            </w:r>
          </w:p>
          <w:p w:rsidR="00000000" w:rsidRPr="00440CAB" w:rsidP="00440CAB">
            <w:pPr>
              <w:pStyle w:val="BodyText"/>
            </w:pPr>
            <w:r w:rsidRPr="00440CAB">
              <w:t>Assessment is to comply with relevant regulatory or Australian standards' requirements.</w:t>
            </w:r>
          </w:p>
          <w:p w:rsidR="00000000" w:rsidRPr="00440CAB" w:rsidP="00440CAB">
            <w:pPr>
              <w:pStyle w:val="BodyText"/>
            </w:pPr>
            <w:r w:rsidRPr="00440CAB">
              <w:t>Resource implications for</w:t>
            </w:r>
            <w:r w:rsidRPr="00440CAB">
              <w:t xml:space="preserve"> assessment include:</w:t>
            </w:r>
          </w:p>
          <w:p w:rsidR="00000000" w:rsidRPr="00440CAB" w:rsidP="00440CAB">
            <w:pPr>
              <w:pStyle w:val="ListBullet"/>
            </w:pPr>
            <w:r w:rsidRPr="00440CAB">
              <w:t>an induction procedure and requirement</w:t>
            </w:r>
          </w:p>
          <w:p w:rsidR="00000000" w:rsidRPr="00440CAB" w:rsidP="00440CAB">
            <w:pPr>
              <w:pStyle w:val="ListBullet"/>
            </w:pPr>
            <w:r w:rsidRPr="00440CAB">
              <w:t>realistic tasks or simulated tasks covering the mandatory task requirements</w:t>
            </w:r>
          </w:p>
          <w:p w:rsidR="00000000" w:rsidRPr="00440CAB" w:rsidP="00440CAB">
            <w:pPr>
              <w:pStyle w:val="ListBullet"/>
            </w:pPr>
            <w:r w:rsidRPr="00440CAB">
              <w:t>relevant specifications and work instructions</w:t>
            </w:r>
          </w:p>
          <w:p w:rsidR="00000000" w:rsidRPr="00440CAB" w:rsidP="00440CAB">
            <w:pPr>
              <w:pStyle w:val="ListBullet"/>
            </w:pPr>
            <w:r w:rsidRPr="00440CAB">
              <w:t>tools and equipment appropriate to applying safe work practices</w:t>
            </w:r>
          </w:p>
          <w:p w:rsidR="00000000" w:rsidRPr="00440CAB" w:rsidP="00440CAB">
            <w:pPr>
              <w:pStyle w:val="ListBullet"/>
            </w:pPr>
            <w:r w:rsidRPr="00440CAB">
              <w:t>support m</w:t>
            </w:r>
            <w:r w:rsidRPr="00440CAB">
              <w:t>aterials appropriate to activity</w:t>
            </w:r>
          </w:p>
          <w:p w:rsidR="00000000" w:rsidRPr="00440CAB" w:rsidP="00440CAB">
            <w:pPr>
              <w:pStyle w:val="ListBullet"/>
            </w:pPr>
            <w:r w:rsidRPr="00440CAB">
              <w:t>workplace instructions relating to safe work practices and addressing hazards and emergencies</w:t>
            </w:r>
          </w:p>
          <w:p w:rsidR="00000000" w:rsidRPr="00440CAB" w:rsidP="00440CAB">
            <w:pPr>
              <w:pStyle w:val="ListBullet"/>
            </w:pPr>
            <w:r w:rsidRPr="00440CAB">
              <w:t>material safety data sheets</w:t>
            </w:r>
          </w:p>
          <w:p w:rsidR="00000000" w:rsidRPr="00440CAB" w:rsidP="00440CAB">
            <w:pPr>
              <w:pStyle w:val="ListBullet"/>
            </w:pPr>
            <w:r w:rsidRPr="00440CAB">
              <w:t>research resources, including industry related systems information.</w:t>
            </w:r>
          </w:p>
          <w:p w:rsidR="00000000" w:rsidP="00440CAB">
            <w:pPr>
              <w:pStyle w:val="BodyText"/>
              <w:rPr>
                <w:lang w:val="en-NZ"/>
              </w:rPr>
            </w:pPr>
            <w:r w:rsidRPr="00440CA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74072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Method of assessme</w:t>
            </w:r>
            <w:r w:rsidRPr="00440CAB">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Assessment methods must:</w:t>
            </w:r>
          </w:p>
          <w:p w:rsidR="00000000" w:rsidRPr="00440CAB" w:rsidP="00440CAB">
            <w:pPr>
              <w:pStyle w:val="ListBullet"/>
            </w:pPr>
            <w:r w:rsidRPr="00440CAB">
              <w:t>satisfy the endorsed Assessment Guidelines of the Construction, Plumbing and Services Training Package</w:t>
            </w:r>
          </w:p>
          <w:p w:rsidR="00000000" w:rsidRPr="00440CAB" w:rsidP="00440CAB">
            <w:pPr>
              <w:pStyle w:val="ListBullet"/>
            </w:pPr>
            <w:r w:rsidRPr="00440CAB">
              <w:t>include direct observation of tasks in real or simulated work conditions, with questioning to confirm the ability to consistently identify and correctly interpret the essential underpinning knowledge required for practical application</w:t>
            </w:r>
          </w:p>
          <w:p w:rsidR="00000000" w:rsidRPr="00440CAB" w:rsidP="00440CAB">
            <w:pPr>
              <w:pStyle w:val="ListBullet"/>
            </w:pPr>
            <w:r w:rsidRPr="00440CAB">
              <w:t>reinforce the integra</w:t>
            </w:r>
            <w:r w:rsidRPr="00440CAB">
              <w:t>tion of employability skills with workplace tasks and job roles</w:t>
            </w:r>
          </w:p>
          <w:p w:rsidR="00000000" w:rsidRPr="00440CAB" w:rsidP="00440CAB">
            <w:pPr>
              <w:pStyle w:val="ListBullet"/>
            </w:pPr>
            <w:r w:rsidRPr="00440CAB">
              <w:t>confirm that competency is verified and able to be transferred to other circumstances and environments.</w:t>
            </w:r>
          </w:p>
          <w:p w:rsidR="00000000" w:rsidRPr="00440CAB" w:rsidP="00440CAB">
            <w:pPr>
              <w:pStyle w:val="BodyText"/>
            </w:pPr>
            <w:r w:rsidRPr="00440CAB">
              <w:t>Validity and sufficiency of evidence requires that:</w:t>
            </w:r>
          </w:p>
          <w:p w:rsidR="00000000" w:rsidRPr="00440CAB" w:rsidP="00440CAB">
            <w:pPr>
              <w:pStyle w:val="ListBullet"/>
            </w:pPr>
            <w:r w:rsidRPr="00440CAB">
              <w:t>competency will need to be demonstr</w:t>
            </w:r>
            <w:r w:rsidRPr="00440CAB">
              <w:t>ated over a period of time reflecting the scope of the role and the practical requirements of the workplace</w:t>
            </w:r>
          </w:p>
          <w:p w:rsidR="00000000" w:rsidRPr="00440CAB" w:rsidP="00440CAB">
            <w:pPr>
              <w:pStyle w:val="ListBullet"/>
            </w:pPr>
            <w:r w:rsidRPr="00440CAB">
              <w:t>where the assessment is part of a structured learning experience the evidence collected must relate to a number of performances assessed at differen</w:t>
            </w:r>
            <w:r w:rsidRPr="00440CAB">
              <w:t>t points in time and separated by further learning and practice, with a decision on competency only taken at the point when the assessor has complete confidence in the person's demonstrated ability and applied knowledge</w:t>
            </w:r>
          </w:p>
          <w:p w:rsidR="00000000" w:rsidRPr="00440CAB" w:rsidP="00440CAB">
            <w:pPr>
              <w:pStyle w:val="ListBullet"/>
            </w:pPr>
            <w:r w:rsidRPr="00440CAB">
              <w:t>all assessment that is part of a str</w:t>
            </w:r>
            <w:r w:rsidRPr="00440CAB">
              <w:t>uctured learning experience must include a combination of direct, indirect and supplementary evidence.</w:t>
            </w:r>
          </w:p>
          <w:p w:rsidR="00000000" w:rsidRPr="00440CAB" w:rsidP="00440CAB">
            <w:pPr>
              <w:pStyle w:val="BodyText"/>
            </w:pPr>
            <w:r w:rsidRPr="00440CAB">
              <w:t>Assessment processes and techniques should as far as is practical take into account the language, literacy and numeracy capacity of the candidate in rela</w:t>
            </w:r>
            <w:r w:rsidRPr="00440CAB">
              <w:t>tion to the competency being assessed.</w:t>
            </w:r>
          </w:p>
          <w:p w:rsidR="00000000" w:rsidRPr="00440CAB" w:rsidP="00440CAB">
            <w:pPr>
              <w:pStyle w:val="BodyText"/>
            </w:pPr>
            <w:r w:rsidRPr="00440CAB">
              <w:t xml:space="preserve">Supplementary evidence of competency may be obtained from relevant authenticated documentation from third parties, such as existing supervisors, team leaders or specialist training staff. </w:t>
            </w:r>
          </w:p>
        </w:tc>
      </w:tr>
    </w:tbl>
    <w:p w:rsidR="00740723" w:rsidP="00440CAB">
      <w:pPr>
        <w:pStyle w:val="BodyText"/>
      </w:pPr>
    </w:p>
    <w:p w:rsidR="00740723" w:rsidP="00440CAB">
      <w:pPr>
        <w:pStyle w:val="BodyText"/>
      </w:pPr>
    </w:p>
    <w:p w:rsidR="00000000" w:rsidRPr="00440CAB" w:rsidP="00440CAB">
      <w:pPr>
        <w:pStyle w:val="Heading1"/>
      </w:pPr>
      <w:bookmarkStart w:id="11" w:name="O_250436"/>
      <w:bookmarkEnd w:id="11"/>
      <w:r w:rsidRPr="00440CAB">
        <w:t>Range Statement</w:t>
      </w:r>
    </w:p>
    <w:tbl>
      <w:tblPr>
        <w:tblW w:w="0" w:type="auto"/>
        <w:tblLayout w:type="fixed"/>
        <w:tblCellMar>
          <w:left w:w="62" w:type="dxa"/>
          <w:right w:w="62" w:type="dxa"/>
        </w:tblCellMar>
        <w:tblLook w:val="0000"/>
      </w:tblPr>
      <w:tblGrid>
        <w:gridCol w:w="3511"/>
        <w:gridCol w:w="5011"/>
      </w:tblGrid>
      <w:tr w:rsidTr="0074072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0CAB">
            <w:pPr>
              <w:pStyle w:val="BodyText"/>
              <w:rPr>
                <w:lang w:val="en-NZ"/>
              </w:rPr>
            </w:pPr>
            <w:r w:rsidRPr="00440CAB">
              <w:rPr>
                <w:rStyle w:val="SpecialBold"/>
              </w:rPr>
              <w:t>RANGE STATEMENT</w:t>
            </w:r>
          </w:p>
        </w:tc>
      </w:tr>
      <w:tr w:rsidTr="0074072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0CAB">
            <w:pPr>
              <w:pStyle w:val="BodyText"/>
              <w:rPr>
                <w:lang w:val="en-NZ"/>
              </w:rPr>
            </w:pPr>
            <w:r w:rsidRPr="00440CAB">
              <w:t>The range statement relates to the unit of competency as a whole. It allows for different work environments and situations that may affect performance. Bold italicised wording, if used in the performance criteria, is detai</w:t>
            </w:r>
            <w:r w:rsidRPr="00440CAB">
              <w:t>led below. Essential operating conditions that may be present with training and assessment (depending on the work situation, needs of the candidate, accessibility of the item, and local industry and regional contexts) may also be included.</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Australian legal system</w:t>
            </w:r>
            <w:r w:rsidRPr="00440CAB">
              <w:t xml:space="preserve"> includes:</w:t>
            </w:r>
          </w:p>
        </w:tc>
        <w:tc>
          <w:tcPr>
            <w:tcW w:w="5011" w:type="dxa"/>
            <w:tcBorders>
              <w:top w:val="nil"/>
              <w:left w:val="nil"/>
              <w:bottom w:val="nil"/>
              <w:right w:val="nil"/>
            </w:tcBorders>
            <w:tcMar>
              <w:top w:w="0" w:type="dxa"/>
              <w:left w:w="62" w:type="dxa"/>
              <w:bottom w:w="0" w:type="dxa"/>
              <w:right w:w="62" w:type="dxa"/>
            </w:tcMar>
          </w:tcPr>
          <w:p w:rsidR="00000000" w:rsidRPr="00440CAB" w:rsidP="00440CAB">
            <w:pPr>
              <w:pStyle w:val="ListBullet"/>
            </w:pPr>
            <w:r w:rsidRPr="00440CAB">
              <w:t>Australian common law system</w:t>
            </w:r>
          </w:p>
          <w:p w:rsidR="00000000" w:rsidRPr="00440CAB" w:rsidP="00440CAB">
            <w:pPr>
              <w:pStyle w:val="ListBullet"/>
            </w:pPr>
            <w:r w:rsidRPr="00440CAB">
              <w:t>laws applicable to building surveying</w:t>
            </w:r>
          </w:p>
          <w:p w:rsidR="00000000" w:rsidP="00440CAB">
            <w:pPr>
              <w:pStyle w:val="ListBullet"/>
              <w:rPr>
                <w:lang w:val="en-NZ"/>
              </w:rPr>
            </w:pPr>
            <w:r w:rsidRPr="00440CAB">
              <w:t>professional code of ethics.</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Statute law</w:t>
            </w:r>
            <w:r w:rsidRPr="00440CAB">
              <w:t xml:space="preserve"> includes:</w:t>
            </w:r>
          </w:p>
        </w:tc>
        <w:tc>
          <w:tcPr>
            <w:tcW w:w="5011" w:type="dxa"/>
            <w:tcBorders>
              <w:top w:val="nil"/>
              <w:left w:val="nil"/>
              <w:bottom w:val="nil"/>
              <w:right w:val="nil"/>
            </w:tcBorders>
            <w:tcMar>
              <w:top w:w="0" w:type="dxa"/>
              <w:left w:w="62" w:type="dxa"/>
              <w:bottom w:w="0" w:type="dxa"/>
              <w:right w:w="62" w:type="dxa"/>
            </w:tcMar>
          </w:tcPr>
          <w:p w:rsidR="00000000" w:rsidRPr="00440CAB" w:rsidP="00440CAB">
            <w:pPr>
              <w:pStyle w:val="ListBullet"/>
            </w:pPr>
            <w:r w:rsidRPr="00440CAB">
              <w:t>common law</w:t>
            </w:r>
          </w:p>
          <w:p w:rsidR="00000000" w:rsidRPr="00440CAB" w:rsidP="00440CAB">
            <w:pPr>
              <w:pStyle w:val="ListBullet"/>
            </w:pPr>
            <w:r w:rsidRPr="00440CAB">
              <w:t>judicial precedent</w:t>
            </w:r>
          </w:p>
          <w:p w:rsidR="00000000" w:rsidP="00440CAB">
            <w:pPr>
              <w:pStyle w:val="ListBullet"/>
              <w:rPr>
                <w:lang w:val="en-NZ"/>
              </w:rPr>
            </w:pPr>
            <w:r w:rsidRPr="00440CAB">
              <w:t>legislation.</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Types of courts</w:t>
            </w:r>
            <w:r w:rsidRPr="00440CAB">
              <w:t xml:space="preserve"> include:</w:t>
            </w:r>
          </w:p>
        </w:tc>
        <w:tc>
          <w:tcPr>
            <w:tcW w:w="5011" w:type="dxa"/>
            <w:tcBorders>
              <w:top w:val="nil"/>
              <w:left w:val="nil"/>
              <w:bottom w:val="nil"/>
              <w:right w:val="nil"/>
            </w:tcBorders>
            <w:tcMar>
              <w:top w:w="0" w:type="dxa"/>
              <w:left w:w="62" w:type="dxa"/>
              <w:bottom w:w="0" w:type="dxa"/>
              <w:right w:w="62" w:type="dxa"/>
            </w:tcMar>
          </w:tcPr>
          <w:p w:rsidR="00000000" w:rsidP="00440CAB">
            <w:pPr>
              <w:pStyle w:val="ListBullet"/>
              <w:rPr>
                <w:lang w:val="en-NZ"/>
              </w:rPr>
            </w:pPr>
            <w:r w:rsidRPr="00440CAB">
              <w:t>civil and criminal jurisdictions.</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Types of evidence</w:t>
            </w:r>
            <w:r w:rsidRPr="00440CAB">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440CAB" w:rsidP="00440CAB">
            <w:pPr>
              <w:pStyle w:val="ListBullet"/>
            </w:pPr>
            <w:r w:rsidRPr="00440CAB">
              <w:t>admissible and inadmissible evidence</w:t>
            </w:r>
          </w:p>
          <w:p w:rsidR="00000000" w:rsidRPr="00440CAB" w:rsidP="00440CAB">
            <w:pPr>
              <w:pStyle w:val="ListBullet"/>
            </w:pPr>
            <w:r w:rsidRPr="00440CAB">
              <w:t>direct</w:t>
            </w:r>
          </w:p>
          <w:p w:rsidR="00000000" w:rsidRPr="00440CAB" w:rsidP="00440CAB">
            <w:pPr>
              <w:pStyle w:val="ListBullet"/>
            </w:pPr>
            <w:r w:rsidRPr="00440CAB">
              <w:t>documented</w:t>
            </w:r>
          </w:p>
          <w:p w:rsidR="00000000" w:rsidRPr="00440CAB" w:rsidP="00440CAB">
            <w:pPr>
              <w:pStyle w:val="ListBullet"/>
            </w:pPr>
            <w:r w:rsidRPr="00440CAB">
              <w:t>hearsay</w:t>
            </w:r>
          </w:p>
          <w:p w:rsidR="00000000" w:rsidRPr="00440CAB" w:rsidP="00440CAB">
            <w:pPr>
              <w:pStyle w:val="ListBullet"/>
            </w:pPr>
            <w:r w:rsidRPr="00440CAB">
              <w:t>oral</w:t>
            </w:r>
          </w:p>
          <w:p w:rsidR="00000000" w:rsidRPr="00440CAB" w:rsidP="00440CAB">
            <w:pPr>
              <w:pStyle w:val="ListBullet"/>
            </w:pPr>
            <w:r w:rsidRPr="00440CAB">
              <w:t>real</w:t>
            </w:r>
          </w:p>
          <w:p w:rsidR="00000000" w:rsidP="00440CAB">
            <w:pPr>
              <w:pStyle w:val="ListBullet"/>
              <w:rPr>
                <w:lang w:val="en-NZ"/>
              </w:rPr>
            </w:pPr>
            <w:r w:rsidRPr="00440CAB">
              <w:t>secondary.</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Federal</w:t>
            </w:r>
            <w:r w:rsidRPr="00440CAB">
              <w:t xml:space="preserve"> legislation includes:</w:t>
            </w:r>
          </w:p>
        </w:tc>
        <w:tc>
          <w:tcPr>
            <w:tcW w:w="5011" w:type="dxa"/>
            <w:tcBorders>
              <w:top w:val="nil"/>
              <w:left w:val="nil"/>
              <w:bottom w:val="nil"/>
              <w:right w:val="nil"/>
            </w:tcBorders>
            <w:tcMar>
              <w:top w:w="0" w:type="dxa"/>
              <w:left w:w="62" w:type="dxa"/>
              <w:bottom w:w="0" w:type="dxa"/>
              <w:right w:w="62" w:type="dxa"/>
            </w:tcMar>
          </w:tcPr>
          <w:p w:rsidR="00000000" w:rsidP="00440CAB">
            <w:pPr>
              <w:pStyle w:val="ListBullet"/>
              <w:rPr>
                <w:lang w:val="en-NZ"/>
              </w:rPr>
            </w:pPr>
            <w:r w:rsidRPr="00440CAB">
              <w:t>Disability Discrimination Act.</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State or territory</w:t>
            </w:r>
            <w:r w:rsidRPr="00440CAB">
              <w:t xml:space="preserve"> legislation includes:</w:t>
            </w:r>
          </w:p>
        </w:tc>
        <w:tc>
          <w:tcPr>
            <w:tcW w:w="5011" w:type="dxa"/>
            <w:tcBorders>
              <w:top w:val="nil"/>
              <w:left w:val="nil"/>
              <w:bottom w:val="nil"/>
              <w:right w:val="nil"/>
            </w:tcBorders>
            <w:tcMar>
              <w:top w:w="0" w:type="dxa"/>
              <w:left w:w="62" w:type="dxa"/>
              <w:bottom w:w="0" w:type="dxa"/>
              <w:right w:w="62" w:type="dxa"/>
            </w:tcMar>
          </w:tcPr>
          <w:p w:rsidR="00000000" w:rsidP="00440CAB">
            <w:pPr>
              <w:pStyle w:val="ListBullet"/>
              <w:rPr>
                <w:lang w:val="en-NZ"/>
              </w:rPr>
            </w:pPr>
            <w:r w:rsidRPr="00440CAB">
              <w:t>environmental health, planning, OHS and local government by-laws.</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Syntactical presumptions</w:t>
            </w:r>
            <w:r w:rsidRPr="00440CAB">
              <w:t xml:space="preserve"> include:</w:t>
            </w:r>
          </w:p>
        </w:tc>
        <w:tc>
          <w:tcPr>
            <w:tcW w:w="5011" w:type="dxa"/>
            <w:tcBorders>
              <w:top w:val="nil"/>
              <w:left w:val="nil"/>
              <w:bottom w:val="nil"/>
              <w:right w:val="nil"/>
            </w:tcBorders>
            <w:tcMar>
              <w:top w:w="0" w:type="dxa"/>
              <w:left w:w="62" w:type="dxa"/>
              <w:bottom w:w="0" w:type="dxa"/>
              <w:right w:w="62" w:type="dxa"/>
            </w:tcMar>
          </w:tcPr>
          <w:p w:rsidR="00000000" w:rsidRPr="00440CAB" w:rsidP="00440CAB">
            <w:pPr>
              <w:pStyle w:val="ListBullet"/>
            </w:pPr>
            <w:r w:rsidRPr="00440CAB">
              <w:t>ejusdem generis</w:t>
            </w:r>
          </w:p>
          <w:p w:rsidR="00000000" w:rsidP="00440CAB">
            <w:pPr>
              <w:pStyle w:val="ListBullet"/>
              <w:rPr>
                <w:lang w:val="en-NZ"/>
              </w:rPr>
            </w:pPr>
            <w:r w:rsidRPr="00440CAB">
              <w:t>noscitur a sociis.</w:t>
            </w:r>
          </w:p>
        </w:tc>
      </w:tr>
      <w:tr w:rsidTr="0074072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BoldandItalics"/>
              </w:rPr>
              <w:t>Statutory interpretation</w:t>
            </w:r>
            <w:r w:rsidRPr="00440CAB">
              <w:t xml:space="preserve"> includes:</w:t>
            </w:r>
          </w:p>
        </w:tc>
        <w:tc>
          <w:tcPr>
            <w:tcW w:w="5011" w:type="dxa"/>
            <w:tcBorders>
              <w:top w:val="nil"/>
              <w:left w:val="nil"/>
              <w:bottom w:val="nil"/>
              <w:right w:val="nil"/>
            </w:tcBorders>
            <w:tcMar>
              <w:top w:w="0" w:type="dxa"/>
              <w:left w:w="62" w:type="dxa"/>
              <w:bottom w:w="0" w:type="dxa"/>
              <w:right w:w="62" w:type="dxa"/>
            </w:tcMar>
          </w:tcPr>
          <w:p w:rsidR="00000000" w:rsidRPr="00440CAB" w:rsidP="00440CAB">
            <w:pPr>
              <w:pStyle w:val="ListBullet"/>
            </w:pPr>
            <w:r w:rsidRPr="00440CAB">
              <w:t>golden rule</w:t>
            </w:r>
          </w:p>
          <w:p w:rsidR="00000000" w:rsidRPr="00440CAB" w:rsidP="00440CAB">
            <w:pPr>
              <w:pStyle w:val="ListBullet"/>
            </w:pPr>
            <w:r w:rsidRPr="00440CAB">
              <w:t>literal rule</w:t>
            </w:r>
          </w:p>
          <w:p w:rsidR="00000000" w:rsidRPr="00440CAB" w:rsidP="00440CAB">
            <w:pPr>
              <w:pStyle w:val="ListBullet"/>
            </w:pPr>
            <w:r w:rsidRPr="00440CAB">
              <w:t>mischief rule.</w:t>
            </w:r>
          </w:p>
        </w:tc>
      </w:tr>
    </w:tbl>
    <w:p w:rsidR="00740723" w:rsidP="00440CAB">
      <w:pPr>
        <w:pStyle w:val="BodyText"/>
      </w:pPr>
    </w:p>
    <w:p w:rsidR="00740723" w:rsidP="00440CAB">
      <w:pPr>
        <w:pStyle w:val="BodyText"/>
      </w:pPr>
    </w:p>
    <w:p w:rsidR="00000000" w:rsidRPr="00440CAB" w:rsidP="00440CAB">
      <w:pPr>
        <w:pStyle w:val="Heading1"/>
      </w:pPr>
      <w:bookmarkStart w:id="12" w:name="O_199073"/>
      <w:bookmarkEnd w:id="12"/>
      <w:r w:rsidRPr="00440CAB">
        <w:t>Unit Sector(s)</w:t>
      </w:r>
    </w:p>
    <w:tbl>
      <w:tblPr>
        <w:tblW w:w="0" w:type="auto"/>
        <w:tblLayout w:type="fixed"/>
        <w:tblCellMar>
          <w:left w:w="62" w:type="dxa"/>
          <w:right w:w="62" w:type="dxa"/>
        </w:tblCellMar>
        <w:tblLook w:val="0000"/>
      </w:tblPr>
      <w:tblGrid>
        <w:gridCol w:w="2604"/>
        <w:gridCol w:w="5918"/>
      </w:tblGrid>
      <w:tr w:rsidTr="0074072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440CAB" w:rsidP="00440CAB">
            <w:pPr>
              <w:pStyle w:val="BodyText"/>
            </w:pPr>
            <w:r w:rsidRPr="00440CAB">
              <w:t>Construction</w:t>
            </w:r>
          </w:p>
        </w:tc>
      </w:tr>
    </w:tbl>
    <w:p w:rsidR="00740723" w:rsidP="00440CAB">
      <w:pPr>
        <w:pStyle w:val="BodyText"/>
      </w:pPr>
    </w:p>
    <w:p w:rsidR="00740723" w:rsidP="00440CAB">
      <w:pPr>
        <w:pStyle w:val="BodyText"/>
      </w:pPr>
    </w:p>
    <w:p w:rsidR="00000000" w:rsidRPr="00440CAB" w:rsidP="00440CAB">
      <w:pPr>
        <w:pStyle w:val="Heading1"/>
      </w:pPr>
      <w:bookmarkStart w:id="13" w:name="O_199070"/>
      <w:bookmarkEnd w:id="13"/>
      <w:r w:rsidRPr="00440CAB">
        <w:t>Co-requisite units</w:t>
      </w:r>
    </w:p>
    <w:tbl>
      <w:tblPr>
        <w:tblW w:w="0" w:type="auto"/>
        <w:tblLayout w:type="fixed"/>
        <w:tblCellMar>
          <w:left w:w="62" w:type="dxa"/>
          <w:right w:w="62" w:type="dxa"/>
        </w:tblCellMar>
        <w:tblLook w:val="0000"/>
      </w:tblPr>
      <w:tblGrid>
        <w:gridCol w:w="2620"/>
        <w:gridCol w:w="1340"/>
        <w:gridCol w:w="4562"/>
      </w:tblGrid>
      <w:tr w:rsidTr="00740723">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t>Nil</w:t>
            </w:r>
          </w:p>
        </w:tc>
      </w:tr>
      <w:tr w:rsidTr="00740723">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p>
        </w:tc>
      </w:tr>
      <w:tr w:rsidTr="00740723">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440CAB" w:rsidP="00440CAB">
            <w:pPr>
              <w:pStyle w:val="BodyText"/>
            </w:pPr>
          </w:p>
        </w:tc>
      </w:tr>
    </w:tbl>
    <w:p w:rsidR="00740723" w:rsidP="00440CAB">
      <w:pPr>
        <w:pStyle w:val="BodyText"/>
      </w:pPr>
    </w:p>
    <w:p w:rsidR="00740723" w:rsidP="00440CAB">
      <w:pPr>
        <w:pStyle w:val="BodyText"/>
      </w:pPr>
    </w:p>
    <w:p w:rsidR="00000000" w:rsidRPr="00440CAB" w:rsidP="00440CAB">
      <w:pPr>
        <w:pStyle w:val="Heading1"/>
      </w:pPr>
      <w:bookmarkStart w:id="14" w:name="O_199072"/>
      <w:bookmarkEnd w:id="14"/>
      <w:r w:rsidRPr="00440CAB">
        <w:t>Functional area</w:t>
      </w:r>
    </w:p>
    <w:tbl>
      <w:tblPr>
        <w:tblW w:w="0" w:type="auto"/>
        <w:tblLayout w:type="fixed"/>
        <w:tblCellMar>
          <w:left w:w="62" w:type="dxa"/>
          <w:right w:w="62" w:type="dxa"/>
        </w:tblCellMar>
        <w:tblLook w:val="0000"/>
      </w:tblPr>
      <w:tblGrid>
        <w:gridCol w:w="2710"/>
        <w:gridCol w:w="5812"/>
      </w:tblGrid>
      <w:tr w:rsidTr="00740723">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440CAB">
            <w:pPr>
              <w:pStyle w:val="BodyText"/>
              <w:rPr>
                <w:lang w:val="en-NZ"/>
              </w:rPr>
            </w:pPr>
            <w:r w:rsidRPr="00440CAB">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440CAB" w:rsidP="00440CAB">
            <w:pPr>
              <w:pStyle w:val="BodyText"/>
            </w:pPr>
          </w:p>
        </w:tc>
      </w:tr>
    </w:tbl>
    <w:p w:rsidR="00740723" w:rsidP="00440CAB">
      <w:pPr>
        <w:pStyle w:val="BodyText"/>
      </w:pPr>
    </w:p>
    <w:p w:rsidR="00740723" w:rsidP="00440CAB">
      <w:pPr>
        <w:pStyle w:val="BodyText"/>
      </w:pPr>
    </w:p>
    <w:p w:rsidR="00000000" w:rsidRPr="00440CAB" w:rsidP="00440CAB"/>
    <w:sectPr w:rsidSect="00440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723" w:rsidP="00740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723" w:rsidP="00440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0723" w:rsidP="00440C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0723" w:rsidP="00440C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723" w:rsidP="007407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723" w:rsidP="00440CAB">
    <w:pPr>
      <w:pStyle w:val="Header"/>
      <w:framePr w:wrap="around"/>
    </w:pPr>
    <w:r>
      <w:fldChar w:fldCharType="begin"/>
    </w:r>
    <w:r>
      <w:instrText xml:space="preserve"> TITLE   \* MERGEFORMAT </w:instrText>
    </w:r>
    <w:r>
      <w:fldChar w:fldCharType="separate"/>
    </w:r>
    <w:r>
      <w:t>CPCCSV6011A Apply legal procedures to building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0723" w:rsidP="00440C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4C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45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28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C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CAB"/>
    <w:pPr>
      <w:spacing w:before="360" w:after="60"/>
      <w:outlineLvl w:val="0"/>
    </w:pPr>
    <w:rPr>
      <w:sz w:val="32"/>
    </w:rPr>
  </w:style>
  <w:style w:type="paragraph" w:styleId="Heading2">
    <w:name w:val="heading 2"/>
    <w:basedOn w:val="HeadingBase"/>
    <w:next w:val="BodyText"/>
    <w:link w:val="Heading2Char"/>
    <w:qFormat/>
    <w:rsid w:val="00440CAB"/>
    <w:pPr>
      <w:keepLines/>
      <w:spacing w:before="240" w:after="120"/>
      <w:outlineLvl w:val="1"/>
    </w:pPr>
    <w:rPr>
      <w:sz w:val="28"/>
      <w:szCs w:val="40"/>
    </w:rPr>
  </w:style>
  <w:style w:type="paragraph" w:styleId="Heading3">
    <w:name w:val="heading 3"/>
    <w:basedOn w:val="HeadingBase"/>
    <w:next w:val="BodyText"/>
    <w:link w:val="Heading3Char"/>
    <w:qFormat/>
    <w:rsid w:val="00440CAB"/>
    <w:pPr>
      <w:spacing w:before="180" w:after="120"/>
      <w:outlineLvl w:val="2"/>
    </w:pPr>
    <w:rPr>
      <w:spacing w:val="-10"/>
      <w:kern w:val="32"/>
    </w:rPr>
  </w:style>
  <w:style w:type="paragraph" w:styleId="Heading4">
    <w:name w:val="heading 4"/>
    <w:basedOn w:val="HeadingBase"/>
    <w:next w:val="BodyText"/>
    <w:link w:val="Heading4Char"/>
    <w:qFormat/>
    <w:rsid w:val="00440CAB"/>
    <w:pPr>
      <w:spacing w:before="160" w:after="120"/>
      <w:outlineLvl w:val="3"/>
    </w:pPr>
    <w:rPr>
      <w:sz w:val="22"/>
    </w:rPr>
  </w:style>
  <w:style w:type="paragraph" w:styleId="Heading5">
    <w:name w:val="heading 5"/>
    <w:basedOn w:val="HeadingBase"/>
    <w:next w:val="Normal"/>
    <w:link w:val="Heading5Char"/>
    <w:qFormat/>
    <w:rsid w:val="00440CAB"/>
    <w:pPr>
      <w:spacing w:before="80"/>
      <w:outlineLvl w:val="4"/>
    </w:pPr>
    <w:rPr>
      <w:color w:val="918585"/>
      <w:sz w:val="20"/>
    </w:rPr>
  </w:style>
  <w:style w:type="paragraph" w:styleId="Heading6">
    <w:name w:val="heading 6"/>
    <w:basedOn w:val="HeadingBase"/>
    <w:next w:val="Normal"/>
    <w:link w:val="Heading6Char"/>
    <w:qFormat/>
    <w:rsid w:val="00440CAB"/>
    <w:pPr>
      <w:spacing w:before="60"/>
      <w:outlineLvl w:val="5"/>
    </w:pPr>
    <w:rPr>
      <w:color w:val="918585"/>
      <w:sz w:val="20"/>
    </w:rPr>
  </w:style>
  <w:style w:type="paragraph" w:styleId="Heading7">
    <w:name w:val="heading 7"/>
    <w:basedOn w:val="Normal"/>
    <w:next w:val="Normal"/>
    <w:link w:val="Heading7Char"/>
    <w:qFormat/>
    <w:rsid w:val="00440CAB"/>
    <w:pPr>
      <w:ind w:left="720"/>
      <w:outlineLvl w:val="6"/>
    </w:pPr>
    <w:rPr>
      <w:i/>
    </w:rPr>
  </w:style>
  <w:style w:type="paragraph" w:styleId="Heading8">
    <w:name w:val="heading 8"/>
    <w:basedOn w:val="Normal"/>
    <w:next w:val="Normal"/>
    <w:link w:val="Heading8Char"/>
    <w:qFormat/>
    <w:rsid w:val="00440CAB"/>
    <w:pPr>
      <w:ind w:left="720"/>
      <w:outlineLvl w:val="7"/>
    </w:pPr>
    <w:rPr>
      <w:i/>
    </w:rPr>
  </w:style>
  <w:style w:type="paragraph" w:styleId="Heading9">
    <w:name w:val="heading 9"/>
    <w:basedOn w:val="Normal"/>
    <w:next w:val="Normal"/>
    <w:link w:val="Heading9Char"/>
    <w:qFormat/>
    <w:rsid w:val="00440CAB"/>
    <w:pPr>
      <w:ind w:left="720"/>
      <w:outlineLvl w:val="8"/>
    </w:pPr>
    <w:rPr>
      <w:i/>
    </w:rPr>
  </w:style>
  <w:style w:type="character" w:default="1" w:styleId="DefaultParagraphFont">
    <w:name w:val="Default Paragraph Font"/>
    <w:uiPriority w:val="1"/>
    <w:unhideWhenUsed/>
    <w:rsid w:val="00440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CAB"/>
  </w:style>
  <w:style w:type="character" w:customStyle="1" w:styleId="Heading1Char">
    <w:name w:val="Heading 1 Char"/>
    <w:link w:val="Heading1"/>
    <w:rsid w:val="00440CAB"/>
    <w:rPr>
      <w:rFonts w:ascii="Times New Roman" w:eastAsia="Times New Roman" w:hAnsi="Times New Roman" w:cs="Times New Roman"/>
      <w:b/>
      <w:sz w:val="32"/>
      <w:szCs w:val="20"/>
      <w:lang w:eastAsia="en-US"/>
    </w:rPr>
  </w:style>
  <w:style w:type="paragraph" w:styleId="BodyText">
    <w:name w:val="Body Text"/>
    <w:basedOn w:val="Normal"/>
    <w:link w:val="BodyTextChar"/>
    <w:rsid w:val="00440CAB"/>
    <w:pPr>
      <w:spacing w:before="120" w:after="120"/>
      <w:contextualSpacing/>
    </w:pPr>
    <w:rPr>
      <w:rFonts w:ascii="Times New Roman" w:hAnsi="Times New Roman"/>
      <w:sz w:val="24"/>
      <w:szCs w:val="22"/>
    </w:rPr>
  </w:style>
  <w:style w:type="character" w:customStyle="1" w:styleId="BodyTextChar">
    <w:name w:val="Body Text Char"/>
    <w:link w:val="BodyText"/>
    <w:rsid w:val="00440CAB"/>
    <w:rPr>
      <w:rFonts w:ascii="Times New Roman" w:eastAsia="Times New Roman" w:hAnsi="Times New Roman" w:cs="Times New Roman"/>
      <w:sz w:val="24"/>
      <w:lang w:val="en-US" w:eastAsia="en-US"/>
    </w:rPr>
  </w:style>
  <w:style w:type="paragraph" w:styleId="Footer">
    <w:name w:val="footer"/>
    <w:basedOn w:val="Normal"/>
    <w:link w:val="FooterChar"/>
    <w:rsid w:val="00440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0CAB"/>
    <w:rPr>
      <w:rFonts w:ascii="Times New Roman" w:eastAsia="Times New Roman" w:hAnsi="Times New Roman" w:cs="Times New Roman"/>
      <w:sz w:val="16"/>
      <w:lang w:val="en-US" w:eastAsia="en-US"/>
    </w:rPr>
  </w:style>
  <w:style w:type="paragraph" w:styleId="List">
    <w:name w:val="List"/>
    <w:basedOn w:val="BodyText"/>
    <w:next w:val="BodyText"/>
    <w:rsid w:val="00440CAB"/>
    <w:pPr>
      <w:tabs>
        <w:tab w:val="left" w:pos="340"/>
      </w:tabs>
      <w:spacing w:before="60" w:after="60"/>
      <w:ind w:left="340" w:hanging="340"/>
    </w:pPr>
  </w:style>
  <w:style w:type="paragraph" w:styleId="ListBullet">
    <w:name w:val="List Bullet"/>
    <w:basedOn w:val="List"/>
    <w:rsid w:val="00440CAB"/>
    <w:pPr>
      <w:numPr>
        <w:numId w:val="14"/>
      </w:numPr>
      <w:tabs>
        <w:tab w:val="clear" w:pos="340"/>
      </w:tabs>
      <w:spacing w:before="40" w:after="40"/>
    </w:pPr>
  </w:style>
  <w:style w:type="character" w:customStyle="1" w:styleId="SpecialBold">
    <w:name w:val="Special Bold"/>
    <w:rsid w:val="00440CAB"/>
    <w:rPr>
      <w:b/>
      <w:spacing w:val="0"/>
    </w:rPr>
  </w:style>
  <w:style w:type="paragraph" w:styleId="ListBullet2">
    <w:name w:val="List Bullet 2"/>
    <w:basedOn w:val="List2"/>
    <w:rsid w:val="00440CAB"/>
    <w:pPr>
      <w:numPr>
        <w:numId w:val="15"/>
      </w:numPr>
      <w:tabs>
        <w:tab w:val="clear" w:pos="680"/>
      </w:tabs>
    </w:pPr>
  </w:style>
  <w:style w:type="paragraph" w:styleId="Header">
    <w:name w:val="header"/>
    <w:basedOn w:val="Normal"/>
    <w:link w:val="HeaderChar"/>
    <w:rsid w:val="00440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0C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CAB"/>
    <w:pPr>
      <w:spacing w:before="240" w:after="120"/>
      <w:outlineLvl w:val="0"/>
    </w:pPr>
    <w:rPr>
      <w:rFonts w:ascii="Times New Roman" w:hAnsi="Times New Roman"/>
      <w:b/>
      <w:sz w:val="28"/>
    </w:rPr>
  </w:style>
  <w:style w:type="paragraph" w:customStyle="1" w:styleId="AllowPageBreak">
    <w:name w:val="AllowPageBreak"/>
    <w:rsid w:val="00440C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0CAB"/>
    <w:pPr>
      <w:tabs>
        <w:tab w:val="left" w:pos="680"/>
      </w:tabs>
      <w:spacing w:before="60" w:after="60"/>
      <w:ind w:left="680" w:hanging="340"/>
    </w:pPr>
  </w:style>
  <w:style w:type="paragraph" w:styleId="ListBullet3">
    <w:name w:val="List Bullet 3"/>
    <w:basedOn w:val="List3"/>
    <w:rsid w:val="00440CAB"/>
    <w:pPr>
      <w:numPr>
        <w:numId w:val="3"/>
      </w:numPr>
      <w:tabs>
        <w:tab w:val="clear" w:pos="1021"/>
      </w:tabs>
      <w:ind w:left="1037" w:hanging="357"/>
    </w:pPr>
  </w:style>
  <w:style w:type="character" w:customStyle="1" w:styleId="BoldandItalics">
    <w:name w:val="Bold and Italics"/>
    <w:qFormat/>
    <w:rsid w:val="00440CAB"/>
    <w:rPr>
      <w:b/>
      <w:i/>
      <w:u w:val="none"/>
    </w:rPr>
  </w:style>
  <w:style w:type="character" w:customStyle="1" w:styleId="Heading2Char">
    <w:name w:val="Heading 2 Char"/>
    <w:link w:val="Heading2"/>
    <w:rsid w:val="00440CAB"/>
    <w:rPr>
      <w:rFonts w:ascii="Times New Roman" w:eastAsia="Times New Roman" w:hAnsi="Times New Roman" w:cs="Times New Roman"/>
      <w:b/>
      <w:sz w:val="28"/>
      <w:szCs w:val="40"/>
      <w:lang w:eastAsia="en-US"/>
    </w:rPr>
  </w:style>
  <w:style w:type="character" w:customStyle="1" w:styleId="Heading3Char">
    <w:name w:val="Heading 3 Char"/>
    <w:link w:val="Heading3"/>
    <w:rsid w:val="00440C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0CAB"/>
    <w:rPr>
      <w:rFonts w:ascii="Times New Roman" w:eastAsia="Times New Roman" w:hAnsi="Times New Roman" w:cs="Times New Roman"/>
      <w:b/>
      <w:szCs w:val="20"/>
      <w:lang w:eastAsia="en-US"/>
    </w:rPr>
  </w:style>
  <w:style w:type="character" w:customStyle="1" w:styleId="Heading5Char">
    <w:name w:val="Heading 5 Char"/>
    <w:link w:val="Heading5"/>
    <w:rsid w:val="00440C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0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C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C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CAB"/>
    <w:rPr>
      <w:rFonts w:ascii="Courier New" w:eastAsia="Times New Roman" w:hAnsi="Courier New" w:cs="Times New Roman"/>
      <w:i/>
      <w:szCs w:val="20"/>
      <w:lang w:val="en-US" w:eastAsia="en-US"/>
    </w:rPr>
  </w:style>
  <w:style w:type="paragraph" w:customStyle="1" w:styleId="HeadingBase">
    <w:name w:val="Heading Base"/>
    <w:rsid w:val="00440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CAB"/>
    <w:pPr>
      <w:tabs>
        <w:tab w:val="right" w:leader="dot" w:pos="9072"/>
      </w:tabs>
      <w:ind w:left="567"/>
    </w:pPr>
    <w:rPr>
      <w:szCs w:val="22"/>
    </w:rPr>
  </w:style>
  <w:style w:type="paragraph" w:customStyle="1" w:styleId="TOCBase">
    <w:name w:val="TOC Base"/>
    <w:rsid w:val="00440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CAB"/>
    <w:pPr>
      <w:tabs>
        <w:tab w:val="right" w:leader="dot" w:pos="9072"/>
      </w:tabs>
      <w:spacing w:before="40" w:after="40"/>
      <w:ind w:left="284"/>
    </w:pPr>
    <w:rPr>
      <w:rFonts w:ascii="Times New Roman" w:hAnsi="Times New Roman"/>
    </w:rPr>
  </w:style>
  <w:style w:type="paragraph" w:styleId="TOC1">
    <w:name w:val="toc 1"/>
    <w:basedOn w:val="TOCBase"/>
    <w:next w:val="Normal"/>
    <w:rsid w:val="00440C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CAB"/>
    <w:pPr>
      <w:spacing w:before="5040"/>
      <w:jc w:val="center"/>
    </w:pPr>
    <w:rPr>
      <w:sz w:val="48"/>
      <w:szCs w:val="72"/>
      <w:lang w:val="en-US"/>
    </w:rPr>
  </w:style>
  <w:style w:type="character" w:customStyle="1" w:styleId="TitleChar">
    <w:name w:val="Title Char"/>
    <w:link w:val="Title"/>
    <w:rsid w:val="00440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CAB"/>
    <w:pPr>
      <w:tabs>
        <w:tab w:val="left" w:pos="3600"/>
        <w:tab w:val="left" w:pos="3958"/>
      </w:tabs>
    </w:pPr>
  </w:style>
  <w:style w:type="paragraph" w:customStyle="1" w:styleId="Note">
    <w:name w:val="Note"/>
    <w:basedOn w:val="BodyText"/>
    <w:rsid w:val="00440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CAB"/>
    <w:pPr>
      <w:framePr w:wrap="auto" w:hAnchor="text" w:y="6049"/>
    </w:pPr>
    <w:rPr>
      <w:color w:val="000000"/>
      <w:sz w:val="40"/>
    </w:rPr>
  </w:style>
  <w:style w:type="paragraph" w:customStyle="1" w:styleId="TOCTitle">
    <w:name w:val="TOCTitle"/>
    <w:basedOn w:val="Heading1"/>
    <w:rsid w:val="00440CAB"/>
    <w:pPr>
      <w:spacing w:after="240"/>
      <w:jc w:val="center"/>
      <w:outlineLvl w:val="9"/>
    </w:pPr>
    <w:rPr>
      <w:caps/>
    </w:rPr>
  </w:style>
  <w:style w:type="paragraph" w:customStyle="1" w:styleId="Version">
    <w:name w:val="Version"/>
    <w:rsid w:val="00440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CAB"/>
    <w:pPr>
      <w:keepNext w:val="0"/>
      <w:tabs>
        <w:tab w:val="right" w:pos="4176"/>
      </w:tabs>
      <w:ind w:left="198" w:hanging="198"/>
    </w:pPr>
    <w:rPr>
      <w:rFonts w:ascii="Garamond" w:hAnsi="Garamond"/>
    </w:rPr>
  </w:style>
  <w:style w:type="paragraph" w:styleId="IndexHeading">
    <w:name w:val="index heading"/>
    <w:basedOn w:val="Normal"/>
    <w:next w:val="Index1"/>
    <w:semiHidden/>
    <w:rsid w:val="00440CAB"/>
    <w:pPr>
      <w:spacing w:before="120" w:after="120"/>
    </w:pPr>
    <w:rPr>
      <w:rFonts w:ascii="Arial" w:hAnsi="Arial"/>
      <w:b/>
      <w:color w:val="918585"/>
      <w:sz w:val="24"/>
    </w:rPr>
  </w:style>
  <w:style w:type="paragraph" w:customStyle="1" w:styleId="Chapter">
    <w:name w:val="Chapter"/>
    <w:basedOn w:val="Normal"/>
    <w:rsid w:val="00440CAB"/>
    <w:pPr>
      <w:spacing w:before="240"/>
    </w:pPr>
    <w:rPr>
      <w:rFonts w:ascii="Times New Roman" w:hAnsi="Times New Roman"/>
      <w:smallCaps/>
      <w:spacing w:val="80"/>
      <w:sz w:val="28"/>
    </w:rPr>
  </w:style>
  <w:style w:type="paragraph" w:customStyle="1" w:styleId="InChapter">
    <w:name w:val="InChapter"/>
    <w:basedOn w:val="Heading3"/>
    <w:rsid w:val="00440CAB"/>
    <w:pPr>
      <w:spacing w:after="240"/>
      <w:outlineLvl w:val="9"/>
    </w:pPr>
    <w:rPr>
      <w:noProof/>
    </w:rPr>
  </w:style>
  <w:style w:type="paragraph" w:styleId="Index2">
    <w:name w:val="index 2"/>
    <w:basedOn w:val="Normal"/>
    <w:next w:val="Normal"/>
    <w:semiHidden/>
    <w:rsid w:val="00440CAB"/>
    <w:pPr>
      <w:tabs>
        <w:tab w:val="right" w:pos="4176"/>
      </w:tabs>
      <w:ind w:left="568" w:hanging="284"/>
    </w:pPr>
    <w:rPr>
      <w:rFonts w:ascii="Garamond" w:hAnsi="Garamond"/>
    </w:rPr>
  </w:style>
  <w:style w:type="paragraph" w:customStyle="1" w:styleId="Byline">
    <w:name w:val="Byline"/>
    <w:rsid w:val="00440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CAB"/>
    <w:pPr>
      <w:tabs>
        <w:tab w:val="clear" w:pos="3600"/>
        <w:tab w:val="clear" w:pos="3958"/>
      </w:tabs>
      <w:jc w:val="right"/>
    </w:pPr>
  </w:style>
  <w:style w:type="character" w:styleId="Emphasis">
    <w:name w:val="Emphasis"/>
    <w:qFormat/>
    <w:rsid w:val="00440CAB"/>
    <w:rPr>
      <w:i/>
    </w:rPr>
  </w:style>
  <w:style w:type="paragraph" w:styleId="Caption">
    <w:name w:val="caption"/>
    <w:basedOn w:val="BodyText"/>
    <w:next w:val="Normal"/>
    <w:qFormat/>
    <w:rsid w:val="00440CAB"/>
    <w:pPr>
      <w:framePr w:w="2268" w:hSpace="181" w:vSpace="181" w:wrap="around" w:vAnchor="text" w:hAnchor="page" w:x="1135" w:y="285" w:anchorLock="1"/>
    </w:pPr>
    <w:rPr>
      <w:i/>
    </w:rPr>
  </w:style>
  <w:style w:type="paragraph" w:customStyle="1" w:styleId="MiniTOCTitle">
    <w:name w:val="MiniTOCTitle"/>
    <w:basedOn w:val="Heading4"/>
    <w:rsid w:val="00440CAB"/>
    <w:pPr>
      <w:spacing w:before="240"/>
      <w:outlineLvl w:val="9"/>
    </w:pPr>
    <w:rPr>
      <w:noProof/>
      <w:sz w:val="24"/>
    </w:rPr>
  </w:style>
  <w:style w:type="paragraph" w:customStyle="1" w:styleId="MiniTOCItem">
    <w:name w:val="MiniTOCItem"/>
    <w:basedOn w:val="ListBullet"/>
    <w:rsid w:val="00440CAB"/>
    <w:pPr>
      <w:numPr>
        <w:numId w:val="0"/>
      </w:numPr>
      <w:tabs>
        <w:tab w:val="right" w:leader="dot" w:pos="6521"/>
      </w:tabs>
      <w:spacing w:before="0" w:after="0"/>
    </w:pPr>
  </w:style>
  <w:style w:type="paragraph" w:customStyle="1" w:styleId="TOFTitle">
    <w:name w:val="TOFTitle"/>
    <w:basedOn w:val="TOCTitle"/>
    <w:rsid w:val="00440CAB"/>
  </w:style>
  <w:style w:type="paragraph" w:styleId="TableofFigures">
    <w:name w:val="table of figures"/>
    <w:basedOn w:val="Normal"/>
    <w:next w:val="Normal"/>
    <w:semiHidden/>
    <w:rsid w:val="00440CAB"/>
    <w:pPr>
      <w:tabs>
        <w:tab w:val="right" w:leader="dot" w:pos="9072"/>
      </w:tabs>
      <w:ind w:left="970" w:hanging="403"/>
    </w:pPr>
    <w:rPr>
      <w:rFonts w:ascii="Times New Roman" w:hAnsi="Times New Roman"/>
      <w:b/>
    </w:rPr>
  </w:style>
  <w:style w:type="paragraph" w:styleId="ListNumber">
    <w:name w:val="List Number"/>
    <w:basedOn w:val="List"/>
    <w:rsid w:val="00440CAB"/>
    <w:pPr>
      <w:numPr>
        <w:numId w:val="12"/>
      </w:numPr>
    </w:pPr>
  </w:style>
  <w:style w:type="character" w:customStyle="1" w:styleId="WingdingSymbols">
    <w:name w:val="Wingding Symbols"/>
    <w:rsid w:val="00440CAB"/>
    <w:rPr>
      <w:rFonts w:ascii="Wingdings" w:hAnsi="Wingdings"/>
    </w:rPr>
  </w:style>
  <w:style w:type="paragraph" w:customStyle="1" w:styleId="TableHeading">
    <w:name w:val="Table Heading"/>
    <w:basedOn w:val="HeadingBase"/>
    <w:rsid w:val="00440CAB"/>
    <w:pPr>
      <w:keepLines/>
      <w:pBdr>
        <w:bottom w:val="single" w:sz="6" w:space="1" w:color="918585"/>
      </w:pBdr>
      <w:spacing w:before="240"/>
    </w:pPr>
  </w:style>
  <w:style w:type="character" w:customStyle="1" w:styleId="HotSpot">
    <w:name w:val="HotSpot"/>
    <w:rsid w:val="00440CAB"/>
    <w:rPr>
      <w:color w:val="0033CC"/>
      <w:u w:val="none"/>
    </w:rPr>
  </w:style>
  <w:style w:type="paragraph" w:customStyle="1" w:styleId="BodyTextRight">
    <w:name w:val="Body Text Right"/>
    <w:basedOn w:val="BodyText"/>
    <w:rsid w:val="00440CAB"/>
    <w:pPr>
      <w:spacing w:before="0" w:after="0"/>
      <w:jc w:val="right"/>
    </w:pPr>
  </w:style>
  <w:style w:type="paragraph" w:styleId="Index3">
    <w:name w:val="index 3"/>
    <w:basedOn w:val="ListNumber2"/>
    <w:next w:val="Normal"/>
    <w:semiHidden/>
    <w:rsid w:val="00440CAB"/>
    <w:pPr>
      <w:numPr>
        <w:numId w:val="0"/>
      </w:numPr>
      <w:tabs>
        <w:tab w:val="right" w:leader="dot" w:pos="4176"/>
      </w:tabs>
    </w:pPr>
  </w:style>
  <w:style w:type="paragraph" w:styleId="ListNumber2">
    <w:name w:val="List Number 2"/>
    <w:basedOn w:val="List2"/>
    <w:rsid w:val="00440CAB"/>
    <w:pPr>
      <w:numPr>
        <w:numId w:val="11"/>
      </w:numPr>
      <w:tabs>
        <w:tab w:val="clear" w:pos="1060"/>
      </w:tabs>
    </w:pPr>
  </w:style>
  <w:style w:type="paragraph" w:customStyle="1" w:styleId="MarginNote">
    <w:name w:val="Margin Note"/>
    <w:basedOn w:val="BodyText"/>
    <w:rsid w:val="00440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0C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CAB"/>
    <w:rPr>
      <w:sz w:val="32"/>
    </w:rPr>
  </w:style>
  <w:style w:type="paragraph" w:customStyle="1" w:styleId="HeadingProcedure">
    <w:name w:val="Heading Procedure"/>
    <w:basedOn w:val="HeadingBase"/>
    <w:next w:val="Normal"/>
    <w:rsid w:val="00440CAB"/>
    <w:pPr>
      <w:tabs>
        <w:tab w:val="left" w:pos="0"/>
      </w:tabs>
      <w:spacing w:before="120" w:after="60"/>
    </w:pPr>
    <w:rPr>
      <w:i/>
      <w:color w:val="918585"/>
      <w:sz w:val="22"/>
    </w:rPr>
  </w:style>
  <w:style w:type="paragraph" w:customStyle="1" w:styleId="TableBodyText">
    <w:name w:val="Table Body Text"/>
    <w:basedOn w:val="BodyText"/>
    <w:rsid w:val="00440CAB"/>
    <w:pPr>
      <w:spacing w:before="60" w:after="60"/>
    </w:pPr>
  </w:style>
  <w:style w:type="paragraph" w:styleId="ListContinue">
    <w:name w:val="List Continue"/>
    <w:basedOn w:val="List"/>
    <w:rsid w:val="00440CAB"/>
    <w:pPr>
      <w:ind w:firstLine="0"/>
    </w:pPr>
  </w:style>
  <w:style w:type="paragraph" w:customStyle="1" w:styleId="ListNote">
    <w:name w:val="List Note"/>
    <w:basedOn w:val="List"/>
    <w:rsid w:val="00440CAB"/>
    <w:pPr>
      <w:pBdr>
        <w:top w:val="single" w:sz="6" w:space="2" w:color="918585"/>
        <w:bottom w:val="single" w:sz="6" w:space="2" w:color="918585"/>
      </w:pBdr>
      <w:tabs>
        <w:tab w:val="left" w:pos="1021"/>
      </w:tabs>
      <w:ind w:firstLine="0"/>
    </w:pPr>
  </w:style>
  <w:style w:type="paragraph" w:customStyle="1" w:styleId="Warning">
    <w:name w:val="Warning"/>
    <w:basedOn w:val="BodyText"/>
    <w:rsid w:val="00440CAB"/>
    <w:pPr>
      <w:shd w:val="clear" w:color="auto" w:fill="D9D9D9"/>
      <w:tabs>
        <w:tab w:val="left" w:pos="992"/>
      </w:tabs>
      <w:ind w:left="119" w:right="119"/>
    </w:pPr>
    <w:rPr>
      <w:sz w:val="20"/>
    </w:rPr>
  </w:style>
  <w:style w:type="paragraph" w:customStyle="1" w:styleId="MarginIcons">
    <w:name w:val="Margin Icons"/>
    <w:basedOn w:val="BodyText"/>
    <w:rsid w:val="00440C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0CAB"/>
    <w:rPr>
      <w:rFonts w:ascii="Courier New" w:hAnsi="Courier New"/>
    </w:rPr>
  </w:style>
  <w:style w:type="paragraph" w:customStyle="1" w:styleId="NoteBullet">
    <w:name w:val="Note Bullet"/>
    <w:basedOn w:val="Note"/>
    <w:rsid w:val="00440CAB"/>
    <w:pPr>
      <w:tabs>
        <w:tab w:val="clear" w:pos="680"/>
      </w:tabs>
      <w:spacing w:before="60" w:after="60"/>
    </w:pPr>
  </w:style>
  <w:style w:type="paragraph" w:customStyle="1" w:styleId="SubHeading2">
    <w:name w:val="SubHeading2"/>
    <w:basedOn w:val="HeadingBase"/>
    <w:rsid w:val="00440CAB"/>
    <w:pPr>
      <w:spacing w:before="240" w:after="60"/>
    </w:pPr>
    <w:rPr>
      <w:sz w:val="20"/>
    </w:rPr>
  </w:style>
  <w:style w:type="paragraph" w:customStyle="1" w:styleId="SubHeading1">
    <w:name w:val="SubHeading1"/>
    <w:basedOn w:val="HeadingBase"/>
    <w:rsid w:val="00440CAB"/>
    <w:pPr>
      <w:spacing w:before="240" w:after="60"/>
    </w:pPr>
    <w:rPr>
      <w:color w:val="918585"/>
      <w:sz w:val="22"/>
    </w:rPr>
  </w:style>
  <w:style w:type="paragraph" w:customStyle="1" w:styleId="SideHeading">
    <w:name w:val="Side Heading"/>
    <w:basedOn w:val="HeadingBase"/>
    <w:rsid w:val="00440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CAB"/>
    <w:pPr>
      <w:numPr>
        <w:numId w:val="13"/>
      </w:numPr>
    </w:pPr>
  </w:style>
  <w:style w:type="paragraph" w:styleId="PlainText">
    <w:name w:val="Plain Text"/>
    <w:basedOn w:val="Normal"/>
    <w:link w:val="PlainTextChar"/>
    <w:rsid w:val="00440CAB"/>
    <w:rPr>
      <w:sz w:val="20"/>
    </w:rPr>
  </w:style>
  <w:style w:type="character" w:customStyle="1" w:styleId="PlainTextChar">
    <w:name w:val="Plain Text Char"/>
    <w:basedOn w:val="DefaultParagraphFont"/>
    <w:link w:val="PlainText"/>
    <w:rsid w:val="00440CAB"/>
    <w:rPr>
      <w:rFonts w:ascii="Courier New" w:eastAsia="Times New Roman" w:hAnsi="Courier New" w:cs="Times New Roman"/>
      <w:sz w:val="20"/>
      <w:szCs w:val="20"/>
      <w:lang w:val="en-US" w:eastAsia="en-US"/>
    </w:rPr>
  </w:style>
  <w:style w:type="character" w:customStyle="1" w:styleId="MenuOption">
    <w:name w:val="Menu Option"/>
    <w:rsid w:val="00440CAB"/>
    <w:rPr>
      <w:b/>
      <w:smallCaps/>
    </w:rPr>
  </w:style>
  <w:style w:type="paragraph" w:customStyle="1" w:styleId="TableListNumber">
    <w:name w:val="Table List Number"/>
    <w:basedOn w:val="ListNumber"/>
    <w:rsid w:val="00440CAB"/>
    <w:pPr>
      <w:numPr>
        <w:numId w:val="0"/>
      </w:numPr>
    </w:pPr>
  </w:style>
  <w:style w:type="paragraph" w:styleId="TOC4">
    <w:name w:val="toc 4"/>
    <w:basedOn w:val="TOCBase"/>
    <w:next w:val="Normal"/>
    <w:semiHidden/>
    <w:rsid w:val="00440CAB"/>
    <w:pPr>
      <w:tabs>
        <w:tab w:val="right" w:leader="dot" w:pos="9071"/>
      </w:tabs>
      <w:ind w:left="1701"/>
    </w:pPr>
  </w:style>
  <w:style w:type="paragraph" w:customStyle="1" w:styleId="ListAlpha">
    <w:name w:val="List Alpha"/>
    <w:basedOn w:val="List"/>
    <w:rsid w:val="00440CAB"/>
    <w:pPr>
      <w:numPr>
        <w:numId w:val="10"/>
      </w:numPr>
    </w:pPr>
  </w:style>
  <w:style w:type="paragraph" w:customStyle="1" w:styleId="ListAlpha2">
    <w:name w:val="List Alpha 2"/>
    <w:basedOn w:val="List2"/>
    <w:rsid w:val="00440CAB"/>
    <w:pPr>
      <w:numPr>
        <w:numId w:val="9"/>
      </w:numPr>
    </w:pPr>
  </w:style>
  <w:style w:type="paragraph" w:styleId="List3">
    <w:name w:val="List 3"/>
    <w:basedOn w:val="BodyText"/>
    <w:rsid w:val="00440CAB"/>
    <w:pPr>
      <w:tabs>
        <w:tab w:val="left" w:pos="1021"/>
      </w:tabs>
      <w:spacing w:before="60" w:after="60"/>
      <w:ind w:left="1020" w:hanging="340"/>
    </w:pPr>
  </w:style>
  <w:style w:type="paragraph" w:styleId="List4">
    <w:name w:val="List 4"/>
    <w:basedOn w:val="BodyText"/>
    <w:rsid w:val="00440CAB"/>
    <w:pPr>
      <w:tabs>
        <w:tab w:val="left" w:pos="1361"/>
      </w:tabs>
      <w:spacing w:before="60" w:after="60"/>
      <w:ind w:left="1361" w:hanging="340"/>
    </w:pPr>
  </w:style>
  <w:style w:type="paragraph" w:styleId="List5">
    <w:name w:val="List 5"/>
    <w:basedOn w:val="BodyText"/>
    <w:rsid w:val="00440CAB"/>
    <w:pPr>
      <w:tabs>
        <w:tab w:val="left" w:pos="1701"/>
      </w:tabs>
      <w:spacing w:before="60" w:after="60"/>
      <w:ind w:left="1701" w:hanging="340"/>
    </w:pPr>
  </w:style>
  <w:style w:type="paragraph" w:styleId="ListBullet4">
    <w:name w:val="List Bullet 4"/>
    <w:basedOn w:val="List4"/>
    <w:rsid w:val="00440CAB"/>
    <w:pPr>
      <w:numPr>
        <w:numId w:val="4"/>
      </w:numPr>
    </w:pPr>
  </w:style>
  <w:style w:type="paragraph" w:styleId="ListBullet5">
    <w:name w:val="List Bullet 5"/>
    <w:basedOn w:val="List5"/>
    <w:rsid w:val="00440CAB"/>
    <w:pPr>
      <w:numPr>
        <w:numId w:val="5"/>
      </w:numPr>
    </w:pPr>
  </w:style>
  <w:style w:type="paragraph" w:styleId="ListContinue2">
    <w:name w:val="List Continue 2"/>
    <w:basedOn w:val="List2"/>
    <w:rsid w:val="00440CAB"/>
    <w:pPr>
      <w:ind w:firstLine="0"/>
    </w:pPr>
  </w:style>
  <w:style w:type="paragraph" w:styleId="ListContinue3">
    <w:name w:val="List Continue 3"/>
    <w:basedOn w:val="List3"/>
    <w:rsid w:val="00440CAB"/>
    <w:pPr>
      <w:ind w:left="1021" w:firstLine="0"/>
    </w:pPr>
  </w:style>
  <w:style w:type="paragraph" w:styleId="ListContinue4">
    <w:name w:val="List Continue 4"/>
    <w:basedOn w:val="List4"/>
    <w:rsid w:val="00440CAB"/>
    <w:pPr>
      <w:ind w:firstLine="0"/>
    </w:pPr>
  </w:style>
  <w:style w:type="paragraph" w:styleId="ListContinue5">
    <w:name w:val="List Continue 5"/>
    <w:basedOn w:val="List5"/>
    <w:rsid w:val="00440CAB"/>
    <w:pPr>
      <w:ind w:firstLine="0"/>
    </w:pPr>
  </w:style>
  <w:style w:type="paragraph" w:styleId="ListNumber3">
    <w:name w:val="List Number 3"/>
    <w:basedOn w:val="List3"/>
    <w:rsid w:val="00440CAB"/>
    <w:pPr>
      <w:numPr>
        <w:numId w:val="6"/>
      </w:numPr>
    </w:pPr>
  </w:style>
  <w:style w:type="paragraph" w:styleId="ListNumber4">
    <w:name w:val="List Number 4"/>
    <w:basedOn w:val="List4"/>
    <w:rsid w:val="00440CAB"/>
    <w:pPr>
      <w:numPr>
        <w:numId w:val="7"/>
      </w:numPr>
    </w:pPr>
  </w:style>
  <w:style w:type="paragraph" w:styleId="ListNumber5">
    <w:name w:val="List Number 5"/>
    <w:basedOn w:val="List5"/>
    <w:rsid w:val="00440CAB"/>
    <w:pPr>
      <w:numPr>
        <w:numId w:val="8"/>
      </w:numPr>
    </w:pPr>
  </w:style>
  <w:style w:type="paragraph" w:styleId="BlockText">
    <w:name w:val="Block Text"/>
    <w:basedOn w:val="Normal"/>
    <w:rsid w:val="00440CAB"/>
    <w:pPr>
      <w:spacing w:after="120"/>
      <w:ind w:left="1440" w:right="1440"/>
    </w:pPr>
  </w:style>
  <w:style w:type="character" w:customStyle="1" w:styleId="Subscript">
    <w:name w:val="Subscript"/>
    <w:rsid w:val="00440CAB"/>
    <w:rPr>
      <w:sz w:val="16"/>
      <w:vertAlign w:val="subscript"/>
    </w:rPr>
  </w:style>
  <w:style w:type="character" w:customStyle="1" w:styleId="Superscript">
    <w:name w:val="Superscript"/>
    <w:rsid w:val="00440CAB"/>
    <w:rPr>
      <w:sz w:val="16"/>
      <w:vertAlign w:val="superscript"/>
    </w:rPr>
  </w:style>
  <w:style w:type="character" w:customStyle="1" w:styleId="Symbols">
    <w:name w:val="Symbols"/>
    <w:rsid w:val="00440CAB"/>
    <w:rPr>
      <w:rFonts w:ascii="Symbol" w:hAnsi="Symbol"/>
    </w:rPr>
  </w:style>
  <w:style w:type="character" w:customStyle="1" w:styleId="MenuOptions">
    <w:name w:val="Menu Options"/>
    <w:rsid w:val="00440CAB"/>
    <w:rPr>
      <w:rFonts w:ascii="Arial Narrow" w:hAnsi="Arial Narrow"/>
      <w:smallCaps/>
    </w:rPr>
  </w:style>
  <w:style w:type="character" w:customStyle="1" w:styleId="Buttons">
    <w:name w:val="Buttons"/>
    <w:rsid w:val="00440CAB"/>
    <w:rPr>
      <w:b/>
    </w:rPr>
  </w:style>
  <w:style w:type="character" w:customStyle="1" w:styleId="Underlined">
    <w:name w:val="Underlined"/>
    <w:rsid w:val="00440CAB"/>
    <w:rPr>
      <w:u w:val="single"/>
    </w:rPr>
  </w:style>
  <w:style w:type="paragraph" w:customStyle="1" w:styleId="TableBodyTextRight">
    <w:name w:val="Table Body Text Right"/>
    <w:basedOn w:val="TableBodyText"/>
    <w:rsid w:val="00440CAB"/>
    <w:pPr>
      <w:widowControl w:val="0"/>
      <w:autoSpaceDE w:val="0"/>
      <w:autoSpaceDN w:val="0"/>
      <w:adjustRightInd w:val="0"/>
      <w:jc w:val="right"/>
    </w:pPr>
    <w:rPr>
      <w:rFonts w:cs="Arial"/>
      <w:szCs w:val="18"/>
    </w:rPr>
  </w:style>
  <w:style w:type="paragraph" w:customStyle="1" w:styleId="CopyrightText">
    <w:name w:val="Copyright Text"/>
    <w:basedOn w:val="BodyText"/>
    <w:rsid w:val="00440CAB"/>
    <w:rPr>
      <w:sz w:val="18"/>
    </w:rPr>
  </w:style>
  <w:style w:type="paragraph" w:customStyle="1" w:styleId="BodySmallRight">
    <w:name w:val="Body Small Right"/>
    <w:basedOn w:val="BodyTextRight"/>
    <w:rsid w:val="00440CAB"/>
    <w:rPr>
      <w:sz w:val="18"/>
      <w:szCs w:val="18"/>
    </w:rPr>
  </w:style>
  <w:style w:type="paragraph" w:customStyle="1" w:styleId="MarginEdition">
    <w:name w:val="Margin Edition"/>
    <w:basedOn w:val="MarginNote"/>
    <w:rsid w:val="00440CAB"/>
    <w:pPr>
      <w:spacing w:before="0" w:after="0"/>
    </w:pPr>
    <w:rPr>
      <w:rFonts w:ascii="Times New Roman" w:hAnsi="Times New Roman"/>
      <w:color w:val="999999"/>
    </w:rPr>
  </w:style>
  <w:style w:type="paragraph" w:customStyle="1" w:styleId="Spacer">
    <w:name w:val="Spacer"/>
    <w:basedOn w:val="Normal"/>
    <w:rsid w:val="00440CAB"/>
    <w:rPr>
      <w:sz w:val="2"/>
      <w:szCs w:val="2"/>
    </w:rPr>
  </w:style>
  <w:style w:type="character" w:customStyle="1" w:styleId="Small">
    <w:name w:val="Small"/>
    <w:rsid w:val="00440CAB"/>
    <w:rPr>
      <w:sz w:val="16"/>
    </w:rPr>
  </w:style>
  <w:style w:type="paragraph" w:customStyle="1" w:styleId="WideTable">
    <w:name w:val="Wide Table"/>
    <w:basedOn w:val="Normal"/>
    <w:rsid w:val="00440CAB"/>
    <w:pPr>
      <w:ind w:left="-1418"/>
    </w:pPr>
    <w:rPr>
      <w:sz w:val="2"/>
      <w:szCs w:val="2"/>
    </w:rPr>
  </w:style>
  <w:style w:type="character" w:styleId="PageNumber">
    <w:name w:val="page number"/>
    <w:rsid w:val="00440CAB"/>
  </w:style>
  <w:style w:type="paragraph" w:styleId="Quote">
    <w:name w:val="Quote"/>
    <w:basedOn w:val="Heading1"/>
    <w:link w:val="QuoteChar"/>
    <w:qFormat/>
    <w:rsid w:val="00440CAB"/>
    <w:rPr>
      <w:b w:val="0"/>
      <w:sz w:val="72"/>
      <w:szCs w:val="72"/>
      <w:lang w:val="en-NZ"/>
    </w:rPr>
  </w:style>
  <w:style w:type="character" w:customStyle="1" w:styleId="QuoteChar">
    <w:name w:val="Quote Char"/>
    <w:link w:val="Quote"/>
    <w:rsid w:val="00440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CAB"/>
    <w:pPr>
      <w:pageBreakBefore/>
    </w:pPr>
  </w:style>
  <w:style w:type="paragraph" w:customStyle="1" w:styleId="Border">
    <w:name w:val="Border"/>
    <w:basedOn w:val="Normal"/>
    <w:qFormat/>
    <w:rsid w:val="00440CAB"/>
    <w:pPr>
      <w:pBdr>
        <w:top w:val="single" w:sz="18" w:space="1" w:color="auto"/>
      </w:pBdr>
    </w:pPr>
    <w:rPr>
      <w:rFonts w:ascii="Times New Roman" w:hAnsi="Times New Roman"/>
      <w:color w:val="FFFFFF"/>
      <w:sz w:val="2"/>
    </w:rPr>
  </w:style>
  <w:style w:type="character" w:styleId="IntenseEmphasis">
    <w:name w:val="Intense Emphasis"/>
    <w:uiPriority w:val="21"/>
    <w:qFormat/>
    <w:rsid w:val="00440CAB"/>
    <w:rPr>
      <w:b/>
      <w:bCs/>
      <w:i/>
      <w:iCs/>
      <w:color w:val="auto"/>
    </w:rPr>
  </w:style>
  <w:style w:type="paragraph" w:styleId="IntenseQuote">
    <w:name w:val="Intense Quote"/>
    <w:basedOn w:val="Normal"/>
    <w:next w:val="Normal"/>
    <w:link w:val="IntenseQuoteChar"/>
    <w:uiPriority w:val="30"/>
    <w:qFormat/>
    <w:rsid w:val="00440C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0CAB"/>
    <w:rPr>
      <w:rFonts w:ascii="Courier New" w:eastAsia="Times New Roman" w:hAnsi="Courier New" w:cs="Times New Roman"/>
      <w:b/>
      <w:bCs/>
      <w:i/>
      <w:iCs/>
      <w:szCs w:val="20"/>
      <w:lang w:val="en-US" w:eastAsia="en-US"/>
    </w:rPr>
  </w:style>
  <w:style w:type="character" w:styleId="SubtleReference">
    <w:name w:val="Subtle Reference"/>
    <w:uiPriority w:val="31"/>
    <w:qFormat/>
    <w:rsid w:val="00440CAB"/>
    <w:rPr>
      <w:smallCaps/>
      <w:color w:val="auto"/>
      <w:u w:val="single"/>
    </w:rPr>
  </w:style>
  <w:style w:type="character" w:styleId="IntenseReference">
    <w:name w:val="Intense Reference"/>
    <w:uiPriority w:val="32"/>
    <w:qFormat/>
    <w:rsid w:val="00440CAB"/>
    <w:rPr>
      <w:b/>
      <w:bCs/>
      <w:smallCaps/>
      <w:color w:val="auto"/>
      <w:spacing w:val="5"/>
      <w:u w:val="single"/>
    </w:rPr>
  </w:style>
  <w:style w:type="paragraph" w:customStyle="1" w:styleId="2ColumnHeading">
    <w:name w:val="2Column Heading"/>
    <w:basedOn w:val="BodyText"/>
    <w:qFormat/>
    <w:rsid w:val="00440CAB"/>
    <w:pPr>
      <w:spacing w:after="60"/>
      <w:ind w:left="-2268"/>
    </w:pPr>
    <w:rPr>
      <w:b/>
    </w:rPr>
  </w:style>
  <w:style w:type="paragraph" w:customStyle="1" w:styleId="Heading1TOC">
    <w:name w:val="Heading1 TOC"/>
    <w:basedOn w:val="Normal"/>
    <w:qFormat/>
    <w:rsid w:val="00440CAB"/>
    <w:pPr>
      <w:spacing w:before="240" w:after="120"/>
    </w:pPr>
    <w:rPr>
      <w:rFonts w:ascii="Times New Roman" w:hAnsi="Times New Roman"/>
      <w:b/>
      <w:sz w:val="32"/>
    </w:rPr>
  </w:style>
  <w:style w:type="paragraph" w:customStyle="1" w:styleId="Heading2TOC">
    <w:name w:val="Heading2 TOC"/>
    <w:basedOn w:val="Normal"/>
    <w:qFormat/>
    <w:rsid w:val="00440CAB"/>
    <w:pPr>
      <w:spacing w:before="240" w:after="60"/>
    </w:pPr>
    <w:rPr>
      <w:rFonts w:ascii="Times New Roman" w:hAnsi="Times New Roman"/>
      <w:b/>
      <w:sz w:val="28"/>
    </w:rPr>
  </w:style>
  <w:style w:type="character" w:customStyle="1" w:styleId="Underline">
    <w:name w:val="Underline"/>
    <w:qFormat/>
    <w:rsid w:val="00440CAB"/>
    <w:rPr>
      <w:u w:val="single"/>
    </w:rPr>
  </w:style>
  <w:style w:type="paragraph" w:styleId="BalloonText">
    <w:name w:val="Balloon Text"/>
    <w:basedOn w:val="Normal"/>
    <w:link w:val="BalloonTextChar"/>
    <w:rsid w:val="00440CAB"/>
    <w:rPr>
      <w:rFonts w:ascii="Tahoma" w:hAnsi="Tahoma" w:cs="Tahoma"/>
      <w:sz w:val="16"/>
      <w:szCs w:val="16"/>
    </w:rPr>
  </w:style>
  <w:style w:type="character" w:customStyle="1" w:styleId="BalloonTextChar">
    <w:name w:val="Balloon Text Char"/>
    <w:link w:val="BalloonText"/>
    <w:rsid w:val="00440C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C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0C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1469</Words>
  <Characters>9209</Characters>
  <Application>Microsoft Office Word</Application>
  <DocSecurity>0</DocSecurity>
  <Lines>341</Lines>
  <Paragraphs>159</Paragraphs>
  <ScaleCrop>false</ScaleCrop>
  <Company>Author-it Software Corporation Ltd.</Company>
  <LinksUpToDate>false</LinksUpToDate>
  <CharactersWithSpaces>10585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CPCCSV6011A Apply legal procedures to building surveying</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2012-05-26T05:40:00Z</dcterms:created>
  <dcterms:modified xsi:type="dcterms:W3CDTF">2012-05-26T05:40:00Z</dcterms:modified>
</cp:coreProperties>
</file>