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5BB4" w:rsidP="000B5BB4">
      <w:pPr>
        <w:pStyle w:val="Title"/>
      </w:pPr>
      <w:bookmarkStart w:id="0" w:name="_GoBack"/>
      <w:bookmarkEnd w:id="0"/>
      <w:r>
        <w:fldChar w:fldCharType="begin"/>
      </w:r>
      <w:r>
        <w:instrText xml:space="preserve"> TITLE   \* MERGEFORMAT </w:instrText>
      </w:r>
      <w:r>
        <w:fldChar w:fldCharType="separate"/>
      </w:r>
      <w:r>
        <w:t>CPCCSV6004A Apply footing and geomechanical design principles to buildings up to three storeys</w:t>
      </w:r>
      <w:r>
        <w:fldChar w:fldCharType="end"/>
      </w:r>
    </w:p>
    <w:p w:rsidR="000B5BB4" w:rsidP="000B5BB4">
      <w:pPr>
        <w:pStyle w:val="Version"/>
        <w:sectPr w:rsidSect="00AF37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3712" w:rsidP="00AF3712">
      <w:pPr>
        <w:pStyle w:val="SuperHeading"/>
      </w:pPr>
      <w:r w:rsidRPr="00AF3712">
        <w:t>CPCCSV6004A Apply footing and geomechanical design principles to buildings up to three storeys</w:t>
      </w:r>
    </w:p>
    <w:p w:rsidR="00000000" w:rsidRPr="00AF3712" w:rsidP="00AF3712">
      <w:pPr>
        <w:pStyle w:val="Heading1"/>
      </w:pPr>
      <w:bookmarkStart w:id="1" w:name="O_269749"/>
      <w:bookmarkEnd w:id="1"/>
      <w:r w:rsidRPr="00AF3712">
        <w:t>Modification History</w:t>
      </w:r>
    </w:p>
    <w:p w:rsidR="00000000" w:rsidRPr="00AF3712" w:rsidP="00AF3712">
      <w:pPr>
        <w:pStyle w:val="BodyText"/>
      </w:pPr>
      <w:r w:rsidRPr="00AF3712">
        <w:t>Not Applicable</w:t>
      </w:r>
    </w:p>
    <w:p w:rsidR="00000000" w:rsidRPr="00AF3712" w:rsidP="00AF3712">
      <w:pPr>
        <w:pStyle w:val="AllowPageBreak"/>
      </w:pPr>
    </w:p>
    <w:p w:rsidR="00000000" w:rsidRPr="00AF3712" w:rsidP="00AF3712">
      <w:pPr>
        <w:pStyle w:val="Heading1"/>
      </w:pPr>
      <w:bookmarkStart w:id="2" w:name="O_199018"/>
      <w:bookmarkEnd w:id="2"/>
      <w:r w:rsidRPr="00AF3712">
        <w:t>Un</w:t>
      </w:r>
      <w:r w:rsidRPr="00AF3712">
        <w:t>it Descriptor</w:t>
      </w:r>
    </w:p>
    <w:tbl>
      <w:tblPr>
        <w:tblW w:w="0" w:type="auto"/>
        <w:tblLayout w:type="fixed"/>
        <w:tblCellMar>
          <w:left w:w="62" w:type="dxa"/>
          <w:right w:w="62" w:type="dxa"/>
        </w:tblCellMar>
        <w:tblLook w:val="0000"/>
      </w:tblPr>
      <w:tblGrid>
        <w:gridCol w:w="2639"/>
        <w:gridCol w:w="5883"/>
      </w:tblGrid>
      <w:tr w:rsidTr="000B5BB4">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AF3712" w:rsidP="00AF3712">
            <w:pPr>
              <w:pStyle w:val="BodyText"/>
            </w:pPr>
            <w:r w:rsidRPr="00AF3712">
              <w:t>This unit of competency specifies the outcomes required to apply footing and geomechanical design principles to buildings up to three storeys and not exceeding a maximum floor area of 2000 square metres.</w:t>
            </w:r>
          </w:p>
          <w:p w:rsidR="00000000" w:rsidRPr="00AF3712" w:rsidP="00AF3712">
            <w:pPr>
              <w:pStyle w:val="BodyText"/>
            </w:pPr>
            <w:r w:rsidRPr="00AF3712">
              <w:t>It includes the identi</w:t>
            </w:r>
            <w:r w:rsidRPr="00AF3712">
              <w:t>fication, classification, calculated positioning and sizing of all structural footing that form foundation components of the project.</w:t>
            </w:r>
          </w:p>
        </w:tc>
      </w:tr>
    </w:tbl>
    <w:p w:rsidR="000B5BB4" w:rsidP="00AF3712">
      <w:pPr>
        <w:pStyle w:val="BodyText"/>
      </w:pPr>
    </w:p>
    <w:p w:rsidR="000B5BB4" w:rsidP="00AF3712">
      <w:pPr>
        <w:pStyle w:val="BodyText"/>
      </w:pPr>
    </w:p>
    <w:p w:rsidR="00000000" w:rsidRPr="00AF3712" w:rsidP="00AF3712">
      <w:pPr>
        <w:pStyle w:val="Heading1"/>
      </w:pPr>
      <w:bookmarkStart w:id="3" w:name="O_199022"/>
      <w:bookmarkEnd w:id="3"/>
      <w:r w:rsidRPr="00AF3712">
        <w:t>Application of the Unit</w:t>
      </w:r>
    </w:p>
    <w:tbl>
      <w:tblPr>
        <w:tblW w:w="0" w:type="auto"/>
        <w:tblLayout w:type="fixed"/>
        <w:tblCellMar>
          <w:left w:w="62" w:type="dxa"/>
          <w:right w:w="62" w:type="dxa"/>
        </w:tblCellMar>
        <w:tblLook w:val="0000"/>
      </w:tblPr>
      <w:tblGrid>
        <w:gridCol w:w="2707"/>
        <w:gridCol w:w="5815"/>
      </w:tblGrid>
      <w:tr w:rsidTr="000B5BB4">
        <w:tblPrEx>
          <w:tblW w:w="0" w:type="auto"/>
          <w:tblLayout w:type="fixed"/>
          <w:tblCellMar>
            <w:left w:w="62" w:type="dxa"/>
            <w:right w:w="62" w:type="dxa"/>
          </w:tblCellMar>
          <w:tblLook w:val="0000"/>
        </w:tblPrEx>
        <w:trPr>
          <w:tblHeader/>
        </w:trPr>
        <w:tc>
          <w:tcPr>
            <w:tcW w:w="2707"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rPr>
                <w:rStyle w:val="SpecialBold"/>
              </w:rPr>
              <w:t>Application of the unit</w:t>
            </w:r>
          </w:p>
        </w:tc>
        <w:tc>
          <w:tcPr>
            <w:tcW w:w="5815" w:type="dxa"/>
            <w:tcBorders>
              <w:top w:val="nil"/>
              <w:left w:val="nil"/>
              <w:bottom w:val="nil"/>
              <w:right w:val="nil"/>
            </w:tcBorders>
            <w:tcMar>
              <w:top w:w="0" w:type="dxa"/>
              <w:left w:w="62" w:type="dxa"/>
              <w:bottom w:w="0" w:type="dxa"/>
              <w:right w:w="62" w:type="dxa"/>
            </w:tcMar>
          </w:tcPr>
          <w:p w:rsidR="00000000" w:rsidRPr="00AF3712" w:rsidP="00AF3712">
            <w:pPr>
              <w:pStyle w:val="BodyText"/>
            </w:pPr>
            <w:r w:rsidRPr="00AF3712">
              <w:t>This unit of competency supports the attainment of the understanding and skills to apply footing and geomechanical design principles to buildings up to three storeys within the context of relevant legislation, the Building Code of Australia (BCA) and Austr</w:t>
            </w:r>
            <w:r w:rsidRPr="00AF3712">
              <w:t xml:space="preserve">alian standards. </w:t>
            </w:r>
          </w:p>
        </w:tc>
      </w:tr>
    </w:tbl>
    <w:p w:rsidR="000B5BB4" w:rsidP="00AF3712">
      <w:pPr>
        <w:pStyle w:val="BodyText"/>
      </w:pPr>
    </w:p>
    <w:p w:rsidR="000B5BB4" w:rsidP="00AF3712">
      <w:pPr>
        <w:pStyle w:val="BodyText"/>
      </w:pPr>
    </w:p>
    <w:p w:rsidR="00000000" w:rsidRPr="00AF3712" w:rsidP="00AF3712">
      <w:pPr>
        <w:pStyle w:val="Heading1"/>
      </w:pPr>
      <w:bookmarkStart w:id="4" w:name="O_278009"/>
      <w:bookmarkEnd w:id="4"/>
      <w:r w:rsidRPr="00AF3712">
        <w:t>Licensing/Regulatory Information</w:t>
      </w:r>
    </w:p>
    <w:p w:rsidR="00000000" w:rsidRPr="00AF3712" w:rsidP="00AF3712">
      <w:pPr>
        <w:pStyle w:val="BodyText"/>
      </w:pPr>
      <w:r w:rsidRPr="00AF3712">
        <w:t>Not Applicable</w:t>
      </w:r>
    </w:p>
    <w:p w:rsidR="00000000" w:rsidRPr="00AF3712" w:rsidP="00AF3712">
      <w:pPr>
        <w:pStyle w:val="AllowPageBreak"/>
      </w:pPr>
    </w:p>
    <w:p w:rsidR="00000000" w:rsidRPr="00AF3712" w:rsidP="00AF3712">
      <w:pPr>
        <w:pStyle w:val="Heading1"/>
      </w:pPr>
      <w:bookmarkStart w:id="5" w:name="O_199020"/>
      <w:bookmarkEnd w:id="5"/>
      <w:r w:rsidRPr="00AF3712">
        <w:t>Pre-Requisites</w:t>
      </w:r>
    </w:p>
    <w:tbl>
      <w:tblPr>
        <w:tblW w:w="0" w:type="auto"/>
        <w:tblLayout w:type="fixed"/>
        <w:tblCellMar>
          <w:left w:w="62" w:type="dxa"/>
          <w:right w:w="62" w:type="dxa"/>
        </w:tblCellMar>
        <w:tblLook w:val="0000"/>
      </w:tblPr>
      <w:tblGrid>
        <w:gridCol w:w="2717"/>
        <w:gridCol w:w="1322"/>
        <w:gridCol w:w="4483"/>
      </w:tblGrid>
      <w:tr w:rsidTr="000B5BB4">
        <w:tblPrEx>
          <w:tblW w:w="0" w:type="auto"/>
          <w:tblLayout w:type="fixed"/>
          <w:tblCellMar>
            <w:left w:w="62" w:type="dxa"/>
            <w:right w:w="62" w:type="dxa"/>
          </w:tblCellMar>
          <w:tblLook w:val="0000"/>
        </w:tblPrEx>
        <w:trPr>
          <w:tblHeader/>
        </w:trPr>
        <w:tc>
          <w:tcPr>
            <w:tcW w:w="2717"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rPr>
                <w:rStyle w:val="SpecialBold"/>
              </w:rPr>
              <w:t>Prerequisite units</w:t>
            </w:r>
          </w:p>
        </w:tc>
        <w:tc>
          <w:tcPr>
            <w:tcW w:w="5805" w:type="dxa"/>
            <w:gridSpan w:val="2"/>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t>Nil</w:t>
            </w:r>
          </w:p>
        </w:tc>
      </w:tr>
      <w:tr w:rsidTr="000B5BB4">
        <w:tblPrEx>
          <w:tblW w:w="0" w:type="auto"/>
          <w:tblLayout w:type="fixed"/>
          <w:tblCellMar>
            <w:left w:w="62" w:type="dxa"/>
            <w:right w:w="62" w:type="dxa"/>
          </w:tblCellMar>
          <w:tblLook w:val="0000"/>
        </w:tblPrEx>
        <w:tc>
          <w:tcPr>
            <w:tcW w:w="27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3"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p>
        </w:tc>
      </w:tr>
      <w:tr w:rsidTr="000B5BB4">
        <w:tblPrEx>
          <w:tblW w:w="0" w:type="auto"/>
          <w:tblLayout w:type="fixed"/>
          <w:tblCellMar>
            <w:left w:w="62" w:type="dxa"/>
            <w:right w:w="62" w:type="dxa"/>
          </w:tblCellMar>
          <w:tblLook w:val="0000"/>
        </w:tblPrEx>
        <w:tc>
          <w:tcPr>
            <w:tcW w:w="27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3" w:type="dxa"/>
            <w:tcBorders>
              <w:top w:val="nil"/>
              <w:left w:val="nil"/>
              <w:bottom w:val="nil"/>
              <w:right w:val="nil"/>
            </w:tcBorders>
            <w:tcMar>
              <w:top w:w="0" w:type="dxa"/>
              <w:left w:w="62" w:type="dxa"/>
              <w:bottom w:w="0" w:type="dxa"/>
              <w:right w:w="62" w:type="dxa"/>
            </w:tcMar>
          </w:tcPr>
          <w:p w:rsidR="00000000" w:rsidRPr="00AF3712" w:rsidP="00AF3712">
            <w:pPr>
              <w:pStyle w:val="BodyText"/>
            </w:pPr>
          </w:p>
        </w:tc>
      </w:tr>
    </w:tbl>
    <w:p w:rsidR="000B5BB4" w:rsidP="00AF3712">
      <w:pPr>
        <w:pStyle w:val="BodyText"/>
      </w:pPr>
    </w:p>
    <w:p w:rsidR="000B5BB4" w:rsidP="00AF3712">
      <w:pPr>
        <w:pStyle w:val="BodyText"/>
      </w:pPr>
    </w:p>
    <w:p w:rsidR="00000000" w:rsidRPr="00AF3712" w:rsidP="00AF3712">
      <w:pPr>
        <w:pStyle w:val="Heading1"/>
      </w:pPr>
      <w:bookmarkStart w:id="6" w:name="O_199019"/>
      <w:bookmarkEnd w:id="6"/>
      <w:r w:rsidRPr="00AF3712">
        <w:t>Employability Skills Information</w:t>
      </w:r>
    </w:p>
    <w:tbl>
      <w:tblPr>
        <w:tblW w:w="0" w:type="auto"/>
        <w:tblLayout w:type="fixed"/>
        <w:tblCellMar>
          <w:left w:w="62" w:type="dxa"/>
          <w:right w:w="62" w:type="dxa"/>
        </w:tblCellMar>
        <w:tblLook w:val="0000"/>
      </w:tblPr>
      <w:tblGrid>
        <w:gridCol w:w="2743"/>
        <w:gridCol w:w="5779"/>
      </w:tblGrid>
      <w:tr w:rsidTr="000B5BB4">
        <w:tblPrEx>
          <w:tblW w:w="0" w:type="auto"/>
          <w:tblLayout w:type="fixed"/>
          <w:tblCellMar>
            <w:left w:w="62" w:type="dxa"/>
            <w:right w:w="62" w:type="dxa"/>
          </w:tblCellMar>
          <w:tblLook w:val="0000"/>
        </w:tblPrEx>
        <w:trPr>
          <w:tblHeader/>
        </w:trPr>
        <w:tc>
          <w:tcPr>
            <w:tcW w:w="2743"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rPr>
                <w:rStyle w:val="SpecialBold"/>
              </w:rPr>
              <w:t>Employability skills</w:t>
            </w:r>
          </w:p>
        </w:tc>
        <w:tc>
          <w:tcPr>
            <w:tcW w:w="5779" w:type="dxa"/>
            <w:tcBorders>
              <w:top w:val="nil"/>
              <w:left w:val="nil"/>
              <w:bottom w:val="nil"/>
              <w:right w:val="nil"/>
            </w:tcBorders>
            <w:tcMar>
              <w:top w:w="0" w:type="dxa"/>
              <w:left w:w="62" w:type="dxa"/>
              <w:bottom w:w="0" w:type="dxa"/>
              <w:right w:w="62" w:type="dxa"/>
            </w:tcMar>
          </w:tcPr>
          <w:p w:rsidR="00000000" w:rsidRPr="00AF3712" w:rsidP="00AF3712">
            <w:pPr>
              <w:pStyle w:val="BodyText"/>
            </w:pPr>
            <w:r w:rsidRPr="00AF3712">
              <w:t>This unit contains employability skills.</w:t>
            </w:r>
          </w:p>
        </w:tc>
      </w:tr>
    </w:tbl>
    <w:p w:rsidR="000B5BB4" w:rsidP="00AF3712">
      <w:pPr>
        <w:pStyle w:val="BodyText"/>
      </w:pPr>
    </w:p>
    <w:p w:rsidR="000B5BB4" w:rsidP="00AF3712">
      <w:pPr>
        <w:pStyle w:val="BodyText"/>
      </w:pPr>
    </w:p>
    <w:p w:rsidR="00000000" w:rsidRPr="00AF3712" w:rsidP="00AF3712">
      <w:pPr>
        <w:pStyle w:val="Heading1"/>
      </w:pPr>
      <w:bookmarkStart w:id="7" w:name="O_287795"/>
      <w:bookmarkEnd w:id="7"/>
      <w:r w:rsidRPr="00AF3712">
        <w:t>Elements and Performance Criteria Pre-Content</w:t>
      </w:r>
    </w:p>
    <w:tbl>
      <w:tblPr>
        <w:tblW w:w="0" w:type="auto"/>
        <w:tblLayout w:type="fixed"/>
        <w:tblCellMar>
          <w:left w:w="62" w:type="dxa"/>
          <w:right w:w="62" w:type="dxa"/>
        </w:tblCellMar>
        <w:tblLook w:val="0000"/>
      </w:tblPr>
      <w:tblGrid>
        <w:gridCol w:w="2582"/>
        <w:gridCol w:w="5940"/>
      </w:tblGrid>
      <w:tr w:rsidTr="000B5BB4">
        <w:tblPrEx>
          <w:tblW w:w="0" w:type="auto"/>
          <w:tblLayout w:type="fixed"/>
          <w:tblCellMar>
            <w:left w:w="62" w:type="dxa"/>
            <w:right w:w="62" w:type="dxa"/>
          </w:tblCellMar>
          <w:tblLook w:val="0000"/>
        </w:tblPrEx>
        <w:tc>
          <w:tcPr>
            <w:tcW w:w="2582" w:type="dxa"/>
            <w:tcBorders>
              <w:top w:val="single" w:sz="6" w:space="0" w:color="auto"/>
              <w:left w:val="nil"/>
              <w:bottom w:val="nil"/>
              <w:right w:val="nil"/>
            </w:tcBorders>
            <w:tcMar>
              <w:top w:w="0" w:type="dxa"/>
              <w:left w:w="62" w:type="dxa"/>
              <w:bottom w:w="0" w:type="dxa"/>
              <w:right w:w="62" w:type="dxa"/>
            </w:tcMar>
          </w:tcPr>
          <w:p w:rsidR="00000000" w:rsidP="00AF3712">
            <w:pPr>
              <w:pStyle w:val="BodyText"/>
              <w:rPr>
                <w:lang w:val="en-NZ"/>
              </w:rPr>
            </w:pPr>
            <w:r w:rsidRPr="00AF3712">
              <w:t>Elements describe the essential outcomes of a unit of competency.</w:t>
            </w:r>
          </w:p>
        </w:tc>
        <w:tc>
          <w:tcPr>
            <w:tcW w:w="5940" w:type="dxa"/>
            <w:tcBorders>
              <w:top w:val="single" w:sz="6" w:space="0" w:color="auto"/>
              <w:left w:val="nil"/>
              <w:bottom w:val="nil"/>
              <w:right w:val="nil"/>
            </w:tcBorders>
            <w:tcMar>
              <w:top w:w="0" w:type="dxa"/>
              <w:left w:w="62" w:type="dxa"/>
              <w:bottom w:w="0" w:type="dxa"/>
              <w:right w:w="62" w:type="dxa"/>
            </w:tcMar>
          </w:tcPr>
          <w:p w:rsidR="00000000" w:rsidRPr="00AF3712" w:rsidP="00AF3712">
            <w:pPr>
              <w:pStyle w:val="BodyText"/>
            </w:pPr>
            <w:r w:rsidRPr="00AF3712">
              <w:t xml:space="preserve">Performance criteria describe the performance needed to demonstrate achievement of </w:t>
            </w:r>
            <w:r w:rsidRPr="00AF3712">
              <w:t>the element. Where bold italicised text is used, further information is detailed in the required skills and knowledge section and the range statement. Assessment of performance is to be consistent with the evidence guide.</w:t>
            </w:r>
          </w:p>
        </w:tc>
      </w:tr>
    </w:tbl>
    <w:p w:rsidR="00000000" w:rsidRPr="00AF3712" w:rsidP="00AF3712">
      <w:pPr>
        <w:pStyle w:val="BodyText"/>
      </w:pPr>
    </w:p>
    <w:p w:rsidR="00000000" w:rsidRPr="00AF3712" w:rsidP="00AF3712">
      <w:pPr>
        <w:pStyle w:val="AllowPageBreak"/>
      </w:pPr>
    </w:p>
    <w:p w:rsidR="00000000" w:rsidRPr="00AF3712" w:rsidP="00AF3712">
      <w:pPr>
        <w:pStyle w:val="Heading1"/>
      </w:pPr>
      <w:bookmarkStart w:id="8" w:name="O_234462"/>
      <w:bookmarkEnd w:id="8"/>
      <w:r w:rsidRPr="00AF3712">
        <w:t>Elements and Performance Criteria</w:t>
      </w:r>
    </w:p>
    <w:tbl>
      <w:tblPr>
        <w:tblW w:w="0" w:type="auto"/>
        <w:tblLayout w:type="fixed"/>
        <w:tblCellMar>
          <w:left w:w="62" w:type="dxa"/>
          <w:right w:w="62" w:type="dxa"/>
        </w:tblCellMar>
        <w:tblLook w:val="0000"/>
      </w:tblPr>
      <w:tblGrid>
        <w:gridCol w:w="2582"/>
        <w:gridCol w:w="5940"/>
      </w:tblGrid>
      <w:tr w:rsidTr="000B5BB4">
        <w:tblPrEx>
          <w:tblW w:w="0" w:type="auto"/>
          <w:tblLayout w:type="fixed"/>
          <w:tblCellMar>
            <w:left w:w="62" w:type="dxa"/>
            <w:right w:w="62" w:type="dxa"/>
          </w:tblCellMar>
          <w:tblLook w:val="0000"/>
        </w:tblPrEx>
        <w:trPr>
          <w:tblHeader/>
        </w:trPr>
        <w:tc>
          <w:tcPr>
            <w:tcW w:w="2582" w:type="dxa"/>
            <w:tcBorders>
              <w:top w:val="nil"/>
              <w:left w:val="nil"/>
              <w:bottom w:val="single" w:sz="6" w:space="0" w:color="auto"/>
              <w:right w:val="nil"/>
            </w:tcBorders>
            <w:tcMar>
              <w:top w:w="0" w:type="dxa"/>
              <w:left w:w="62" w:type="dxa"/>
              <w:bottom w:w="0" w:type="dxa"/>
              <w:right w:w="62" w:type="dxa"/>
            </w:tcMar>
          </w:tcPr>
          <w:p w:rsidR="00000000" w:rsidRPr="00AF3712" w:rsidP="00AF3712">
            <w:pPr>
              <w:pStyle w:val="BodyText"/>
            </w:pPr>
            <w:r w:rsidRPr="00AF3712">
              <w:rPr>
                <w:rStyle w:val="SpecialBold"/>
              </w:rPr>
              <w:t>ELEMENT</w:t>
            </w:r>
          </w:p>
        </w:tc>
        <w:tc>
          <w:tcPr>
            <w:tcW w:w="5940" w:type="dxa"/>
            <w:tcBorders>
              <w:top w:val="nil"/>
              <w:left w:val="nil"/>
              <w:bottom w:val="single" w:sz="6" w:space="0" w:color="auto"/>
              <w:right w:val="nil"/>
            </w:tcBorders>
            <w:tcMar>
              <w:top w:w="0" w:type="dxa"/>
              <w:left w:w="62" w:type="dxa"/>
              <w:bottom w:w="0" w:type="dxa"/>
              <w:right w:w="62" w:type="dxa"/>
            </w:tcMar>
          </w:tcPr>
          <w:p w:rsidR="00000000" w:rsidP="00AF3712">
            <w:pPr>
              <w:pStyle w:val="BodyText"/>
              <w:rPr>
                <w:lang w:val="en-NZ"/>
              </w:rPr>
            </w:pPr>
            <w:r w:rsidRPr="00AF3712">
              <w:rPr>
                <w:rStyle w:val="SpecialBold"/>
              </w:rPr>
              <w:t>PERFORMANCE CRITERIA</w:t>
            </w:r>
          </w:p>
        </w:tc>
      </w:tr>
      <w:tr w:rsidTr="000B5BB4">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AF3712">
            <w:pPr>
              <w:pStyle w:val="List"/>
              <w:rPr>
                <w:lang w:val="en-NZ"/>
              </w:rPr>
            </w:pPr>
            <w:r w:rsidRPr="00AF3712">
              <w:t>1.</w:t>
            </w:r>
            <w:r w:rsidRPr="00AF3712">
              <w:tab/>
              <w:t>Evaluation of slope instability.</w:t>
            </w:r>
          </w:p>
        </w:tc>
        <w:tc>
          <w:tcPr>
            <w:tcW w:w="5940" w:type="dxa"/>
            <w:tcBorders>
              <w:top w:val="nil"/>
              <w:left w:val="nil"/>
              <w:bottom w:val="nil"/>
              <w:right w:val="nil"/>
            </w:tcBorders>
            <w:tcMar>
              <w:top w:w="0" w:type="dxa"/>
              <w:left w:w="62" w:type="dxa"/>
              <w:bottom w:w="0" w:type="dxa"/>
              <w:right w:w="62" w:type="dxa"/>
            </w:tcMar>
          </w:tcPr>
          <w:p w:rsidR="00000000" w:rsidRPr="00AF3712" w:rsidP="00AF3712">
            <w:pPr>
              <w:pStyle w:val="List2"/>
            </w:pPr>
            <w:r w:rsidRPr="00AF3712">
              <w:t>1.1.</w:t>
            </w:r>
            <w:r w:rsidRPr="00AF3712">
              <w:tab/>
              <w:t>Effect of soil and rock strength on slope instability is evaluated and recorded.</w:t>
            </w:r>
          </w:p>
          <w:p w:rsidR="00000000" w:rsidRPr="00AF3712" w:rsidP="00AF3712">
            <w:pPr>
              <w:pStyle w:val="List2"/>
            </w:pPr>
            <w:r w:rsidRPr="00AF3712">
              <w:t>1.2.</w:t>
            </w:r>
            <w:r w:rsidRPr="00AF3712">
              <w:tab/>
            </w:r>
            <w:r w:rsidRPr="00AF3712">
              <w:t>Modes and mechanics of slope instability are researched and documented.</w:t>
            </w:r>
          </w:p>
          <w:p w:rsidR="00000000" w:rsidP="00AF3712">
            <w:pPr>
              <w:pStyle w:val="List2"/>
              <w:rPr>
                <w:lang w:val="en-NZ"/>
              </w:rPr>
            </w:pPr>
            <w:r w:rsidRPr="00AF3712">
              <w:t>1.3.</w:t>
            </w:r>
            <w:r w:rsidRPr="00AF3712">
              <w:tab/>
              <w:t xml:space="preserve">Methods to stabilise slopes are researched and documented according to </w:t>
            </w:r>
            <w:r w:rsidRPr="00AF3712">
              <w:rPr>
                <w:rStyle w:val="BoldandItalics"/>
              </w:rPr>
              <w:t>standard specifications</w:t>
            </w:r>
            <w:r w:rsidRPr="00AF3712">
              <w:t xml:space="preserve">. </w:t>
            </w:r>
          </w:p>
        </w:tc>
      </w:tr>
      <w:tr w:rsidTr="000B5BB4">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AF3712">
            <w:pPr>
              <w:pStyle w:val="List"/>
              <w:rPr>
                <w:lang w:val="en-NZ"/>
              </w:rPr>
            </w:pPr>
            <w:r w:rsidRPr="00AF3712">
              <w:t>2.</w:t>
            </w:r>
            <w:r w:rsidRPr="00AF3712">
              <w:tab/>
              <w:t>Analyse retaining wall requirements according to the structure.</w:t>
            </w:r>
          </w:p>
        </w:tc>
        <w:tc>
          <w:tcPr>
            <w:tcW w:w="5940" w:type="dxa"/>
            <w:tcBorders>
              <w:top w:val="nil"/>
              <w:left w:val="nil"/>
              <w:bottom w:val="nil"/>
              <w:right w:val="nil"/>
            </w:tcBorders>
            <w:tcMar>
              <w:top w:w="0" w:type="dxa"/>
              <w:left w:w="62" w:type="dxa"/>
              <w:bottom w:w="0" w:type="dxa"/>
              <w:right w:w="62" w:type="dxa"/>
            </w:tcMar>
          </w:tcPr>
          <w:p w:rsidR="00000000" w:rsidRPr="00AF3712" w:rsidP="00AF3712">
            <w:pPr>
              <w:pStyle w:val="List2"/>
            </w:pPr>
            <w:r w:rsidRPr="00AF3712">
              <w:t>2.1.</w:t>
            </w:r>
            <w:r w:rsidRPr="00AF3712">
              <w:tab/>
              <w:t>Retaining</w:t>
            </w:r>
            <w:r w:rsidRPr="00AF3712">
              <w:t xml:space="preserve"> structures and systems suitable for various situations and </w:t>
            </w:r>
            <w:r w:rsidRPr="00AF3712">
              <w:rPr>
                <w:rStyle w:val="BoldandItalics"/>
              </w:rPr>
              <w:t>soil types</w:t>
            </w:r>
            <w:r w:rsidRPr="00AF3712">
              <w:t xml:space="preserve"> are identified adhering to </w:t>
            </w:r>
            <w:r w:rsidRPr="00AF3712">
              <w:rPr>
                <w:rStyle w:val="BoldandItalics"/>
              </w:rPr>
              <w:t>legislative requirements</w:t>
            </w:r>
            <w:r w:rsidRPr="00AF3712">
              <w:t xml:space="preserve"> and the </w:t>
            </w:r>
            <w:r w:rsidRPr="00AF3712">
              <w:rPr>
                <w:rStyle w:val="BoldandItalics"/>
              </w:rPr>
              <w:t>application of footings and geomechanical principles</w:t>
            </w:r>
            <w:r w:rsidRPr="00AF3712">
              <w:t xml:space="preserve">. </w:t>
            </w:r>
          </w:p>
          <w:p w:rsidR="00000000" w:rsidRPr="00AF3712" w:rsidP="00AF3712">
            <w:pPr>
              <w:pStyle w:val="List2"/>
            </w:pPr>
            <w:r w:rsidRPr="00AF3712">
              <w:t>2.2.</w:t>
            </w:r>
            <w:r w:rsidRPr="00AF3712">
              <w:tab/>
              <w:t>Active and passive earth pressure and water pressure applicable t</w:t>
            </w:r>
            <w:r w:rsidRPr="00AF3712">
              <w:t>o various retaining structures is determined.</w:t>
            </w:r>
          </w:p>
          <w:p w:rsidR="00000000" w:rsidP="00AF3712">
            <w:pPr>
              <w:pStyle w:val="List2"/>
              <w:rPr>
                <w:lang w:val="en-NZ"/>
              </w:rPr>
            </w:pPr>
            <w:r w:rsidRPr="00AF3712">
              <w:t>2.3.</w:t>
            </w:r>
            <w:r w:rsidRPr="00AF3712">
              <w:tab/>
              <w:t>Earth pressures on a gravity retaining wall are determined and analysed according to required structure for stability.</w:t>
            </w:r>
          </w:p>
        </w:tc>
      </w:tr>
      <w:tr w:rsidTr="000B5BB4">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AF3712">
            <w:pPr>
              <w:pStyle w:val="List"/>
              <w:rPr>
                <w:lang w:val="en-NZ"/>
              </w:rPr>
            </w:pPr>
            <w:r w:rsidRPr="00AF3712">
              <w:t>3.</w:t>
            </w:r>
            <w:r w:rsidRPr="00AF3712">
              <w:tab/>
              <w:t>Determine footing design requirements according to situation.</w:t>
            </w:r>
          </w:p>
        </w:tc>
        <w:tc>
          <w:tcPr>
            <w:tcW w:w="5940" w:type="dxa"/>
            <w:tcBorders>
              <w:top w:val="nil"/>
              <w:left w:val="nil"/>
              <w:bottom w:val="nil"/>
              <w:right w:val="nil"/>
            </w:tcBorders>
            <w:tcMar>
              <w:top w:w="0" w:type="dxa"/>
              <w:left w:w="62" w:type="dxa"/>
              <w:bottom w:w="0" w:type="dxa"/>
              <w:right w:w="62" w:type="dxa"/>
            </w:tcMar>
          </w:tcPr>
          <w:p w:rsidR="00000000" w:rsidRPr="00AF3712" w:rsidP="00AF3712">
            <w:pPr>
              <w:pStyle w:val="List2"/>
            </w:pPr>
            <w:r w:rsidRPr="00AF3712">
              <w:t>3.1.</w:t>
            </w:r>
            <w:r w:rsidRPr="00AF3712">
              <w:tab/>
            </w:r>
            <w:r w:rsidRPr="00AF3712">
              <w:t xml:space="preserve">Net safe bearing pressure for a </w:t>
            </w:r>
            <w:r w:rsidRPr="00AF3712">
              <w:rPr>
                <w:rStyle w:val="BoldandItalics"/>
              </w:rPr>
              <w:t>footing</w:t>
            </w:r>
            <w:r w:rsidRPr="00AF3712">
              <w:t xml:space="preserve"> on a clay soil is calculated without error. </w:t>
            </w:r>
          </w:p>
          <w:p w:rsidR="00000000" w:rsidRPr="00AF3712" w:rsidP="00AF3712">
            <w:pPr>
              <w:pStyle w:val="List2"/>
            </w:pPr>
            <w:r w:rsidRPr="00AF3712">
              <w:t>3.2.</w:t>
            </w:r>
            <w:r w:rsidRPr="00AF3712">
              <w:tab/>
              <w:t>Allowable bearing pressures for footings on granular soil from in-site penetration test results are calculated without error.</w:t>
            </w:r>
          </w:p>
          <w:p w:rsidR="00000000" w:rsidRPr="00AF3712" w:rsidP="00AF3712">
            <w:pPr>
              <w:pStyle w:val="List2"/>
            </w:pPr>
            <w:r w:rsidRPr="00AF3712">
              <w:t>3.3.</w:t>
            </w:r>
            <w:r w:rsidRPr="00AF3712">
              <w:tab/>
              <w:t>Long-term consolidation effects for</w:t>
            </w:r>
            <w:r w:rsidRPr="00AF3712">
              <w:t xml:space="preserve"> footings on clay soils are analysed and recorded.</w:t>
            </w:r>
          </w:p>
          <w:p w:rsidR="00000000" w:rsidP="00AF3712">
            <w:pPr>
              <w:pStyle w:val="List2"/>
              <w:rPr>
                <w:lang w:val="en-NZ"/>
              </w:rPr>
            </w:pPr>
            <w:r w:rsidRPr="00AF3712">
              <w:t>3.4.</w:t>
            </w:r>
            <w:r w:rsidRPr="00AF3712">
              <w:tab/>
              <w:t>Behaviour of footings on soils under earthquake conditions is researched and documented.</w:t>
            </w:r>
          </w:p>
        </w:tc>
      </w:tr>
      <w:tr w:rsidTr="000B5BB4">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rsidP="00AF3712">
            <w:pPr>
              <w:pStyle w:val="List"/>
              <w:rPr>
                <w:lang w:val="en-NZ"/>
              </w:rPr>
            </w:pPr>
            <w:r w:rsidRPr="00AF3712">
              <w:t>4.</w:t>
            </w:r>
            <w:r w:rsidRPr="00AF3712">
              <w:tab/>
              <w:t>Determine requirements for compaction of soil fill.</w:t>
            </w:r>
          </w:p>
        </w:tc>
        <w:tc>
          <w:tcPr>
            <w:tcW w:w="5940" w:type="dxa"/>
            <w:tcBorders>
              <w:top w:val="nil"/>
              <w:left w:val="nil"/>
              <w:bottom w:val="nil"/>
              <w:right w:val="nil"/>
            </w:tcBorders>
            <w:tcMar>
              <w:top w:w="0" w:type="dxa"/>
              <w:left w:w="62" w:type="dxa"/>
              <w:bottom w:w="0" w:type="dxa"/>
              <w:right w:w="62" w:type="dxa"/>
            </w:tcMar>
          </w:tcPr>
          <w:p w:rsidR="00000000" w:rsidRPr="00AF3712" w:rsidP="00AF3712">
            <w:pPr>
              <w:pStyle w:val="List2"/>
            </w:pPr>
            <w:r w:rsidRPr="00AF3712">
              <w:t>4.1.</w:t>
            </w:r>
            <w:r w:rsidRPr="00AF3712">
              <w:tab/>
              <w:t xml:space="preserve">Maximum </w:t>
            </w:r>
            <w:r w:rsidRPr="00AF3712">
              <w:rPr>
                <w:rStyle w:val="BoldandItalics"/>
              </w:rPr>
              <w:t>soil properties</w:t>
            </w:r>
            <w:r w:rsidRPr="00AF3712">
              <w:t>, including dry density and</w:t>
            </w:r>
            <w:r w:rsidRPr="00AF3712">
              <w:t xml:space="preserve"> moisture content relationship, for a soil is analysed and recorded. </w:t>
            </w:r>
          </w:p>
          <w:p w:rsidR="00000000" w:rsidRPr="00AF3712" w:rsidP="00AF3712">
            <w:pPr>
              <w:pStyle w:val="List2"/>
            </w:pPr>
            <w:r w:rsidRPr="00AF3712">
              <w:t>4.2.</w:t>
            </w:r>
            <w:r w:rsidRPr="00AF3712">
              <w:tab/>
              <w:t xml:space="preserve">Techniques for compaction control and performance of compaction plant in consideration of </w:t>
            </w:r>
            <w:r w:rsidRPr="00AF3712">
              <w:rPr>
                <w:rStyle w:val="BoldandItalics"/>
              </w:rPr>
              <w:t>maintenance requirements</w:t>
            </w:r>
            <w:r w:rsidRPr="00AF3712">
              <w:t xml:space="preserve"> are identified and documented. </w:t>
            </w:r>
          </w:p>
        </w:tc>
      </w:tr>
    </w:tbl>
    <w:p w:rsidR="000B5BB4" w:rsidP="00AF3712">
      <w:pPr>
        <w:pStyle w:val="BodyText"/>
      </w:pPr>
    </w:p>
    <w:p w:rsidR="000B5BB4" w:rsidP="00AF3712">
      <w:pPr>
        <w:pStyle w:val="BodyText"/>
      </w:pPr>
    </w:p>
    <w:p w:rsidR="00000000" w:rsidRPr="00AF3712" w:rsidP="00AF3712">
      <w:pPr>
        <w:pStyle w:val="Heading1"/>
      </w:pPr>
      <w:bookmarkStart w:id="9" w:name="O_258412"/>
      <w:bookmarkEnd w:id="9"/>
      <w:r w:rsidRPr="00AF3712">
        <w:t>Required Skills and Knowledge</w:t>
      </w:r>
    </w:p>
    <w:tbl>
      <w:tblPr>
        <w:tblW w:w="0" w:type="auto"/>
        <w:tblLayout w:type="fixed"/>
        <w:tblCellMar>
          <w:left w:w="62" w:type="dxa"/>
          <w:right w:w="62" w:type="dxa"/>
        </w:tblCellMar>
        <w:tblLook w:val="0000"/>
      </w:tblPr>
      <w:tblGrid>
        <w:gridCol w:w="8522"/>
      </w:tblGrid>
      <w:tr w:rsidTr="000B5BB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rPr>
                <w:rStyle w:val="SpecialBold"/>
              </w:rPr>
              <w:t>REQUIRED SKILLS AND KNOWLEDGE</w:t>
            </w:r>
          </w:p>
        </w:tc>
      </w:tr>
      <w:tr w:rsidTr="000B5B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t>This section describes the skills and knowledge required for this unit.</w:t>
            </w:r>
          </w:p>
        </w:tc>
      </w:tr>
      <w:tr w:rsidTr="000B5B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rPr>
                <w:rStyle w:val="SpecialBold"/>
              </w:rPr>
              <w:t>Required skills</w:t>
            </w:r>
          </w:p>
        </w:tc>
      </w:tr>
      <w:tr w:rsidTr="000B5B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F3712" w:rsidP="00AF3712">
            <w:pPr>
              <w:pStyle w:val="BodyText"/>
            </w:pPr>
            <w:r w:rsidRPr="00AF3712">
              <w:t>Required skills for this unit are:</w:t>
            </w:r>
          </w:p>
          <w:p w:rsidR="00000000" w:rsidRPr="00AF3712" w:rsidP="00AF3712">
            <w:pPr>
              <w:pStyle w:val="ListBullet"/>
            </w:pPr>
            <w:r w:rsidRPr="00AF3712">
              <w:t>ability to recognise procedures, follow instructions, respond to change and contribute to workplace responsibilities, such as current work site environmental and sustainability frameworks or management systems</w:t>
            </w:r>
          </w:p>
          <w:p w:rsidR="00000000" w:rsidRPr="00AF3712" w:rsidP="00AF3712">
            <w:pPr>
              <w:pStyle w:val="ListBullet"/>
            </w:pPr>
            <w:r w:rsidRPr="00AF3712">
              <w:t>communication skills to:</w:t>
            </w:r>
          </w:p>
          <w:p w:rsidR="00000000" w:rsidRPr="00AF3712" w:rsidP="00AF3712">
            <w:pPr>
              <w:pStyle w:val="ListBullet2"/>
            </w:pPr>
            <w:r w:rsidRPr="00AF3712">
              <w:t>enable clear and dir</w:t>
            </w:r>
            <w:r w:rsidRPr="00AF3712">
              <w:t>ect communication, using questioning to identify and confirm requirements, share information, listen and understand</w:t>
            </w:r>
          </w:p>
          <w:p w:rsidR="00000000" w:rsidRPr="00AF3712" w:rsidP="00AF3712">
            <w:pPr>
              <w:pStyle w:val="ListBullet2"/>
            </w:pPr>
            <w:r w:rsidRPr="00AF3712">
              <w:t>evaluate own actions to make judgements about performance and necessary improvements</w:t>
            </w:r>
          </w:p>
          <w:p w:rsidR="00000000" w:rsidRPr="00AF3712" w:rsidP="00AF3712">
            <w:pPr>
              <w:pStyle w:val="ListBullet2"/>
            </w:pPr>
            <w:r w:rsidRPr="00AF3712">
              <w:t>read and interpret:</w:t>
            </w:r>
          </w:p>
          <w:p w:rsidR="00000000" w:rsidRPr="00AF3712" w:rsidP="00AF3712">
            <w:pPr>
              <w:pStyle w:val="ListBullet3"/>
            </w:pPr>
            <w:r w:rsidRPr="00AF3712">
              <w:t>BCA</w:t>
            </w:r>
          </w:p>
          <w:p w:rsidR="00000000" w:rsidRPr="00AF3712" w:rsidP="00AF3712">
            <w:pPr>
              <w:pStyle w:val="ListBullet3"/>
            </w:pPr>
            <w:r w:rsidRPr="00AF3712">
              <w:t>reports</w:t>
            </w:r>
          </w:p>
          <w:p w:rsidR="00000000" w:rsidRPr="00AF3712" w:rsidP="00AF3712">
            <w:pPr>
              <w:pStyle w:val="ListBullet3"/>
            </w:pPr>
            <w:r w:rsidRPr="00AF3712">
              <w:t>specifications</w:t>
            </w:r>
          </w:p>
          <w:p w:rsidR="00000000" w:rsidRPr="00AF3712" w:rsidP="00AF3712">
            <w:pPr>
              <w:pStyle w:val="ListBullet3"/>
            </w:pPr>
            <w:r w:rsidRPr="00AF3712">
              <w:t>working drawings</w:t>
            </w:r>
          </w:p>
          <w:p w:rsidR="00000000" w:rsidRPr="00AF3712" w:rsidP="00AF3712">
            <w:pPr>
              <w:pStyle w:val="ListBullet2"/>
            </w:pPr>
            <w:r w:rsidRPr="00AF3712">
              <w:t>use language and concepts appropriate to cultural differences</w:t>
            </w:r>
          </w:p>
          <w:p w:rsidR="00000000" w:rsidRPr="00AF3712" w:rsidP="00AF3712">
            <w:pPr>
              <w:pStyle w:val="ListBullet2"/>
            </w:pPr>
            <w:r w:rsidRPr="00AF3712">
              <w:t>use and interpret non-verbal communication</w:t>
            </w:r>
          </w:p>
          <w:p w:rsidR="00000000" w:rsidRPr="00AF3712" w:rsidP="00AF3712">
            <w:pPr>
              <w:pStyle w:val="ListBullet2"/>
            </w:pPr>
            <w:r w:rsidRPr="00AF3712">
              <w:t>written skills to report evaluations</w:t>
            </w:r>
          </w:p>
          <w:p w:rsidR="00000000" w:rsidRPr="00AF3712" w:rsidP="00AF3712">
            <w:pPr>
              <w:pStyle w:val="ListBullet"/>
            </w:pPr>
            <w:r w:rsidRPr="00AF3712">
              <w:t>numeracy skills to interpret and apply complex mathematical information</w:t>
            </w:r>
          </w:p>
          <w:p w:rsidR="00000000" w:rsidP="00AF3712">
            <w:pPr>
              <w:pStyle w:val="ListBullet"/>
              <w:rPr>
                <w:lang w:val="en-NZ"/>
              </w:rPr>
            </w:pPr>
            <w:r w:rsidRPr="00AF3712">
              <w:t xml:space="preserve">teamwork skills to work </w:t>
            </w:r>
            <w:r w:rsidRPr="00AF3712">
              <w:t>effectively with others.</w:t>
            </w:r>
          </w:p>
        </w:tc>
      </w:tr>
      <w:tr w:rsidTr="000B5B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rPr>
                <w:rStyle w:val="SpecialBold"/>
              </w:rPr>
              <w:t>Required knowledge</w:t>
            </w:r>
          </w:p>
        </w:tc>
      </w:tr>
      <w:tr w:rsidTr="000B5B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F3712" w:rsidP="00AF3712">
            <w:pPr>
              <w:pStyle w:val="BodyText"/>
            </w:pPr>
            <w:r w:rsidRPr="00AF3712">
              <w:t>Required knowledge for this unit is:</w:t>
            </w:r>
          </w:p>
          <w:p w:rsidR="00000000" w:rsidRPr="00AF3712" w:rsidP="00AF3712">
            <w:pPr>
              <w:pStyle w:val="ListBullet"/>
            </w:pPr>
            <w:r w:rsidRPr="00AF3712">
              <w:t>design principles and concepts for footings</w:t>
            </w:r>
          </w:p>
          <w:p w:rsidR="00000000" w:rsidRPr="00AF3712" w:rsidP="00AF3712">
            <w:pPr>
              <w:pStyle w:val="ListBullet"/>
            </w:pPr>
            <w:r w:rsidRPr="00AF3712">
              <w:t>geomechanical engineering principles</w:t>
            </w:r>
          </w:p>
          <w:p w:rsidR="00000000" w:rsidRPr="00AF3712" w:rsidP="00AF3712">
            <w:pPr>
              <w:pStyle w:val="ListBullet"/>
            </w:pPr>
            <w:r w:rsidRPr="00AF3712">
              <w:t>nature of materials and effect on performance</w:t>
            </w:r>
          </w:p>
          <w:p w:rsidR="00000000" w:rsidRPr="00AF3712" w:rsidP="00AF3712">
            <w:pPr>
              <w:pStyle w:val="ListBullet"/>
            </w:pPr>
            <w:r w:rsidRPr="00AF3712">
              <w:t>nature of soil mechanics and effect of performance in problem soils</w:t>
            </w:r>
          </w:p>
          <w:p w:rsidR="00000000" w:rsidRPr="00AF3712" w:rsidP="00AF3712">
            <w:pPr>
              <w:pStyle w:val="ListBullet"/>
            </w:pPr>
            <w:r w:rsidRPr="00AF3712">
              <w:t>processes for the interpretation of working drawings and specifications</w:t>
            </w:r>
          </w:p>
          <w:p w:rsidR="00000000" w:rsidRPr="00AF3712" w:rsidP="00AF3712">
            <w:pPr>
              <w:pStyle w:val="ListBullet"/>
            </w:pPr>
            <w:r w:rsidRPr="00AF3712">
              <w:t>processes for the preparation of documentation</w:t>
            </w:r>
          </w:p>
          <w:p w:rsidR="00000000" w:rsidRPr="00AF3712" w:rsidP="00AF3712">
            <w:pPr>
              <w:pStyle w:val="ListBullet"/>
            </w:pPr>
            <w:r w:rsidRPr="00AF3712">
              <w:t>relevant federal, state or territory legislation and local government</w:t>
            </w:r>
            <w:r w:rsidRPr="00AF3712">
              <w:t xml:space="preserve"> policy and procedures</w:t>
            </w:r>
          </w:p>
          <w:p w:rsidR="00000000" w:rsidRPr="00AF3712" w:rsidP="00AF3712">
            <w:pPr>
              <w:pStyle w:val="ListBullet"/>
            </w:pPr>
            <w:r w:rsidRPr="00AF3712">
              <w:t>research methods</w:t>
            </w:r>
          </w:p>
          <w:p w:rsidR="00000000" w:rsidRPr="00AF3712" w:rsidP="00AF3712">
            <w:pPr>
              <w:pStyle w:val="ListBullet"/>
            </w:pPr>
            <w:r w:rsidRPr="00AF3712">
              <w:t>structural design principles in buildings.</w:t>
            </w:r>
          </w:p>
        </w:tc>
      </w:tr>
    </w:tbl>
    <w:p w:rsidR="000B5BB4" w:rsidP="00AF3712">
      <w:pPr>
        <w:pStyle w:val="BodyText"/>
      </w:pPr>
    </w:p>
    <w:p w:rsidR="000B5BB4" w:rsidP="00AF3712">
      <w:pPr>
        <w:pStyle w:val="BodyText"/>
      </w:pPr>
    </w:p>
    <w:p w:rsidR="00000000" w:rsidRPr="00AF3712" w:rsidP="00AF3712">
      <w:pPr>
        <w:pStyle w:val="AllowPageBreak"/>
      </w:pPr>
    </w:p>
    <w:p w:rsidR="00000000" w:rsidRPr="00AF3712" w:rsidP="00AF3712">
      <w:pPr>
        <w:pStyle w:val="Heading1"/>
      </w:pPr>
      <w:bookmarkStart w:id="10" w:name="O_242446"/>
      <w:bookmarkEnd w:id="10"/>
      <w:r w:rsidRPr="00AF3712">
        <w:t>Evidence Guide</w:t>
      </w:r>
    </w:p>
    <w:tbl>
      <w:tblPr>
        <w:tblW w:w="0" w:type="auto"/>
        <w:tblLayout w:type="fixed"/>
        <w:tblCellMar>
          <w:left w:w="62" w:type="dxa"/>
          <w:right w:w="62" w:type="dxa"/>
        </w:tblCellMar>
        <w:tblLook w:val="0000"/>
      </w:tblPr>
      <w:tblGrid>
        <w:gridCol w:w="3513"/>
        <w:gridCol w:w="5009"/>
      </w:tblGrid>
      <w:tr w:rsidTr="000B5BB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F3712">
            <w:pPr>
              <w:pStyle w:val="BodyText"/>
              <w:rPr>
                <w:lang w:val="en-NZ"/>
              </w:rPr>
            </w:pPr>
            <w:r w:rsidRPr="00AF3712">
              <w:rPr>
                <w:rStyle w:val="SpecialBold"/>
              </w:rPr>
              <w:t>EVIDENCE GUIDE</w:t>
            </w:r>
          </w:p>
        </w:tc>
      </w:tr>
      <w:tr w:rsidTr="000B5BB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F3712">
            <w:pPr>
              <w:pStyle w:val="BodyText"/>
              <w:rPr>
                <w:lang w:val="en-NZ"/>
              </w:rPr>
            </w:pPr>
            <w:r w:rsidRPr="00AF3712">
              <w:t>The evidence guide provides advice on assessment and must be read in conjunction with the performance criteria, required skills and knowledge, range statement and the Assessment Guidelines for the Training Package.</w:t>
            </w:r>
          </w:p>
        </w:tc>
      </w:tr>
      <w:tr w:rsidTr="000B5BB4">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t>This unit of competency could be assessed in the workplace or a close simulation of the workplace environment, provided that simulated or project-based assessment techniques fully replicate construction workplace conditions, materials, activities, responsi</w:t>
            </w:r>
            <w:r w:rsidRPr="00AF3712">
              <w:t xml:space="preserve">bilities and procedures. </w:t>
            </w:r>
          </w:p>
        </w:tc>
      </w:tr>
      <w:tr w:rsidTr="000B5BB4">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AF3712" w:rsidP="00AF3712">
            <w:pPr>
              <w:pStyle w:val="BodyText"/>
            </w:pPr>
            <w:r w:rsidRPr="00AF3712">
              <w:t>A person who demonstrates competency in this unit must be able to provide evidence of the ability to:</w:t>
            </w:r>
          </w:p>
          <w:p w:rsidR="00000000" w:rsidRPr="00AF3712" w:rsidP="00AF3712">
            <w:pPr>
              <w:pStyle w:val="ListBullet"/>
            </w:pPr>
            <w:r w:rsidRPr="00AF3712">
              <w:t>comply with OHS regulations applic</w:t>
            </w:r>
            <w:r w:rsidRPr="00AF3712">
              <w:t>able to workplace operations</w:t>
            </w:r>
          </w:p>
          <w:p w:rsidR="00000000" w:rsidRPr="00AF3712" w:rsidP="00AF3712">
            <w:pPr>
              <w:pStyle w:val="ListBullet"/>
            </w:pPr>
            <w:r w:rsidRPr="00AF3712">
              <w:t>apply organisational management policies and procedures, including quality assurance requirements where applicable</w:t>
            </w:r>
          </w:p>
          <w:p w:rsidR="00000000" w:rsidRPr="00AF3712" w:rsidP="00AF3712">
            <w:pPr>
              <w:pStyle w:val="ListBullet"/>
            </w:pPr>
            <w:r w:rsidRPr="00AF3712">
              <w:t>assess footing requirements, for at least one commercial building project or equivalent, which includes advice o</w:t>
            </w:r>
            <w:r w:rsidRPr="00AF3712">
              <w:t>n positioning and sizing</w:t>
            </w:r>
          </w:p>
          <w:p w:rsidR="00000000" w:rsidRPr="00AF3712" w:rsidP="00AF3712">
            <w:pPr>
              <w:pStyle w:val="ListBullet"/>
            </w:pPr>
            <w:r w:rsidRPr="00AF3712">
              <w:t>analyse and report on the soil types and properties for at least two building projects or equivalent</w:t>
            </w:r>
          </w:p>
          <w:p w:rsidR="00000000" w:rsidP="00AF3712">
            <w:pPr>
              <w:pStyle w:val="ListBullet"/>
              <w:rPr>
                <w:lang w:val="en-NZ"/>
              </w:rPr>
            </w:pPr>
            <w:r w:rsidRPr="00AF3712">
              <w:t>provide reports to appropriate body/individual as determined by the project brief.</w:t>
            </w:r>
          </w:p>
        </w:tc>
      </w:tr>
      <w:tr w:rsidTr="000B5BB4">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rPr>
                <w:rStyle w:val="SpecialBold"/>
              </w:rPr>
              <w:t>Context of and specific resources for assessme</w:t>
            </w:r>
            <w:r w:rsidRPr="00AF3712">
              <w:rPr>
                <w:rStyle w:val="SpecialBold"/>
              </w:rPr>
              <w:t>nt</w:t>
            </w:r>
          </w:p>
        </w:tc>
        <w:tc>
          <w:tcPr>
            <w:tcW w:w="5009" w:type="dxa"/>
            <w:tcBorders>
              <w:top w:val="nil"/>
              <w:left w:val="nil"/>
              <w:bottom w:val="nil"/>
              <w:right w:val="nil"/>
            </w:tcBorders>
            <w:tcMar>
              <w:top w:w="0" w:type="dxa"/>
              <w:left w:w="62" w:type="dxa"/>
              <w:bottom w:w="0" w:type="dxa"/>
              <w:right w:w="62" w:type="dxa"/>
            </w:tcMar>
          </w:tcPr>
          <w:p w:rsidR="00000000" w:rsidRPr="00AF3712" w:rsidP="00AF3712">
            <w:pPr>
              <w:pStyle w:val="BodyText"/>
            </w:pPr>
            <w:r w:rsidRPr="00AF3712">
              <w:t>This competency is to be assessed using standard and authorised work practices, safety requirements and environmental constraints.</w:t>
            </w:r>
          </w:p>
          <w:p w:rsidR="00000000" w:rsidRPr="00AF3712" w:rsidP="00AF3712">
            <w:pPr>
              <w:pStyle w:val="BodyText"/>
            </w:pPr>
            <w:r w:rsidRPr="00AF3712">
              <w:t>Assessment of essential underpinning knowledge will usually be conducted in an off-site context.</w:t>
            </w:r>
          </w:p>
          <w:p w:rsidR="00000000" w:rsidRPr="00AF3712" w:rsidP="00AF3712">
            <w:pPr>
              <w:pStyle w:val="BodyText"/>
            </w:pPr>
            <w:r w:rsidRPr="00AF3712">
              <w:t>Assessment is to comply with relevant regulatory or Australian standards' requirements.</w:t>
            </w:r>
          </w:p>
          <w:p w:rsidR="00000000" w:rsidRPr="00AF3712" w:rsidP="00AF3712">
            <w:pPr>
              <w:pStyle w:val="BodyText"/>
            </w:pPr>
            <w:r w:rsidRPr="00AF3712">
              <w:t>Resource implications for assessment include:</w:t>
            </w:r>
          </w:p>
          <w:p w:rsidR="00000000" w:rsidRPr="00AF3712" w:rsidP="00AF3712">
            <w:pPr>
              <w:pStyle w:val="ListBullet"/>
            </w:pPr>
            <w:r w:rsidRPr="00AF3712">
              <w:t>an induction procedure and requirement</w:t>
            </w:r>
          </w:p>
          <w:p w:rsidR="00000000" w:rsidRPr="00AF3712" w:rsidP="00AF3712">
            <w:pPr>
              <w:pStyle w:val="ListBullet"/>
            </w:pPr>
            <w:r w:rsidRPr="00AF3712">
              <w:t>realistic tasks or simulated tasks covering the mandatory task requirements</w:t>
            </w:r>
          </w:p>
          <w:p w:rsidR="00000000" w:rsidRPr="00AF3712" w:rsidP="00AF3712">
            <w:pPr>
              <w:pStyle w:val="ListBullet"/>
            </w:pPr>
            <w:r w:rsidRPr="00AF3712">
              <w:t>relevan</w:t>
            </w:r>
            <w:r w:rsidRPr="00AF3712">
              <w:t>t specifications and work instructions</w:t>
            </w:r>
          </w:p>
          <w:p w:rsidR="00000000" w:rsidRPr="00AF3712" w:rsidP="00AF3712">
            <w:pPr>
              <w:pStyle w:val="ListBullet"/>
            </w:pPr>
            <w:r w:rsidRPr="00AF3712">
              <w:t>tools and equipment appropriate to applying safe work practices</w:t>
            </w:r>
          </w:p>
          <w:p w:rsidR="00000000" w:rsidRPr="00AF3712" w:rsidP="00AF3712">
            <w:pPr>
              <w:pStyle w:val="ListBullet"/>
            </w:pPr>
            <w:r w:rsidRPr="00AF3712">
              <w:t>support materials appropriate to activity</w:t>
            </w:r>
          </w:p>
          <w:p w:rsidR="00000000" w:rsidRPr="00AF3712" w:rsidP="00AF3712">
            <w:pPr>
              <w:pStyle w:val="ListBullet"/>
            </w:pPr>
            <w:r w:rsidRPr="00AF3712">
              <w:t>workplace instructions relating to safe work practices and addressing hazards and emergencies</w:t>
            </w:r>
          </w:p>
          <w:p w:rsidR="00000000" w:rsidRPr="00AF3712" w:rsidP="00AF3712">
            <w:pPr>
              <w:pStyle w:val="ListBullet"/>
            </w:pPr>
            <w:r w:rsidRPr="00AF3712">
              <w:t>material safety d</w:t>
            </w:r>
            <w:r w:rsidRPr="00AF3712">
              <w:t>ata sheets</w:t>
            </w:r>
          </w:p>
          <w:p w:rsidR="00000000" w:rsidRPr="00AF3712" w:rsidP="00AF3712">
            <w:pPr>
              <w:pStyle w:val="ListBullet"/>
            </w:pPr>
            <w:r w:rsidRPr="00AF3712">
              <w:t>research resources, including industry related systems information.</w:t>
            </w:r>
          </w:p>
          <w:p w:rsidR="00000000" w:rsidP="00AF3712">
            <w:pPr>
              <w:pStyle w:val="BodyText"/>
              <w:rPr>
                <w:lang w:val="en-NZ"/>
              </w:rPr>
            </w:pPr>
            <w:r w:rsidRPr="00AF3712">
              <w:t>Reasonable adjustments for people with disabilities must be made to assessment processes where required. This could include access to modified equipment and other physical resou</w:t>
            </w:r>
            <w:r w:rsidRPr="00AF3712">
              <w:t xml:space="preserve">rces, and the provision of appropriate assessment support. </w:t>
            </w:r>
          </w:p>
        </w:tc>
      </w:tr>
      <w:tr w:rsidTr="000B5BB4">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AF3712" w:rsidP="00AF3712">
            <w:pPr>
              <w:pStyle w:val="BodyText"/>
            </w:pPr>
            <w:r w:rsidRPr="00AF3712">
              <w:t>Assessment methods must:</w:t>
            </w:r>
          </w:p>
          <w:p w:rsidR="00000000" w:rsidRPr="00AF3712" w:rsidP="00AF3712">
            <w:pPr>
              <w:pStyle w:val="ListBullet"/>
            </w:pPr>
            <w:r w:rsidRPr="00AF3712">
              <w:t>satisfy the endorsed Assessment Guidelines of the Construction, Plumbing and Services Training Package</w:t>
            </w:r>
          </w:p>
          <w:p w:rsidR="00000000" w:rsidRPr="00AF3712" w:rsidP="00AF3712">
            <w:pPr>
              <w:pStyle w:val="ListBullet"/>
            </w:pPr>
            <w:r w:rsidRPr="00AF3712">
              <w:t>include direct observation of tasks in real or</w:t>
            </w:r>
            <w:r w:rsidRPr="00AF3712">
              <w:t xml:space="preserve"> simulated work conditions, with questioning to confirm the ability to consistently identify and correctly interpret the essential underpinning knowledge required for practical application</w:t>
            </w:r>
          </w:p>
          <w:p w:rsidR="00000000" w:rsidRPr="00AF3712" w:rsidP="00AF3712">
            <w:pPr>
              <w:pStyle w:val="ListBullet"/>
            </w:pPr>
            <w:r w:rsidRPr="00AF3712">
              <w:t>reinforce the integration of employability skills with workplace ta</w:t>
            </w:r>
            <w:r w:rsidRPr="00AF3712">
              <w:t>sks and job roles</w:t>
            </w:r>
          </w:p>
          <w:p w:rsidR="00000000" w:rsidRPr="00AF3712" w:rsidP="00AF3712">
            <w:pPr>
              <w:pStyle w:val="ListBullet"/>
            </w:pPr>
            <w:r w:rsidRPr="00AF3712">
              <w:t>confirm that competency is verified and able to be transferred to other circumstances and environments.</w:t>
            </w:r>
          </w:p>
          <w:p w:rsidR="00000000" w:rsidRPr="00AF3712" w:rsidP="00AF3712">
            <w:pPr>
              <w:pStyle w:val="BodyText"/>
            </w:pPr>
            <w:r w:rsidRPr="00AF3712">
              <w:t>Validity and sufficiency of evidence requires that:</w:t>
            </w:r>
          </w:p>
          <w:p w:rsidR="00000000" w:rsidRPr="00AF3712" w:rsidP="00AF3712">
            <w:pPr>
              <w:pStyle w:val="ListBullet"/>
            </w:pPr>
            <w:r w:rsidRPr="00AF3712">
              <w:t>competency will need to be demonstrated over a period of time reflecting the scope of the role and the practical requirements of the workplace</w:t>
            </w:r>
          </w:p>
          <w:p w:rsidR="00000000" w:rsidRPr="00AF3712" w:rsidP="00AF3712">
            <w:pPr>
              <w:pStyle w:val="ListBullet"/>
            </w:pPr>
            <w:r w:rsidRPr="00AF3712">
              <w:t>where the assessment is part of a structured learning experience the evidence collected must relate to a number o</w:t>
            </w:r>
            <w:r w:rsidRPr="00AF3712">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AF3712" w:rsidP="00AF3712">
            <w:pPr>
              <w:pStyle w:val="ListBullet"/>
            </w:pPr>
            <w:r w:rsidRPr="00AF3712">
              <w:t>a</w:t>
            </w:r>
            <w:r w:rsidRPr="00AF3712">
              <w:t>ll assessment that is part of a structured learning experience must include a combination of direct, indirect and supplementary evidence.</w:t>
            </w:r>
          </w:p>
          <w:p w:rsidR="00000000" w:rsidRPr="00AF3712" w:rsidP="00AF3712">
            <w:pPr>
              <w:pStyle w:val="BodyText"/>
            </w:pPr>
            <w:r w:rsidRPr="00AF3712">
              <w:t>Assessment processes and techniques should as far as is practical take into account the language, literacy and numerac</w:t>
            </w:r>
            <w:r w:rsidRPr="00AF3712">
              <w:t>y capacity of the candidate in relation to the competency being assessed.</w:t>
            </w:r>
          </w:p>
          <w:p w:rsidR="00000000" w:rsidRPr="00AF3712" w:rsidP="00AF3712">
            <w:pPr>
              <w:pStyle w:val="BodyText"/>
            </w:pPr>
            <w:r w:rsidRPr="00AF3712">
              <w:t>Supplementary evidence of competency may be obtained from relevant authenticated documentation from third parties, such as existing supervisors, team leaders or specialist training s</w:t>
            </w:r>
            <w:r w:rsidRPr="00AF3712">
              <w:t xml:space="preserve">taff. </w:t>
            </w:r>
          </w:p>
        </w:tc>
      </w:tr>
    </w:tbl>
    <w:p w:rsidR="000B5BB4" w:rsidP="00AF3712">
      <w:pPr>
        <w:pStyle w:val="BodyText"/>
      </w:pPr>
    </w:p>
    <w:p w:rsidR="000B5BB4" w:rsidP="00AF3712">
      <w:pPr>
        <w:pStyle w:val="BodyText"/>
      </w:pPr>
    </w:p>
    <w:p w:rsidR="00000000" w:rsidRPr="00AF3712" w:rsidP="00AF3712">
      <w:pPr>
        <w:pStyle w:val="Heading1"/>
      </w:pPr>
      <w:bookmarkStart w:id="11" w:name="O_250429"/>
      <w:bookmarkEnd w:id="11"/>
      <w:r w:rsidRPr="00AF3712">
        <w:t>Range Statement</w:t>
      </w:r>
    </w:p>
    <w:tbl>
      <w:tblPr>
        <w:tblW w:w="0" w:type="auto"/>
        <w:tblLayout w:type="fixed"/>
        <w:tblCellMar>
          <w:left w:w="62" w:type="dxa"/>
          <w:right w:w="62" w:type="dxa"/>
        </w:tblCellMar>
        <w:tblLook w:val="0000"/>
      </w:tblPr>
      <w:tblGrid>
        <w:gridCol w:w="3531"/>
        <w:gridCol w:w="4991"/>
      </w:tblGrid>
      <w:tr w:rsidTr="000B5BB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F3712">
            <w:pPr>
              <w:pStyle w:val="BodyText"/>
              <w:rPr>
                <w:lang w:val="en-NZ"/>
              </w:rPr>
            </w:pPr>
            <w:r w:rsidRPr="00AF3712">
              <w:rPr>
                <w:rStyle w:val="SpecialBold"/>
              </w:rPr>
              <w:t>RANGE STATEMENT</w:t>
            </w:r>
          </w:p>
        </w:tc>
      </w:tr>
      <w:tr w:rsidTr="000B5BB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F3712">
            <w:pPr>
              <w:pStyle w:val="BodyText"/>
              <w:rPr>
                <w:lang w:val="en-NZ"/>
              </w:rPr>
            </w:pPr>
            <w:r w:rsidRPr="00AF3712">
              <w:t xml:space="preserve">The range statement relates to the unit of competency as a whole. It allows for different work environments and situations that may affect </w:t>
            </w:r>
            <w:r w:rsidRPr="00AF3712">
              <w:t>performance. Bold italicised wording, if used in the performance criteria, is detailed below. Essential operating conditions that may be present with training and assessment (depending on the work situation, needs of the candidate, accessibility of the ite</w:t>
            </w:r>
            <w:r w:rsidRPr="00AF3712">
              <w:t>m, and local industry and regional contexts) may also be included.</w:t>
            </w:r>
          </w:p>
        </w:tc>
      </w:tr>
      <w:tr w:rsidTr="000B5B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rPr>
                <w:rStyle w:val="BoldandItalics"/>
              </w:rPr>
              <w:t>Standard specifications</w:t>
            </w:r>
            <w:r w:rsidRPr="00AF3712">
              <w:t xml:space="preserve"> include industry-standard specifications and may be:</w:t>
            </w:r>
          </w:p>
        </w:tc>
        <w:tc>
          <w:tcPr>
            <w:tcW w:w="4991" w:type="dxa"/>
            <w:tcBorders>
              <w:top w:val="nil"/>
              <w:left w:val="nil"/>
              <w:bottom w:val="nil"/>
              <w:right w:val="nil"/>
            </w:tcBorders>
            <w:tcMar>
              <w:top w:w="0" w:type="dxa"/>
              <w:left w:w="62" w:type="dxa"/>
              <w:bottom w:w="0" w:type="dxa"/>
              <w:right w:w="62" w:type="dxa"/>
            </w:tcMar>
          </w:tcPr>
          <w:p w:rsidR="00000000" w:rsidRPr="00AF3712" w:rsidP="00AF3712">
            <w:pPr>
              <w:pStyle w:val="ListBullet"/>
            </w:pPr>
            <w:r w:rsidRPr="00AF3712">
              <w:t>detailed specifications, addressing specific components such as structural or other requirements</w:t>
            </w:r>
          </w:p>
          <w:p w:rsidR="00000000" w:rsidRPr="00AF3712" w:rsidP="00AF3712">
            <w:pPr>
              <w:pStyle w:val="ListBullet"/>
            </w:pPr>
            <w:r w:rsidRPr="00AF3712">
              <w:t>developed spe</w:t>
            </w:r>
            <w:r w:rsidRPr="00AF3712">
              <w:t>cifications</w:t>
            </w:r>
          </w:p>
          <w:p w:rsidR="00000000" w:rsidP="00AF3712">
            <w:pPr>
              <w:pStyle w:val="ListBullet"/>
              <w:rPr>
                <w:lang w:val="en-NZ"/>
              </w:rPr>
            </w:pPr>
            <w:r w:rsidRPr="00AF3712">
              <w:t>preliminary and outline specifications.</w:t>
            </w:r>
          </w:p>
        </w:tc>
      </w:tr>
      <w:tr w:rsidTr="000B5B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rPr>
                <w:rStyle w:val="BoldandItalics"/>
              </w:rPr>
              <w:t>Soil types</w:t>
            </w:r>
            <w:r w:rsidRPr="00AF3712">
              <w:t xml:space="preserve"> include:</w:t>
            </w:r>
          </w:p>
        </w:tc>
        <w:tc>
          <w:tcPr>
            <w:tcW w:w="4991" w:type="dxa"/>
            <w:tcBorders>
              <w:top w:val="nil"/>
              <w:left w:val="nil"/>
              <w:bottom w:val="nil"/>
              <w:right w:val="nil"/>
            </w:tcBorders>
            <w:tcMar>
              <w:top w:w="0" w:type="dxa"/>
              <w:left w:w="62" w:type="dxa"/>
              <w:bottom w:w="0" w:type="dxa"/>
              <w:right w:w="62" w:type="dxa"/>
            </w:tcMar>
          </w:tcPr>
          <w:p w:rsidR="00000000" w:rsidRPr="00AF3712" w:rsidP="00AF3712">
            <w:pPr>
              <w:pStyle w:val="ListBullet"/>
            </w:pPr>
            <w:r w:rsidRPr="00AF3712">
              <w:t>clay soils</w:t>
            </w:r>
          </w:p>
          <w:p w:rsidR="00000000" w:rsidRPr="00AF3712" w:rsidP="00AF3712">
            <w:pPr>
              <w:pStyle w:val="ListBullet"/>
            </w:pPr>
            <w:r w:rsidRPr="00AF3712">
              <w:t>rock</w:t>
            </w:r>
          </w:p>
          <w:p w:rsidR="00000000" w:rsidP="00AF3712">
            <w:pPr>
              <w:pStyle w:val="ListBullet"/>
              <w:rPr>
                <w:lang w:val="en-NZ"/>
              </w:rPr>
            </w:pPr>
            <w:r w:rsidRPr="00AF3712">
              <w:t>saturated granular soils.</w:t>
            </w:r>
          </w:p>
        </w:tc>
      </w:tr>
      <w:tr w:rsidTr="000B5B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rPr>
                <w:rStyle w:val="BoldandItalics"/>
              </w:rPr>
              <w:t>Legislative requirements</w:t>
            </w:r>
            <w:r w:rsidRPr="00AF3712">
              <w:t xml:space="preserve"> are limited to:</w:t>
            </w:r>
          </w:p>
        </w:tc>
        <w:tc>
          <w:tcPr>
            <w:tcW w:w="4991" w:type="dxa"/>
            <w:tcBorders>
              <w:top w:val="nil"/>
              <w:left w:val="nil"/>
              <w:bottom w:val="nil"/>
              <w:right w:val="nil"/>
            </w:tcBorders>
            <w:tcMar>
              <w:top w:w="0" w:type="dxa"/>
              <w:left w:w="62" w:type="dxa"/>
              <w:bottom w:w="0" w:type="dxa"/>
              <w:right w:w="62" w:type="dxa"/>
            </w:tcMar>
          </w:tcPr>
          <w:p w:rsidR="00000000" w:rsidRPr="00AF3712" w:rsidP="00AF3712">
            <w:pPr>
              <w:pStyle w:val="ListBullet"/>
            </w:pPr>
            <w:r w:rsidRPr="00AF3712">
              <w:t>buildings up to three storeys and not exceeding a maximum floor area of 2000 square metres</w:t>
            </w:r>
          </w:p>
          <w:p w:rsidR="00000000" w:rsidP="00AF3712">
            <w:pPr>
              <w:pStyle w:val="ListBullet"/>
              <w:rPr>
                <w:lang w:val="en-NZ"/>
              </w:rPr>
            </w:pPr>
            <w:r w:rsidRPr="00AF3712">
              <w:t>adhering to legislative requirements for BCA relating to Class 2 and 9 buildings.</w:t>
            </w:r>
          </w:p>
        </w:tc>
      </w:tr>
      <w:tr w:rsidTr="000B5B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rPr>
                <w:rStyle w:val="BoldandItalics"/>
              </w:rPr>
              <w:t>Application of footings and geomechanical principles</w:t>
            </w:r>
            <w:r w:rsidRPr="00AF3712">
              <w:t xml:space="preserve"> includes:</w:t>
            </w:r>
          </w:p>
        </w:tc>
        <w:tc>
          <w:tcPr>
            <w:tcW w:w="4991" w:type="dxa"/>
            <w:tcBorders>
              <w:top w:val="nil"/>
              <w:left w:val="nil"/>
              <w:bottom w:val="nil"/>
              <w:right w:val="nil"/>
            </w:tcBorders>
            <w:tcMar>
              <w:top w:w="0" w:type="dxa"/>
              <w:left w:w="62" w:type="dxa"/>
              <w:bottom w:w="0" w:type="dxa"/>
              <w:right w:w="62" w:type="dxa"/>
            </w:tcMar>
          </w:tcPr>
          <w:p w:rsidR="00000000" w:rsidRPr="00AF3712" w:rsidP="00AF3712">
            <w:pPr>
              <w:pStyle w:val="ListBullet"/>
            </w:pPr>
            <w:r w:rsidRPr="00AF3712">
              <w:t>assessment of geomechanical and footing design for residential and commercial buildings</w:t>
            </w:r>
          </w:p>
          <w:p w:rsidR="00000000" w:rsidP="00AF3712">
            <w:pPr>
              <w:pStyle w:val="ListBullet"/>
              <w:rPr>
                <w:lang w:val="en-NZ"/>
              </w:rPr>
            </w:pPr>
            <w:r w:rsidRPr="00AF3712">
              <w:t xml:space="preserve">identification of the </w:t>
            </w:r>
            <w:r w:rsidRPr="00AF3712">
              <w:t>nature, composition, classification and distribution of soil type.</w:t>
            </w:r>
          </w:p>
        </w:tc>
      </w:tr>
      <w:tr w:rsidTr="000B5B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rPr>
                <w:rStyle w:val="BoldandItalics"/>
              </w:rPr>
              <w:t>Footing</w:t>
            </w:r>
            <w:r w:rsidRPr="00AF3712">
              <w:t xml:space="preserve"> must be suitable for:</w:t>
            </w:r>
          </w:p>
        </w:tc>
        <w:tc>
          <w:tcPr>
            <w:tcW w:w="4991" w:type="dxa"/>
            <w:tcBorders>
              <w:top w:val="nil"/>
              <w:left w:val="nil"/>
              <w:bottom w:val="nil"/>
              <w:right w:val="nil"/>
            </w:tcBorders>
            <w:tcMar>
              <w:top w:w="0" w:type="dxa"/>
              <w:left w:w="62" w:type="dxa"/>
              <w:bottom w:w="0" w:type="dxa"/>
              <w:right w:w="62" w:type="dxa"/>
            </w:tcMar>
          </w:tcPr>
          <w:p w:rsidR="00000000" w:rsidRPr="00AF3712" w:rsidP="00AF3712">
            <w:pPr>
              <w:pStyle w:val="ListBullet"/>
            </w:pPr>
            <w:r w:rsidRPr="00AF3712">
              <w:t>building type</w:t>
            </w:r>
          </w:p>
          <w:p w:rsidR="00000000" w:rsidP="00AF3712">
            <w:pPr>
              <w:pStyle w:val="ListBullet"/>
              <w:rPr>
                <w:lang w:val="en-NZ"/>
              </w:rPr>
            </w:pPr>
            <w:r w:rsidRPr="00AF3712">
              <w:t>site conditions.</w:t>
            </w:r>
          </w:p>
        </w:tc>
      </w:tr>
      <w:tr w:rsidTr="000B5B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rPr>
                <w:rStyle w:val="BoldandItalics"/>
              </w:rPr>
              <w:t>Soil properties</w:t>
            </w:r>
            <w:r w:rsidRPr="00AF3712">
              <w:t xml:space="preserve"> include:</w:t>
            </w:r>
          </w:p>
        </w:tc>
        <w:tc>
          <w:tcPr>
            <w:tcW w:w="4991" w:type="dxa"/>
            <w:tcBorders>
              <w:top w:val="nil"/>
              <w:left w:val="nil"/>
              <w:bottom w:val="nil"/>
              <w:right w:val="nil"/>
            </w:tcBorders>
            <w:tcMar>
              <w:top w:w="0" w:type="dxa"/>
              <w:left w:w="62" w:type="dxa"/>
              <w:bottom w:w="0" w:type="dxa"/>
              <w:right w:w="62" w:type="dxa"/>
            </w:tcMar>
          </w:tcPr>
          <w:p w:rsidR="00000000" w:rsidRPr="00AF3712" w:rsidP="00AF3712">
            <w:pPr>
              <w:pStyle w:val="ListBullet"/>
            </w:pPr>
            <w:r w:rsidRPr="00AF3712">
              <w:t>bulk density</w:t>
            </w:r>
          </w:p>
          <w:p w:rsidR="00000000" w:rsidRPr="00AF3712" w:rsidP="00AF3712">
            <w:pPr>
              <w:pStyle w:val="ListBullet"/>
            </w:pPr>
            <w:r w:rsidRPr="00AF3712">
              <w:t>degree of saturation</w:t>
            </w:r>
          </w:p>
          <w:p w:rsidR="00000000" w:rsidRPr="00AF3712" w:rsidP="00AF3712">
            <w:pPr>
              <w:pStyle w:val="ListBullet"/>
            </w:pPr>
            <w:r w:rsidRPr="00AF3712">
              <w:t>dry density</w:t>
            </w:r>
          </w:p>
          <w:p w:rsidR="00000000" w:rsidRPr="00AF3712" w:rsidP="00AF3712">
            <w:pPr>
              <w:pStyle w:val="ListBullet"/>
            </w:pPr>
            <w:r w:rsidRPr="00AF3712">
              <w:t>moisture content</w:t>
            </w:r>
          </w:p>
          <w:p w:rsidR="00000000" w:rsidRPr="00AF3712" w:rsidP="00AF3712">
            <w:pPr>
              <w:pStyle w:val="ListBullet"/>
            </w:pPr>
            <w:r w:rsidRPr="00AF3712">
              <w:t>porosity</w:t>
            </w:r>
          </w:p>
          <w:p w:rsidR="00000000" w:rsidP="00AF3712">
            <w:pPr>
              <w:pStyle w:val="ListBullet"/>
              <w:rPr>
                <w:lang w:val="en-NZ"/>
              </w:rPr>
            </w:pPr>
            <w:r w:rsidRPr="00AF3712">
              <w:t>void ratio.</w:t>
            </w:r>
          </w:p>
        </w:tc>
      </w:tr>
      <w:tr w:rsidTr="000B5BB4">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rPr>
                <w:rStyle w:val="BoldandItalics"/>
              </w:rPr>
              <w:t>Maintenance requirements</w:t>
            </w:r>
            <w:r w:rsidRPr="00AF3712">
              <w:t xml:space="preserve"> include identification of:</w:t>
            </w:r>
          </w:p>
        </w:tc>
        <w:tc>
          <w:tcPr>
            <w:tcW w:w="4991" w:type="dxa"/>
            <w:tcBorders>
              <w:top w:val="nil"/>
              <w:left w:val="nil"/>
              <w:bottom w:val="nil"/>
              <w:right w:val="nil"/>
            </w:tcBorders>
            <w:tcMar>
              <w:top w:w="0" w:type="dxa"/>
              <w:left w:w="62" w:type="dxa"/>
              <w:bottom w:w="0" w:type="dxa"/>
              <w:right w:w="62" w:type="dxa"/>
            </w:tcMar>
          </w:tcPr>
          <w:p w:rsidR="00000000" w:rsidRPr="00AF3712" w:rsidP="00AF3712">
            <w:pPr>
              <w:pStyle w:val="ListBullet"/>
            </w:pPr>
            <w:r w:rsidRPr="00AF3712">
              <w:t>ground water</w:t>
            </w:r>
          </w:p>
          <w:p w:rsidR="00000000" w:rsidRPr="00AF3712" w:rsidP="00AF3712">
            <w:pPr>
              <w:pStyle w:val="ListBullet"/>
            </w:pPr>
            <w:r w:rsidRPr="00AF3712">
              <w:t>surface water</w:t>
            </w:r>
          </w:p>
          <w:p w:rsidR="00000000" w:rsidRPr="00AF3712" w:rsidP="00AF3712">
            <w:pPr>
              <w:pStyle w:val="ListBullet"/>
            </w:pPr>
            <w:r w:rsidRPr="00AF3712">
              <w:t>tree root systems.</w:t>
            </w:r>
          </w:p>
        </w:tc>
      </w:tr>
    </w:tbl>
    <w:p w:rsidR="000B5BB4" w:rsidP="00AF3712">
      <w:pPr>
        <w:pStyle w:val="BodyText"/>
      </w:pPr>
    </w:p>
    <w:p w:rsidR="000B5BB4" w:rsidP="00AF3712">
      <w:pPr>
        <w:pStyle w:val="BodyText"/>
      </w:pPr>
    </w:p>
    <w:p w:rsidR="00000000" w:rsidRPr="00AF3712" w:rsidP="00AF3712">
      <w:pPr>
        <w:pStyle w:val="Heading1"/>
      </w:pPr>
      <w:bookmarkStart w:id="12" w:name="O_199024"/>
      <w:bookmarkEnd w:id="12"/>
      <w:r w:rsidRPr="00AF3712">
        <w:t>Unit Sector(s)</w:t>
      </w:r>
    </w:p>
    <w:tbl>
      <w:tblPr>
        <w:tblW w:w="0" w:type="auto"/>
        <w:tblLayout w:type="fixed"/>
        <w:tblCellMar>
          <w:left w:w="62" w:type="dxa"/>
          <w:right w:w="62" w:type="dxa"/>
        </w:tblCellMar>
        <w:tblLook w:val="0000"/>
      </w:tblPr>
      <w:tblGrid>
        <w:gridCol w:w="2603"/>
        <w:gridCol w:w="5919"/>
      </w:tblGrid>
      <w:tr w:rsidTr="000B5BB4">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AF3712" w:rsidP="00AF3712">
            <w:pPr>
              <w:pStyle w:val="BodyText"/>
            </w:pPr>
            <w:r w:rsidRPr="00AF3712">
              <w:t>Construction</w:t>
            </w:r>
          </w:p>
        </w:tc>
      </w:tr>
    </w:tbl>
    <w:p w:rsidR="000B5BB4" w:rsidP="00AF3712">
      <w:pPr>
        <w:pStyle w:val="BodyText"/>
      </w:pPr>
    </w:p>
    <w:p w:rsidR="000B5BB4" w:rsidP="00AF3712">
      <w:pPr>
        <w:pStyle w:val="BodyText"/>
      </w:pPr>
    </w:p>
    <w:p w:rsidR="00000000" w:rsidRPr="00AF3712" w:rsidP="00AF3712">
      <w:pPr>
        <w:pStyle w:val="Heading1"/>
      </w:pPr>
      <w:bookmarkStart w:id="13" w:name="O_199021"/>
      <w:bookmarkEnd w:id="13"/>
      <w:r w:rsidRPr="00AF3712">
        <w:t>Co-requisite units</w:t>
      </w:r>
    </w:p>
    <w:tbl>
      <w:tblPr>
        <w:tblW w:w="0" w:type="auto"/>
        <w:tblLayout w:type="fixed"/>
        <w:tblCellMar>
          <w:left w:w="62" w:type="dxa"/>
          <w:right w:w="62" w:type="dxa"/>
        </w:tblCellMar>
        <w:tblLook w:val="0000"/>
      </w:tblPr>
      <w:tblGrid>
        <w:gridCol w:w="2619"/>
        <w:gridCol w:w="1340"/>
        <w:gridCol w:w="4563"/>
      </w:tblGrid>
      <w:tr w:rsidTr="000B5BB4">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rPr>
                <w:rStyle w:val="SpecialBold"/>
              </w:rPr>
              <w:t>Co-requisite units</w:t>
            </w:r>
          </w:p>
        </w:tc>
        <w:tc>
          <w:tcPr>
            <w:tcW w:w="5903" w:type="dxa"/>
            <w:gridSpan w:val="2"/>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t>Nil</w:t>
            </w:r>
          </w:p>
        </w:tc>
      </w:tr>
      <w:tr w:rsidTr="000B5BB4">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3"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p>
        </w:tc>
      </w:tr>
      <w:tr w:rsidTr="000B5BB4">
        <w:tblPrEx>
          <w:tblW w:w="0" w:type="auto"/>
          <w:tblLayout w:type="fixed"/>
          <w:tblCellMar>
            <w:left w:w="62" w:type="dxa"/>
            <w:right w:w="62" w:type="dxa"/>
          </w:tblCellMar>
          <w:tblLook w:val="0000"/>
        </w:tblPrEx>
        <w:tc>
          <w:tcPr>
            <w:tcW w:w="26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3" w:type="dxa"/>
            <w:tcBorders>
              <w:top w:val="nil"/>
              <w:left w:val="nil"/>
              <w:bottom w:val="nil"/>
              <w:right w:val="nil"/>
            </w:tcBorders>
            <w:tcMar>
              <w:top w:w="0" w:type="dxa"/>
              <w:left w:w="62" w:type="dxa"/>
              <w:bottom w:w="0" w:type="dxa"/>
              <w:right w:w="62" w:type="dxa"/>
            </w:tcMar>
          </w:tcPr>
          <w:p w:rsidR="00000000" w:rsidRPr="00AF3712" w:rsidP="00AF3712">
            <w:pPr>
              <w:pStyle w:val="BodyText"/>
            </w:pPr>
          </w:p>
        </w:tc>
      </w:tr>
    </w:tbl>
    <w:p w:rsidR="000B5BB4" w:rsidP="00AF3712">
      <w:pPr>
        <w:pStyle w:val="BodyText"/>
      </w:pPr>
    </w:p>
    <w:p w:rsidR="000B5BB4" w:rsidP="00AF3712">
      <w:pPr>
        <w:pStyle w:val="BodyText"/>
      </w:pPr>
    </w:p>
    <w:p w:rsidR="00000000" w:rsidRPr="00AF3712" w:rsidP="00AF3712">
      <w:pPr>
        <w:pStyle w:val="Heading1"/>
      </w:pPr>
      <w:bookmarkStart w:id="14" w:name="O_199023"/>
      <w:bookmarkEnd w:id="14"/>
      <w:r w:rsidRPr="00AF3712">
        <w:t>Functional area</w:t>
      </w:r>
    </w:p>
    <w:tbl>
      <w:tblPr>
        <w:tblW w:w="0" w:type="auto"/>
        <w:tblLayout w:type="fixed"/>
        <w:tblCellMar>
          <w:left w:w="62" w:type="dxa"/>
          <w:right w:w="62" w:type="dxa"/>
        </w:tblCellMar>
        <w:tblLook w:val="0000"/>
      </w:tblPr>
      <w:tblGrid>
        <w:gridCol w:w="2709"/>
        <w:gridCol w:w="5813"/>
      </w:tblGrid>
      <w:tr w:rsidTr="000B5BB4">
        <w:tblPrEx>
          <w:tblW w:w="0" w:type="auto"/>
          <w:tblLayout w:type="fixed"/>
          <w:tblCellMar>
            <w:left w:w="62" w:type="dxa"/>
            <w:right w:w="62" w:type="dxa"/>
          </w:tblCellMar>
          <w:tblLook w:val="0000"/>
        </w:tblPrEx>
        <w:trPr>
          <w:tblHeader/>
        </w:trPr>
        <w:tc>
          <w:tcPr>
            <w:tcW w:w="2709" w:type="dxa"/>
            <w:tcBorders>
              <w:top w:val="nil"/>
              <w:left w:val="nil"/>
              <w:bottom w:val="nil"/>
              <w:right w:val="nil"/>
            </w:tcBorders>
            <w:tcMar>
              <w:top w:w="0" w:type="dxa"/>
              <w:left w:w="62" w:type="dxa"/>
              <w:bottom w:w="0" w:type="dxa"/>
              <w:right w:w="62" w:type="dxa"/>
            </w:tcMar>
          </w:tcPr>
          <w:p w:rsidR="00000000" w:rsidP="00AF3712">
            <w:pPr>
              <w:pStyle w:val="BodyText"/>
              <w:rPr>
                <w:lang w:val="en-NZ"/>
              </w:rPr>
            </w:pPr>
            <w:r w:rsidRPr="00AF3712">
              <w:rPr>
                <w:rStyle w:val="SpecialBold"/>
              </w:rPr>
              <w:t>Functional area</w:t>
            </w:r>
          </w:p>
        </w:tc>
        <w:tc>
          <w:tcPr>
            <w:tcW w:w="5813" w:type="dxa"/>
            <w:tcBorders>
              <w:top w:val="nil"/>
              <w:left w:val="nil"/>
              <w:bottom w:val="nil"/>
              <w:right w:val="nil"/>
            </w:tcBorders>
            <w:tcMar>
              <w:top w:w="0" w:type="dxa"/>
              <w:left w:w="62" w:type="dxa"/>
              <w:bottom w:w="0" w:type="dxa"/>
              <w:right w:w="62" w:type="dxa"/>
            </w:tcMar>
          </w:tcPr>
          <w:p w:rsidR="00000000" w:rsidRPr="00AF3712" w:rsidP="00AF3712">
            <w:pPr>
              <w:pStyle w:val="BodyText"/>
            </w:pPr>
          </w:p>
        </w:tc>
      </w:tr>
    </w:tbl>
    <w:p w:rsidR="000B5BB4" w:rsidP="00AF3712">
      <w:pPr>
        <w:pStyle w:val="BodyText"/>
      </w:pPr>
    </w:p>
    <w:p w:rsidR="000B5BB4" w:rsidP="00AF3712">
      <w:pPr>
        <w:pStyle w:val="BodyText"/>
      </w:pPr>
    </w:p>
    <w:p w:rsidR="00000000" w:rsidRPr="00AF3712" w:rsidP="00AF3712"/>
    <w:sectPr w:rsidSect="00AF37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7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5BB4" w:rsidP="000B5BB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7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BB4" w:rsidP="00AF371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B5BB4" w:rsidP="00AF37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B5BB4" w:rsidP="00AF37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7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712" w:rsidRPr="000B5BB4" w:rsidP="000B5B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7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BB4" w:rsidRPr="002D2AF8" w:rsidP="00AF3712">
    <w:pPr>
      <w:pStyle w:val="Header"/>
      <w:framePr w:wrap="around"/>
    </w:pPr>
    <w:r>
      <w:fldChar w:fldCharType="begin"/>
    </w:r>
    <w:r>
      <w:instrText xml:space="preserve"> TITLE   \* MERGEFORMAT </w:instrText>
    </w:r>
    <w:r>
      <w:fldChar w:fldCharType="separate"/>
    </w:r>
    <w:r>
      <w:t>CPCCSV6004A Apply footing and geomechanical design principles to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B5BB4" w:rsidP="00AF37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6AB9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96BB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94D3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7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712"/>
    <w:pPr>
      <w:spacing w:before="360" w:after="60"/>
      <w:outlineLvl w:val="0"/>
    </w:pPr>
    <w:rPr>
      <w:sz w:val="32"/>
    </w:rPr>
  </w:style>
  <w:style w:type="paragraph" w:styleId="Heading2">
    <w:name w:val="heading 2"/>
    <w:basedOn w:val="HeadingBase"/>
    <w:next w:val="BodyText"/>
    <w:link w:val="Heading2Char"/>
    <w:qFormat/>
    <w:rsid w:val="00AF3712"/>
    <w:pPr>
      <w:keepLines/>
      <w:spacing w:before="240" w:after="120"/>
      <w:outlineLvl w:val="1"/>
    </w:pPr>
    <w:rPr>
      <w:sz w:val="28"/>
      <w:szCs w:val="40"/>
    </w:rPr>
  </w:style>
  <w:style w:type="paragraph" w:styleId="Heading3">
    <w:name w:val="heading 3"/>
    <w:basedOn w:val="HeadingBase"/>
    <w:next w:val="BodyText"/>
    <w:link w:val="Heading3Char"/>
    <w:qFormat/>
    <w:rsid w:val="00AF3712"/>
    <w:pPr>
      <w:spacing w:before="180" w:after="120"/>
      <w:outlineLvl w:val="2"/>
    </w:pPr>
    <w:rPr>
      <w:spacing w:val="-10"/>
      <w:kern w:val="32"/>
    </w:rPr>
  </w:style>
  <w:style w:type="paragraph" w:styleId="Heading4">
    <w:name w:val="heading 4"/>
    <w:basedOn w:val="HeadingBase"/>
    <w:next w:val="BodyText"/>
    <w:link w:val="Heading4Char"/>
    <w:qFormat/>
    <w:rsid w:val="00AF3712"/>
    <w:pPr>
      <w:spacing w:before="160" w:after="120"/>
      <w:outlineLvl w:val="3"/>
    </w:pPr>
    <w:rPr>
      <w:sz w:val="22"/>
    </w:rPr>
  </w:style>
  <w:style w:type="paragraph" w:styleId="Heading5">
    <w:name w:val="heading 5"/>
    <w:basedOn w:val="HeadingBase"/>
    <w:next w:val="Normal"/>
    <w:link w:val="Heading5Char"/>
    <w:qFormat/>
    <w:rsid w:val="00AF3712"/>
    <w:pPr>
      <w:spacing w:before="80"/>
      <w:outlineLvl w:val="4"/>
    </w:pPr>
    <w:rPr>
      <w:color w:val="918585"/>
      <w:sz w:val="20"/>
    </w:rPr>
  </w:style>
  <w:style w:type="paragraph" w:styleId="Heading6">
    <w:name w:val="heading 6"/>
    <w:basedOn w:val="HeadingBase"/>
    <w:next w:val="Normal"/>
    <w:link w:val="Heading6Char"/>
    <w:qFormat/>
    <w:rsid w:val="00AF3712"/>
    <w:pPr>
      <w:spacing w:before="60"/>
      <w:outlineLvl w:val="5"/>
    </w:pPr>
    <w:rPr>
      <w:color w:val="918585"/>
      <w:sz w:val="20"/>
    </w:rPr>
  </w:style>
  <w:style w:type="paragraph" w:styleId="Heading7">
    <w:name w:val="heading 7"/>
    <w:basedOn w:val="Normal"/>
    <w:next w:val="Normal"/>
    <w:link w:val="Heading7Char"/>
    <w:qFormat/>
    <w:rsid w:val="00AF3712"/>
    <w:pPr>
      <w:ind w:left="720"/>
      <w:outlineLvl w:val="6"/>
    </w:pPr>
    <w:rPr>
      <w:i/>
    </w:rPr>
  </w:style>
  <w:style w:type="paragraph" w:styleId="Heading8">
    <w:name w:val="heading 8"/>
    <w:basedOn w:val="Normal"/>
    <w:next w:val="Normal"/>
    <w:link w:val="Heading8Char"/>
    <w:qFormat/>
    <w:rsid w:val="00AF3712"/>
    <w:pPr>
      <w:ind w:left="720"/>
      <w:outlineLvl w:val="7"/>
    </w:pPr>
    <w:rPr>
      <w:i/>
    </w:rPr>
  </w:style>
  <w:style w:type="paragraph" w:styleId="Heading9">
    <w:name w:val="heading 9"/>
    <w:basedOn w:val="Normal"/>
    <w:next w:val="Normal"/>
    <w:link w:val="Heading9Char"/>
    <w:qFormat/>
    <w:rsid w:val="00AF3712"/>
    <w:pPr>
      <w:ind w:left="720"/>
      <w:outlineLvl w:val="8"/>
    </w:pPr>
    <w:rPr>
      <w:i/>
    </w:rPr>
  </w:style>
  <w:style w:type="character" w:default="1" w:styleId="DefaultParagraphFont">
    <w:name w:val="Default Paragraph Font"/>
    <w:uiPriority w:val="1"/>
    <w:unhideWhenUsed/>
    <w:rsid w:val="00AF37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712"/>
  </w:style>
  <w:style w:type="character" w:customStyle="1" w:styleId="Heading1Char">
    <w:name w:val="Heading 1 Char"/>
    <w:basedOn w:val="DefaultParagraphFont"/>
    <w:link w:val="Heading1"/>
    <w:rsid w:val="00AF3712"/>
    <w:rPr>
      <w:rFonts w:ascii="Times New Roman" w:eastAsia="Times New Roman" w:hAnsi="Times New Roman" w:cs="Times New Roman"/>
      <w:b/>
      <w:sz w:val="32"/>
      <w:szCs w:val="20"/>
      <w:lang w:eastAsia="en-US"/>
    </w:rPr>
  </w:style>
  <w:style w:type="paragraph" w:styleId="BodyText">
    <w:name w:val="Body Text"/>
    <w:basedOn w:val="Normal"/>
    <w:link w:val="BodyTextChar"/>
    <w:rsid w:val="00AF37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3712"/>
    <w:rPr>
      <w:rFonts w:ascii="Times New Roman" w:eastAsia="Times New Roman" w:hAnsi="Times New Roman" w:cs="Times New Roman"/>
      <w:sz w:val="24"/>
      <w:lang w:eastAsia="en-US"/>
    </w:rPr>
  </w:style>
  <w:style w:type="paragraph" w:styleId="Footer">
    <w:name w:val="footer"/>
    <w:basedOn w:val="Normal"/>
    <w:link w:val="FooterChar"/>
    <w:rsid w:val="00AF37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712"/>
    <w:rPr>
      <w:rFonts w:ascii="Times New Roman" w:eastAsia="Times New Roman" w:hAnsi="Times New Roman" w:cs="Times New Roman"/>
      <w:sz w:val="16"/>
      <w:lang w:eastAsia="en-US"/>
    </w:rPr>
  </w:style>
  <w:style w:type="paragraph" w:styleId="List">
    <w:name w:val="List"/>
    <w:basedOn w:val="BodyText"/>
    <w:next w:val="BodyText"/>
    <w:rsid w:val="00AF3712"/>
    <w:pPr>
      <w:tabs>
        <w:tab w:val="left" w:pos="340"/>
      </w:tabs>
      <w:spacing w:before="60" w:after="60"/>
      <w:ind w:left="340" w:hanging="340"/>
    </w:pPr>
  </w:style>
  <w:style w:type="paragraph" w:styleId="ListBullet">
    <w:name w:val="List Bullet"/>
    <w:basedOn w:val="List"/>
    <w:rsid w:val="00AF3712"/>
    <w:pPr>
      <w:numPr>
        <w:numId w:val="14"/>
      </w:numPr>
      <w:tabs>
        <w:tab w:val="clear" w:pos="340"/>
      </w:tabs>
      <w:spacing w:before="40" w:after="40"/>
    </w:pPr>
  </w:style>
  <w:style w:type="character" w:customStyle="1" w:styleId="SpecialBold">
    <w:name w:val="Special Bold"/>
    <w:basedOn w:val="DefaultParagraphFont"/>
    <w:rsid w:val="00AF3712"/>
    <w:rPr>
      <w:b/>
      <w:spacing w:val="0"/>
    </w:rPr>
  </w:style>
  <w:style w:type="paragraph" w:styleId="ListBullet2">
    <w:name w:val="List Bullet 2"/>
    <w:basedOn w:val="List2"/>
    <w:rsid w:val="00AF3712"/>
    <w:pPr>
      <w:numPr>
        <w:numId w:val="15"/>
      </w:numPr>
      <w:tabs>
        <w:tab w:val="clear" w:pos="680"/>
      </w:tabs>
    </w:pPr>
  </w:style>
  <w:style w:type="paragraph" w:customStyle="1" w:styleId="SuperHeading">
    <w:name w:val="SuperHeading"/>
    <w:basedOn w:val="Normal"/>
    <w:rsid w:val="00AF3712"/>
    <w:pPr>
      <w:spacing w:before="240" w:after="120"/>
      <w:outlineLvl w:val="0"/>
    </w:pPr>
    <w:rPr>
      <w:rFonts w:ascii="Times New Roman" w:hAnsi="Times New Roman"/>
      <w:b/>
      <w:sz w:val="28"/>
    </w:rPr>
  </w:style>
  <w:style w:type="paragraph" w:customStyle="1" w:styleId="AllowPageBreak">
    <w:name w:val="AllowPageBreak"/>
    <w:rsid w:val="00AF37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3712"/>
    <w:pPr>
      <w:tabs>
        <w:tab w:val="left" w:pos="680"/>
      </w:tabs>
      <w:spacing w:before="60" w:after="60"/>
      <w:ind w:left="680" w:hanging="340"/>
    </w:pPr>
  </w:style>
  <w:style w:type="paragraph" w:styleId="ListBullet3">
    <w:name w:val="List Bullet 3"/>
    <w:basedOn w:val="List3"/>
    <w:rsid w:val="00AF3712"/>
    <w:pPr>
      <w:numPr>
        <w:numId w:val="3"/>
      </w:numPr>
      <w:tabs>
        <w:tab w:val="clear" w:pos="1021"/>
      </w:tabs>
      <w:ind w:left="1037" w:hanging="357"/>
    </w:pPr>
  </w:style>
  <w:style w:type="character" w:customStyle="1" w:styleId="BoldandItalics">
    <w:name w:val="Bold and Italics"/>
    <w:qFormat/>
    <w:rsid w:val="00AF3712"/>
    <w:rPr>
      <w:b/>
      <w:i/>
      <w:u w:val="none"/>
    </w:rPr>
  </w:style>
  <w:style w:type="character" w:customStyle="1" w:styleId="Heading2Char">
    <w:name w:val="Heading 2 Char"/>
    <w:basedOn w:val="DefaultParagraphFont"/>
    <w:link w:val="Heading2"/>
    <w:rsid w:val="00AF37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7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7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7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7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7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7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712"/>
    <w:rPr>
      <w:rFonts w:ascii="Courier New" w:eastAsia="Times New Roman" w:hAnsi="Courier New" w:cs="Times New Roman"/>
      <w:i/>
      <w:szCs w:val="20"/>
      <w:lang w:eastAsia="en-US"/>
    </w:rPr>
  </w:style>
  <w:style w:type="paragraph" w:customStyle="1" w:styleId="HeadingBase">
    <w:name w:val="Heading Base"/>
    <w:rsid w:val="00AF37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712"/>
    <w:pPr>
      <w:tabs>
        <w:tab w:val="right" w:leader="dot" w:pos="9072"/>
      </w:tabs>
      <w:ind w:left="567"/>
    </w:pPr>
    <w:rPr>
      <w:szCs w:val="22"/>
    </w:rPr>
  </w:style>
  <w:style w:type="paragraph" w:customStyle="1" w:styleId="TOCBase">
    <w:name w:val="TOC Base"/>
    <w:rsid w:val="00AF37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712"/>
    <w:pPr>
      <w:tabs>
        <w:tab w:val="right" w:leader="dot" w:pos="9072"/>
      </w:tabs>
      <w:spacing w:before="40" w:after="40"/>
      <w:ind w:left="284"/>
    </w:pPr>
    <w:rPr>
      <w:rFonts w:ascii="Times New Roman" w:hAnsi="Times New Roman"/>
    </w:rPr>
  </w:style>
  <w:style w:type="paragraph" w:styleId="TOC1">
    <w:name w:val="toc 1"/>
    <w:basedOn w:val="TOCBase"/>
    <w:next w:val="Normal"/>
    <w:rsid w:val="00AF37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3712"/>
    <w:pPr>
      <w:spacing w:before="5040"/>
      <w:jc w:val="center"/>
    </w:pPr>
    <w:rPr>
      <w:sz w:val="48"/>
      <w:szCs w:val="72"/>
      <w:lang w:val="en-US"/>
    </w:rPr>
  </w:style>
  <w:style w:type="character" w:customStyle="1" w:styleId="TitleChar">
    <w:name w:val="Title Char"/>
    <w:basedOn w:val="DefaultParagraphFont"/>
    <w:link w:val="Title"/>
    <w:rsid w:val="00AF37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712"/>
    <w:pPr>
      <w:tabs>
        <w:tab w:val="left" w:pos="3600"/>
        <w:tab w:val="left" w:pos="3958"/>
      </w:tabs>
    </w:pPr>
  </w:style>
  <w:style w:type="paragraph" w:customStyle="1" w:styleId="Note">
    <w:name w:val="Note"/>
    <w:basedOn w:val="BodyText"/>
    <w:rsid w:val="00AF37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712"/>
    <w:pPr>
      <w:framePr w:wrap="auto" w:hAnchor="text" w:y="6049"/>
    </w:pPr>
    <w:rPr>
      <w:color w:val="000000"/>
      <w:sz w:val="40"/>
    </w:rPr>
  </w:style>
  <w:style w:type="paragraph" w:customStyle="1" w:styleId="TOCTitle">
    <w:name w:val="TOCTitle"/>
    <w:basedOn w:val="Heading1"/>
    <w:rsid w:val="00AF3712"/>
    <w:pPr>
      <w:spacing w:after="240"/>
      <w:jc w:val="center"/>
      <w:outlineLvl w:val="9"/>
    </w:pPr>
    <w:rPr>
      <w:caps/>
    </w:rPr>
  </w:style>
  <w:style w:type="paragraph" w:customStyle="1" w:styleId="Version">
    <w:name w:val="Version"/>
    <w:rsid w:val="00AF37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3712"/>
    <w:pPr>
      <w:keepNext w:val="0"/>
      <w:tabs>
        <w:tab w:val="right" w:pos="4176"/>
      </w:tabs>
      <w:ind w:left="198" w:hanging="198"/>
    </w:pPr>
    <w:rPr>
      <w:rFonts w:ascii="Garamond" w:hAnsi="Garamond"/>
    </w:rPr>
  </w:style>
  <w:style w:type="paragraph" w:styleId="IndexHeading">
    <w:name w:val="index heading"/>
    <w:basedOn w:val="Normal"/>
    <w:next w:val="Index1"/>
    <w:semiHidden/>
    <w:rsid w:val="00AF3712"/>
    <w:pPr>
      <w:spacing w:before="120" w:after="120"/>
    </w:pPr>
    <w:rPr>
      <w:rFonts w:ascii="Arial" w:hAnsi="Arial"/>
      <w:b/>
      <w:color w:val="918585"/>
      <w:sz w:val="24"/>
    </w:rPr>
  </w:style>
  <w:style w:type="paragraph" w:styleId="Header">
    <w:name w:val="header"/>
    <w:basedOn w:val="Normal"/>
    <w:link w:val="HeaderChar"/>
    <w:rsid w:val="00AF37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712"/>
    <w:rPr>
      <w:rFonts w:ascii="Times New Roman" w:eastAsia="Times New Roman" w:hAnsi="Times New Roman" w:cs="Times New Roman"/>
      <w:sz w:val="16"/>
      <w:szCs w:val="20"/>
      <w:lang w:val="en-GB" w:eastAsia="en-US"/>
    </w:rPr>
  </w:style>
  <w:style w:type="paragraph" w:customStyle="1" w:styleId="Chapter">
    <w:name w:val="Chapter"/>
    <w:basedOn w:val="Normal"/>
    <w:rsid w:val="00AF3712"/>
    <w:pPr>
      <w:spacing w:before="240"/>
    </w:pPr>
    <w:rPr>
      <w:rFonts w:ascii="Times New Roman" w:hAnsi="Times New Roman"/>
      <w:smallCaps/>
      <w:spacing w:val="80"/>
      <w:sz w:val="28"/>
    </w:rPr>
  </w:style>
  <w:style w:type="paragraph" w:customStyle="1" w:styleId="InChapter">
    <w:name w:val="InChapter"/>
    <w:basedOn w:val="Heading3"/>
    <w:rsid w:val="00AF3712"/>
    <w:pPr>
      <w:spacing w:after="240"/>
      <w:outlineLvl w:val="9"/>
    </w:pPr>
    <w:rPr>
      <w:noProof/>
    </w:rPr>
  </w:style>
  <w:style w:type="paragraph" w:styleId="Index2">
    <w:name w:val="index 2"/>
    <w:basedOn w:val="Normal"/>
    <w:next w:val="Normal"/>
    <w:semiHidden/>
    <w:rsid w:val="00AF3712"/>
    <w:pPr>
      <w:tabs>
        <w:tab w:val="right" w:pos="4176"/>
      </w:tabs>
      <w:ind w:left="568" w:hanging="284"/>
    </w:pPr>
    <w:rPr>
      <w:rFonts w:ascii="Garamond" w:hAnsi="Garamond"/>
    </w:rPr>
  </w:style>
  <w:style w:type="paragraph" w:customStyle="1" w:styleId="Byline">
    <w:name w:val="Byline"/>
    <w:rsid w:val="00AF37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712"/>
    <w:pPr>
      <w:tabs>
        <w:tab w:val="clear" w:pos="3600"/>
        <w:tab w:val="clear" w:pos="3958"/>
      </w:tabs>
      <w:jc w:val="right"/>
    </w:pPr>
  </w:style>
  <w:style w:type="character" w:styleId="Emphasis">
    <w:name w:val="Emphasis"/>
    <w:basedOn w:val="DefaultParagraphFont"/>
    <w:qFormat/>
    <w:rsid w:val="00AF3712"/>
    <w:rPr>
      <w:i/>
    </w:rPr>
  </w:style>
  <w:style w:type="paragraph" w:styleId="Caption">
    <w:name w:val="caption"/>
    <w:basedOn w:val="BodyText"/>
    <w:next w:val="Normal"/>
    <w:qFormat/>
    <w:rsid w:val="00AF3712"/>
    <w:pPr>
      <w:framePr w:w="2268" w:hSpace="181" w:vSpace="181" w:wrap="around" w:vAnchor="text" w:hAnchor="page" w:x="1135" w:y="285" w:anchorLock="1"/>
    </w:pPr>
    <w:rPr>
      <w:i/>
    </w:rPr>
  </w:style>
  <w:style w:type="paragraph" w:customStyle="1" w:styleId="MiniTOCTitle">
    <w:name w:val="MiniTOCTitle"/>
    <w:basedOn w:val="Heading4"/>
    <w:rsid w:val="00AF3712"/>
    <w:pPr>
      <w:spacing w:before="240"/>
      <w:outlineLvl w:val="9"/>
    </w:pPr>
    <w:rPr>
      <w:noProof/>
      <w:sz w:val="24"/>
    </w:rPr>
  </w:style>
  <w:style w:type="paragraph" w:customStyle="1" w:styleId="MiniTOCItem">
    <w:name w:val="MiniTOCItem"/>
    <w:basedOn w:val="ListBullet"/>
    <w:rsid w:val="00AF3712"/>
    <w:pPr>
      <w:numPr>
        <w:numId w:val="0"/>
      </w:numPr>
      <w:tabs>
        <w:tab w:val="right" w:leader="dot" w:pos="6521"/>
      </w:tabs>
      <w:spacing w:before="0" w:after="0"/>
    </w:pPr>
  </w:style>
  <w:style w:type="paragraph" w:customStyle="1" w:styleId="TOFTitle">
    <w:name w:val="TOFTitle"/>
    <w:basedOn w:val="TOCTitle"/>
    <w:rsid w:val="00AF3712"/>
  </w:style>
  <w:style w:type="paragraph" w:styleId="TableofFigures">
    <w:name w:val="table of figures"/>
    <w:basedOn w:val="Normal"/>
    <w:next w:val="Normal"/>
    <w:semiHidden/>
    <w:rsid w:val="00AF3712"/>
    <w:pPr>
      <w:tabs>
        <w:tab w:val="right" w:leader="dot" w:pos="9072"/>
      </w:tabs>
      <w:ind w:left="970" w:hanging="403"/>
    </w:pPr>
    <w:rPr>
      <w:rFonts w:ascii="Times New Roman" w:hAnsi="Times New Roman"/>
      <w:b/>
    </w:rPr>
  </w:style>
  <w:style w:type="paragraph" w:styleId="ListNumber">
    <w:name w:val="List Number"/>
    <w:basedOn w:val="List"/>
    <w:rsid w:val="00AF3712"/>
    <w:pPr>
      <w:numPr>
        <w:numId w:val="12"/>
      </w:numPr>
    </w:pPr>
  </w:style>
  <w:style w:type="character" w:customStyle="1" w:styleId="WingdingSymbols">
    <w:name w:val="Wingding Symbols"/>
    <w:rsid w:val="00AF3712"/>
    <w:rPr>
      <w:rFonts w:ascii="Wingdings" w:hAnsi="Wingdings"/>
    </w:rPr>
  </w:style>
  <w:style w:type="paragraph" w:customStyle="1" w:styleId="TableHeading">
    <w:name w:val="Table Heading"/>
    <w:basedOn w:val="HeadingBase"/>
    <w:rsid w:val="00AF3712"/>
    <w:pPr>
      <w:keepLines/>
      <w:pBdr>
        <w:bottom w:val="single" w:sz="6" w:space="1" w:color="918585"/>
      </w:pBdr>
      <w:spacing w:before="240"/>
    </w:pPr>
  </w:style>
  <w:style w:type="character" w:customStyle="1" w:styleId="HotSpot">
    <w:name w:val="HotSpot"/>
    <w:rsid w:val="00AF3712"/>
    <w:rPr>
      <w:color w:val="0033CC"/>
      <w:u w:val="none"/>
    </w:rPr>
  </w:style>
  <w:style w:type="paragraph" w:customStyle="1" w:styleId="BodyTextRight">
    <w:name w:val="Body Text Right"/>
    <w:basedOn w:val="BodyText"/>
    <w:rsid w:val="00AF3712"/>
    <w:pPr>
      <w:spacing w:before="0" w:after="0"/>
      <w:jc w:val="right"/>
    </w:pPr>
  </w:style>
  <w:style w:type="paragraph" w:styleId="Index3">
    <w:name w:val="index 3"/>
    <w:basedOn w:val="ListNumber2"/>
    <w:next w:val="Normal"/>
    <w:semiHidden/>
    <w:rsid w:val="00AF3712"/>
    <w:pPr>
      <w:numPr>
        <w:numId w:val="0"/>
      </w:numPr>
      <w:tabs>
        <w:tab w:val="right" w:leader="dot" w:pos="4176"/>
      </w:tabs>
    </w:pPr>
  </w:style>
  <w:style w:type="paragraph" w:styleId="ListNumber2">
    <w:name w:val="List Number 2"/>
    <w:basedOn w:val="List2"/>
    <w:rsid w:val="00AF3712"/>
    <w:pPr>
      <w:numPr>
        <w:numId w:val="11"/>
      </w:numPr>
      <w:tabs>
        <w:tab w:val="clear" w:pos="1060"/>
      </w:tabs>
    </w:pPr>
  </w:style>
  <w:style w:type="paragraph" w:customStyle="1" w:styleId="MarginNote">
    <w:name w:val="Margin Note"/>
    <w:basedOn w:val="BodyText"/>
    <w:rsid w:val="00AF37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7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7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712"/>
    <w:rPr>
      <w:sz w:val="32"/>
    </w:rPr>
  </w:style>
  <w:style w:type="paragraph" w:customStyle="1" w:styleId="HeadingProcedure">
    <w:name w:val="Heading Procedure"/>
    <w:basedOn w:val="HeadingBase"/>
    <w:next w:val="Normal"/>
    <w:rsid w:val="00AF3712"/>
    <w:pPr>
      <w:tabs>
        <w:tab w:val="left" w:pos="0"/>
      </w:tabs>
      <w:spacing w:before="120" w:after="60"/>
    </w:pPr>
    <w:rPr>
      <w:i/>
      <w:color w:val="918585"/>
      <w:sz w:val="22"/>
    </w:rPr>
  </w:style>
  <w:style w:type="paragraph" w:customStyle="1" w:styleId="TableBodyText">
    <w:name w:val="Table Body Text"/>
    <w:basedOn w:val="BodyText"/>
    <w:rsid w:val="00AF3712"/>
    <w:pPr>
      <w:spacing w:before="60" w:after="60"/>
    </w:pPr>
  </w:style>
  <w:style w:type="paragraph" w:styleId="ListContinue">
    <w:name w:val="List Continue"/>
    <w:basedOn w:val="List"/>
    <w:rsid w:val="00AF3712"/>
    <w:pPr>
      <w:ind w:firstLine="0"/>
    </w:pPr>
  </w:style>
  <w:style w:type="paragraph" w:customStyle="1" w:styleId="ListNote">
    <w:name w:val="List Note"/>
    <w:basedOn w:val="List"/>
    <w:rsid w:val="00AF3712"/>
    <w:pPr>
      <w:pBdr>
        <w:top w:val="single" w:sz="6" w:space="2" w:color="918585"/>
        <w:bottom w:val="single" w:sz="6" w:space="2" w:color="918585"/>
      </w:pBdr>
      <w:tabs>
        <w:tab w:val="left" w:pos="1021"/>
      </w:tabs>
      <w:ind w:firstLine="0"/>
    </w:pPr>
  </w:style>
  <w:style w:type="paragraph" w:customStyle="1" w:styleId="Warning">
    <w:name w:val="Warning"/>
    <w:basedOn w:val="BodyText"/>
    <w:rsid w:val="00AF3712"/>
    <w:pPr>
      <w:shd w:val="clear" w:color="auto" w:fill="D9D9D9"/>
      <w:tabs>
        <w:tab w:val="left" w:pos="992"/>
      </w:tabs>
      <w:ind w:left="119" w:right="119"/>
    </w:pPr>
    <w:rPr>
      <w:sz w:val="20"/>
    </w:rPr>
  </w:style>
  <w:style w:type="paragraph" w:customStyle="1" w:styleId="MarginIcons">
    <w:name w:val="Margin Icons"/>
    <w:basedOn w:val="BodyText"/>
    <w:rsid w:val="00AF37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712"/>
    <w:rPr>
      <w:rFonts w:ascii="Courier New" w:hAnsi="Courier New"/>
    </w:rPr>
  </w:style>
  <w:style w:type="paragraph" w:customStyle="1" w:styleId="NoteBullet">
    <w:name w:val="Note Bullet"/>
    <w:basedOn w:val="Note"/>
    <w:rsid w:val="00AF3712"/>
    <w:pPr>
      <w:tabs>
        <w:tab w:val="clear" w:pos="680"/>
      </w:tabs>
      <w:spacing w:before="60" w:after="60"/>
    </w:pPr>
  </w:style>
  <w:style w:type="paragraph" w:customStyle="1" w:styleId="SubHeading2">
    <w:name w:val="SubHeading2"/>
    <w:basedOn w:val="HeadingBase"/>
    <w:rsid w:val="00AF3712"/>
    <w:pPr>
      <w:spacing w:before="240" w:after="60"/>
    </w:pPr>
    <w:rPr>
      <w:sz w:val="20"/>
    </w:rPr>
  </w:style>
  <w:style w:type="paragraph" w:customStyle="1" w:styleId="SubHeading1">
    <w:name w:val="SubHeading1"/>
    <w:basedOn w:val="HeadingBase"/>
    <w:rsid w:val="00AF3712"/>
    <w:pPr>
      <w:spacing w:before="240" w:after="60"/>
    </w:pPr>
    <w:rPr>
      <w:color w:val="918585"/>
      <w:sz w:val="22"/>
    </w:rPr>
  </w:style>
  <w:style w:type="paragraph" w:customStyle="1" w:styleId="SideHeading">
    <w:name w:val="Side Heading"/>
    <w:basedOn w:val="HeadingBase"/>
    <w:rsid w:val="00AF37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712"/>
    <w:pPr>
      <w:numPr>
        <w:numId w:val="13"/>
      </w:numPr>
    </w:pPr>
  </w:style>
  <w:style w:type="paragraph" w:styleId="PlainText">
    <w:name w:val="Plain Text"/>
    <w:basedOn w:val="Normal"/>
    <w:link w:val="PlainTextChar"/>
    <w:rsid w:val="00AF3712"/>
    <w:rPr>
      <w:sz w:val="20"/>
    </w:rPr>
  </w:style>
  <w:style w:type="character" w:customStyle="1" w:styleId="PlainTextChar">
    <w:name w:val="Plain Text Char"/>
    <w:basedOn w:val="DefaultParagraphFont"/>
    <w:link w:val="PlainText"/>
    <w:rsid w:val="00AF3712"/>
    <w:rPr>
      <w:rFonts w:ascii="Courier New" w:eastAsia="Times New Roman" w:hAnsi="Courier New" w:cs="Times New Roman"/>
      <w:sz w:val="20"/>
      <w:szCs w:val="20"/>
      <w:lang w:eastAsia="en-US"/>
    </w:rPr>
  </w:style>
  <w:style w:type="character" w:customStyle="1" w:styleId="MenuOption">
    <w:name w:val="Menu Option"/>
    <w:basedOn w:val="DefaultParagraphFont"/>
    <w:rsid w:val="00AF3712"/>
    <w:rPr>
      <w:b/>
      <w:smallCaps/>
    </w:rPr>
  </w:style>
  <w:style w:type="paragraph" w:customStyle="1" w:styleId="TableListNumber">
    <w:name w:val="Table List Number"/>
    <w:basedOn w:val="ListNumber"/>
    <w:rsid w:val="00AF3712"/>
    <w:pPr>
      <w:numPr>
        <w:numId w:val="0"/>
      </w:numPr>
    </w:pPr>
  </w:style>
  <w:style w:type="paragraph" w:styleId="TOC4">
    <w:name w:val="toc 4"/>
    <w:basedOn w:val="TOCBase"/>
    <w:next w:val="Normal"/>
    <w:semiHidden/>
    <w:rsid w:val="00AF3712"/>
    <w:pPr>
      <w:tabs>
        <w:tab w:val="right" w:leader="dot" w:pos="9071"/>
      </w:tabs>
      <w:ind w:left="1701"/>
    </w:pPr>
  </w:style>
  <w:style w:type="paragraph" w:customStyle="1" w:styleId="ListAlpha">
    <w:name w:val="List Alpha"/>
    <w:basedOn w:val="List"/>
    <w:rsid w:val="00AF3712"/>
    <w:pPr>
      <w:numPr>
        <w:numId w:val="10"/>
      </w:numPr>
    </w:pPr>
  </w:style>
  <w:style w:type="paragraph" w:customStyle="1" w:styleId="ListAlpha2">
    <w:name w:val="List Alpha 2"/>
    <w:basedOn w:val="List2"/>
    <w:rsid w:val="00AF3712"/>
    <w:pPr>
      <w:numPr>
        <w:numId w:val="9"/>
      </w:numPr>
    </w:pPr>
  </w:style>
  <w:style w:type="paragraph" w:styleId="List3">
    <w:name w:val="List 3"/>
    <w:basedOn w:val="BodyText"/>
    <w:rsid w:val="00AF3712"/>
    <w:pPr>
      <w:tabs>
        <w:tab w:val="left" w:pos="1021"/>
      </w:tabs>
      <w:spacing w:before="60" w:after="60"/>
      <w:ind w:left="1020" w:hanging="340"/>
    </w:pPr>
  </w:style>
  <w:style w:type="paragraph" w:styleId="List4">
    <w:name w:val="List 4"/>
    <w:basedOn w:val="BodyText"/>
    <w:rsid w:val="00AF3712"/>
    <w:pPr>
      <w:tabs>
        <w:tab w:val="left" w:pos="1361"/>
      </w:tabs>
      <w:spacing w:before="60" w:after="60"/>
      <w:ind w:left="1361" w:hanging="340"/>
    </w:pPr>
  </w:style>
  <w:style w:type="paragraph" w:styleId="List5">
    <w:name w:val="List 5"/>
    <w:basedOn w:val="BodyText"/>
    <w:rsid w:val="00AF3712"/>
    <w:pPr>
      <w:tabs>
        <w:tab w:val="left" w:pos="1701"/>
      </w:tabs>
      <w:spacing w:before="60" w:after="60"/>
      <w:ind w:left="1701" w:hanging="340"/>
    </w:pPr>
  </w:style>
  <w:style w:type="paragraph" w:styleId="ListBullet4">
    <w:name w:val="List Bullet 4"/>
    <w:basedOn w:val="List4"/>
    <w:rsid w:val="00AF3712"/>
    <w:pPr>
      <w:numPr>
        <w:numId w:val="4"/>
      </w:numPr>
    </w:pPr>
  </w:style>
  <w:style w:type="paragraph" w:styleId="ListBullet5">
    <w:name w:val="List Bullet 5"/>
    <w:basedOn w:val="List5"/>
    <w:rsid w:val="00AF3712"/>
    <w:pPr>
      <w:numPr>
        <w:numId w:val="5"/>
      </w:numPr>
    </w:pPr>
  </w:style>
  <w:style w:type="paragraph" w:styleId="ListContinue2">
    <w:name w:val="List Continue 2"/>
    <w:basedOn w:val="List2"/>
    <w:rsid w:val="00AF3712"/>
    <w:pPr>
      <w:ind w:firstLine="0"/>
    </w:pPr>
  </w:style>
  <w:style w:type="paragraph" w:styleId="ListContinue3">
    <w:name w:val="List Continue 3"/>
    <w:basedOn w:val="List3"/>
    <w:rsid w:val="00AF3712"/>
    <w:pPr>
      <w:ind w:left="1021" w:firstLine="0"/>
    </w:pPr>
  </w:style>
  <w:style w:type="paragraph" w:styleId="ListContinue4">
    <w:name w:val="List Continue 4"/>
    <w:basedOn w:val="List4"/>
    <w:rsid w:val="00AF3712"/>
    <w:pPr>
      <w:ind w:firstLine="0"/>
    </w:pPr>
  </w:style>
  <w:style w:type="paragraph" w:styleId="ListContinue5">
    <w:name w:val="List Continue 5"/>
    <w:basedOn w:val="List5"/>
    <w:rsid w:val="00AF3712"/>
    <w:pPr>
      <w:ind w:firstLine="0"/>
    </w:pPr>
  </w:style>
  <w:style w:type="paragraph" w:styleId="ListNumber3">
    <w:name w:val="List Number 3"/>
    <w:basedOn w:val="List3"/>
    <w:rsid w:val="00AF3712"/>
    <w:pPr>
      <w:numPr>
        <w:numId w:val="6"/>
      </w:numPr>
    </w:pPr>
  </w:style>
  <w:style w:type="paragraph" w:styleId="ListNumber4">
    <w:name w:val="List Number 4"/>
    <w:basedOn w:val="List4"/>
    <w:rsid w:val="00AF3712"/>
    <w:pPr>
      <w:numPr>
        <w:numId w:val="7"/>
      </w:numPr>
    </w:pPr>
  </w:style>
  <w:style w:type="paragraph" w:styleId="ListNumber5">
    <w:name w:val="List Number 5"/>
    <w:basedOn w:val="List5"/>
    <w:rsid w:val="00AF3712"/>
    <w:pPr>
      <w:numPr>
        <w:numId w:val="8"/>
      </w:numPr>
    </w:pPr>
  </w:style>
  <w:style w:type="paragraph" w:styleId="BlockText">
    <w:name w:val="Block Text"/>
    <w:basedOn w:val="Normal"/>
    <w:rsid w:val="00AF3712"/>
    <w:pPr>
      <w:spacing w:after="120"/>
      <w:ind w:left="1440" w:right="1440"/>
    </w:pPr>
  </w:style>
  <w:style w:type="character" w:customStyle="1" w:styleId="Subscript">
    <w:name w:val="Subscript"/>
    <w:basedOn w:val="DefaultParagraphFont"/>
    <w:rsid w:val="00AF3712"/>
    <w:rPr>
      <w:sz w:val="16"/>
      <w:vertAlign w:val="subscript"/>
    </w:rPr>
  </w:style>
  <w:style w:type="character" w:customStyle="1" w:styleId="Superscript">
    <w:name w:val="Superscript"/>
    <w:basedOn w:val="DefaultParagraphFont"/>
    <w:rsid w:val="00AF3712"/>
    <w:rPr>
      <w:sz w:val="16"/>
      <w:vertAlign w:val="superscript"/>
    </w:rPr>
  </w:style>
  <w:style w:type="character" w:customStyle="1" w:styleId="Symbols">
    <w:name w:val="Symbols"/>
    <w:basedOn w:val="DefaultParagraphFont"/>
    <w:rsid w:val="00AF3712"/>
    <w:rPr>
      <w:rFonts w:ascii="Symbol" w:hAnsi="Symbol"/>
    </w:rPr>
  </w:style>
  <w:style w:type="character" w:customStyle="1" w:styleId="MenuOptions">
    <w:name w:val="Menu Options"/>
    <w:basedOn w:val="DefaultParagraphFont"/>
    <w:rsid w:val="00AF3712"/>
    <w:rPr>
      <w:rFonts w:ascii="Arial Narrow" w:hAnsi="Arial Narrow"/>
      <w:smallCaps/>
    </w:rPr>
  </w:style>
  <w:style w:type="character" w:customStyle="1" w:styleId="Buttons">
    <w:name w:val="Buttons"/>
    <w:basedOn w:val="DefaultParagraphFont"/>
    <w:rsid w:val="00AF3712"/>
    <w:rPr>
      <w:b/>
    </w:rPr>
  </w:style>
  <w:style w:type="character" w:customStyle="1" w:styleId="Underlined">
    <w:name w:val="Underlined"/>
    <w:basedOn w:val="DefaultParagraphFont"/>
    <w:rsid w:val="00AF3712"/>
    <w:rPr>
      <w:u w:val="single"/>
    </w:rPr>
  </w:style>
  <w:style w:type="paragraph" w:customStyle="1" w:styleId="TableBodyTextRight">
    <w:name w:val="Table Body Text Right"/>
    <w:basedOn w:val="TableBodyText"/>
    <w:rsid w:val="00AF3712"/>
    <w:pPr>
      <w:widowControl w:val="0"/>
      <w:autoSpaceDE w:val="0"/>
      <w:autoSpaceDN w:val="0"/>
      <w:adjustRightInd w:val="0"/>
      <w:jc w:val="right"/>
    </w:pPr>
    <w:rPr>
      <w:rFonts w:cs="Arial"/>
      <w:szCs w:val="18"/>
    </w:rPr>
  </w:style>
  <w:style w:type="paragraph" w:customStyle="1" w:styleId="CopyrightText">
    <w:name w:val="Copyright Text"/>
    <w:basedOn w:val="BodyText"/>
    <w:rsid w:val="00AF3712"/>
    <w:rPr>
      <w:sz w:val="18"/>
    </w:rPr>
  </w:style>
  <w:style w:type="paragraph" w:customStyle="1" w:styleId="BodySmallRight">
    <w:name w:val="Body Small Right"/>
    <w:basedOn w:val="BodyTextRight"/>
    <w:rsid w:val="00AF3712"/>
    <w:rPr>
      <w:sz w:val="18"/>
      <w:szCs w:val="18"/>
    </w:rPr>
  </w:style>
  <w:style w:type="paragraph" w:customStyle="1" w:styleId="MarginEdition">
    <w:name w:val="Margin Edition"/>
    <w:basedOn w:val="MarginNote"/>
    <w:rsid w:val="00AF3712"/>
    <w:pPr>
      <w:spacing w:before="0" w:after="0"/>
    </w:pPr>
    <w:rPr>
      <w:rFonts w:ascii="Times New Roman" w:hAnsi="Times New Roman"/>
      <w:color w:val="999999"/>
    </w:rPr>
  </w:style>
  <w:style w:type="paragraph" w:customStyle="1" w:styleId="Spacer">
    <w:name w:val="Spacer"/>
    <w:basedOn w:val="Normal"/>
    <w:rsid w:val="00AF3712"/>
    <w:rPr>
      <w:sz w:val="2"/>
      <w:szCs w:val="2"/>
    </w:rPr>
  </w:style>
  <w:style w:type="character" w:customStyle="1" w:styleId="Small">
    <w:name w:val="Small"/>
    <w:basedOn w:val="DefaultParagraphFont"/>
    <w:rsid w:val="00AF3712"/>
    <w:rPr>
      <w:sz w:val="16"/>
    </w:rPr>
  </w:style>
  <w:style w:type="paragraph" w:customStyle="1" w:styleId="WideTable">
    <w:name w:val="Wide Table"/>
    <w:basedOn w:val="Normal"/>
    <w:rsid w:val="00AF3712"/>
    <w:pPr>
      <w:ind w:left="-1418"/>
    </w:pPr>
    <w:rPr>
      <w:sz w:val="2"/>
      <w:szCs w:val="2"/>
    </w:rPr>
  </w:style>
  <w:style w:type="character" w:styleId="PageNumber">
    <w:name w:val="page number"/>
    <w:basedOn w:val="DefaultParagraphFont"/>
    <w:rsid w:val="00AF3712"/>
  </w:style>
  <w:style w:type="paragraph" w:styleId="Quote">
    <w:name w:val="Quote"/>
    <w:basedOn w:val="Heading1"/>
    <w:link w:val="QuoteChar"/>
    <w:qFormat/>
    <w:rsid w:val="00AF3712"/>
    <w:rPr>
      <w:b w:val="0"/>
      <w:sz w:val="72"/>
      <w:szCs w:val="72"/>
      <w:lang w:val="en-NZ"/>
    </w:rPr>
  </w:style>
  <w:style w:type="character" w:customStyle="1" w:styleId="QuoteChar">
    <w:name w:val="Quote Char"/>
    <w:basedOn w:val="DefaultParagraphFont"/>
    <w:link w:val="Quote"/>
    <w:rsid w:val="00AF37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712"/>
    <w:pPr>
      <w:pageBreakBefore/>
    </w:pPr>
  </w:style>
  <w:style w:type="paragraph" w:customStyle="1" w:styleId="Border">
    <w:name w:val="Border"/>
    <w:basedOn w:val="Normal"/>
    <w:qFormat/>
    <w:rsid w:val="00AF37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712"/>
    <w:rPr>
      <w:b/>
      <w:bCs/>
      <w:i/>
      <w:iCs/>
      <w:color w:val="auto"/>
    </w:rPr>
  </w:style>
  <w:style w:type="paragraph" w:styleId="IntenseQuote">
    <w:name w:val="Intense Quote"/>
    <w:basedOn w:val="Normal"/>
    <w:next w:val="Normal"/>
    <w:link w:val="IntenseQuoteChar"/>
    <w:uiPriority w:val="30"/>
    <w:qFormat/>
    <w:rsid w:val="00AF37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7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712"/>
    <w:rPr>
      <w:smallCaps/>
      <w:color w:val="auto"/>
      <w:u w:val="single"/>
    </w:rPr>
  </w:style>
  <w:style w:type="character" w:styleId="IntenseReference">
    <w:name w:val="Intense Reference"/>
    <w:basedOn w:val="DefaultParagraphFont"/>
    <w:uiPriority w:val="32"/>
    <w:qFormat/>
    <w:rsid w:val="00AF3712"/>
    <w:rPr>
      <w:b/>
      <w:bCs/>
      <w:smallCaps/>
      <w:color w:val="auto"/>
      <w:spacing w:val="5"/>
      <w:u w:val="single"/>
    </w:rPr>
  </w:style>
  <w:style w:type="paragraph" w:customStyle="1" w:styleId="2ColumnHeading">
    <w:name w:val="2Column Heading"/>
    <w:basedOn w:val="BodyText"/>
    <w:qFormat/>
    <w:rsid w:val="00AF3712"/>
    <w:pPr>
      <w:spacing w:after="60"/>
      <w:ind w:left="-2268"/>
    </w:pPr>
    <w:rPr>
      <w:b/>
    </w:rPr>
  </w:style>
  <w:style w:type="paragraph" w:customStyle="1" w:styleId="Heading1TOC">
    <w:name w:val="Heading1 TOC"/>
    <w:basedOn w:val="Normal"/>
    <w:qFormat/>
    <w:rsid w:val="00AF3712"/>
    <w:pPr>
      <w:spacing w:before="240" w:after="120"/>
    </w:pPr>
    <w:rPr>
      <w:rFonts w:ascii="Times New Roman" w:hAnsi="Times New Roman"/>
      <w:b/>
      <w:sz w:val="32"/>
    </w:rPr>
  </w:style>
  <w:style w:type="paragraph" w:customStyle="1" w:styleId="Heading2TOC">
    <w:name w:val="Heading2 TOC"/>
    <w:basedOn w:val="Normal"/>
    <w:qFormat/>
    <w:rsid w:val="00AF3712"/>
    <w:pPr>
      <w:spacing w:before="240" w:after="60"/>
    </w:pPr>
    <w:rPr>
      <w:rFonts w:ascii="Times New Roman" w:hAnsi="Times New Roman"/>
      <w:b/>
      <w:sz w:val="28"/>
    </w:rPr>
  </w:style>
  <w:style w:type="character" w:customStyle="1" w:styleId="Underline">
    <w:name w:val="Underline"/>
    <w:basedOn w:val="DefaultParagraphFont"/>
    <w:qFormat/>
    <w:rsid w:val="00AF3712"/>
    <w:rPr>
      <w:u w:val="single"/>
    </w:rPr>
  </w:style>
  <w:style w:type="paragraph" w:styleId="BalloonText">
    <w:name w:val="Balloon Text"/>
    <w:basedOn w:val="Normal"/>
    <w:link w:val="BalloonTextChar"/>
    <w:rsid w:val="00AF3712"/>
    <w:rPr>
      <w:rFonts w:ascii="Tahoma" w:hAnsi="Tahoma" w:cs="Tahoma"/>
      <w:sz w:val="16"/>
      <w:szCs w:val="16"/>
    </w:rPr>
  </w:style>
  <w:style w:type="character" w:customStyle="1" w:styleId="BalloonTextChar">
    <w:name w:val="Balloon Text Char"/>
    <w:basedOn w:val="DefaultParagraphFont"/>
    <w:link w:val="BalloonText"/>
    <w:rsid w:val="00AF37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7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37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712"/>
    <w:rPr>
      <w:b/>
      <w:color w:val="660033"/>
      <w:spacing w:val="0"/>
    </w:rPr>
  </w:style>
  <w:style w:type="paragraph" w:customStyle="1" w:styleId="Nameditemlist">
    <w:name w:val="Named item list"/>
    <w:basedOn w:val="BodyText"/>
    <w:qFormat/>
    <w:rsid w:val="00AF37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1412</Words>
  <Characters>8990</Characters>
  <Application>Microsoft Office Word</Application>
  <DocSecurity>0</DocSecurity>
  <Lines>330</Lines>
  <Paragraphs>149</Paragraphs>
  <ScaleCrop>false</ScaleCrop>
  <Company>Author-it Software Corporation Ltd.</Company>
  <LinksUpToDate>false</LinksUpToDate>
  <CharactersWithSpaces>10325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CPCCSV6004A Apply footing and geomechanical design principles to buildings up to three storeys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2012-10-05T09:36:00Z</dcterms:created>
  <dcterms:modified xsi:type="dcterms:W3CDTF">2012-10-05T09:36:00Z</dcterms:modified>
</cp:coreProperties>
</file>