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0230" w:rsidP="00F90230">
      <w:pPr>
        <w:pStyle w:val="Title"/>
      </w:pPr>
      <w:bookmarkStart w:id="0" w:name="_GoBack"/>
      <w:bookmarkEnd w:id="0"/>
      <w:r>
        <w:fldChar w:fldCharType="begin"/>
      </w:r>
      <w:r>
        <w:instrText xml:space="preserve"> TITLE   \* MERGEFORMAT </w:instrText>
      </w:r>
      <w:r>
        <w:fldChar w:fldCharType="separate"/>
      </w:r>
      <w:r>
        <w:t>CPCCSV5012A Assess timber-framed designs for one and two storey buildings</w:t>
      </w:r>
      <w:r>
        <w:fldChar w:fldCharType="end"/>
      </w:r>
    </w:p>
    <w:p w:rsidR="00F90230" w:rsidP="00F90230">
      <w:pPr>
        <w:pStyle w:val="Version"/>
        <w:sectPr w:rsidSect="00A25F7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5F75" w:rsidP="00A25F75">
      <w:pPr>
        <w:pStyle w:val="SuperHeading"/>
      </w:pPr>
      <w:r w:rsidRPr="00A25F75">
        <w:t>CPCCSV5012A Assess timber-framed designs for one and two storey buildings</w:t>
      </w:r>
    </w:p>
    <w:p w:rsidR="00000000" w:rsidRPr="00A25F75" w:rsidP="00A25F75">
      <w:pPr>
        <w:pStyle w:val="Heading1"/>
      </w:pPr>
      <w:bookmarkStart w:id="1" w:name="O_269742"/>
      <w:bookmarkEnd w:id="1"/>
      <w:r w:rsidRPr="00A25F75">
        <w:t>Modification History</w:t>
      </w:r>
    </w:p>
    <w:p w:rsidR="00000000" w:rsidRPr="00A25F75" w:rsidP="00A25F75">
      <w:pPr>
        <w:pStyle w:val="BodyText"/>
      </w:pPr>
      <w:r w:rsidRPr="00A25F75">
        <w:t>Not Applicable</w:t>
      </w:r>
    </w:p>
    <w:p w:rsidR="00000000" w:rsidRPr="00A25F75" w:rsidP="00A25F75">
      <w:pPr>
        <w:pStyle w:val="AllowPageBreak"/>
      </w:pPr>
    </w:p>
    <w:p w:rsidR="00000000" w:rsidRPr="00A25F75" w:rsidP="00A25F75">
      <w:pPr>
        <w:pStyle w:val="Heading1"/>
      </w:pPr>
      <w:bookmarkStart w:id="2" w:name="O_198969"/>
      <w:bookmarkEnd w:id="2"/>
      <w:r w:rsidRPr="00A25F75">
        <w:t>Unit Descriptor</w:t>
      </w:r>
    </w:p>
    <w:tbl>
      <w:tblPr>
        <w:tblW w:w="0" w:type="auto"/>
        <w:tblLayout w:type="fixed"/>
        <w:tblCellMar>
          <w:left w:w="62" w:type="dxa"/>
          <w:right w:w="62" w:type="dxa"/>
        </w:tblCellMar>
        <w:tblLook w:val="0000"/>
      </w:tblPr>
      <w:tblGrid>
        <w:gridCol w:w="2526"/>
        <w:gridCol w:w="5996"/>
      </w:tblGrid>
      <w:tr w:rsidTr="00F90230">
        <w:tblPrEx>
          <w:tblW w:w="0" w:type="auto"/>
          <w:tblLayout w:type="fixed"/>
          <w:tblCellMar>
            <w:left w:w="62" w:type="dxa"/>
            <w:right w:w="62" w:type="dxa"/>
          </w:tblCellMar>
          <w:tblLook w:val="0000"/>
        </w:tblPrEx>
        <w:tc>
          <w:tcPr>
            <w:tcW w:w="2526" w:type="dxa"/>
            <w:tcBorders>
              <w:top w:val="nil"/>
              <w:left w:val="nil"/>
              <w:bottom w:val="nil"/>
              <w:right w:val="nil"/>
            </w:tcBorders>
            <w:tcMar>
              <w:top w:w="0" w:type="dxa"/>
              <w:left w:w="62" w:type="dxa"/>
              <w:bottom w:w="0" w:type="dxa"/>
              <w:right w:w="62" w:type="dxa"/>
            </w:tcMar>
          </w:tcPr>
          <w:p w:rsidR="00000000" w:rsidP="00A25F75">
            <w:pPr>
              <w:pStyle w:val="BodyText"/>
              <w:rPr>
                <w:lang w:val="en-NZ"/>
              </w:rPr>
            </w:pPr>
            <w:r w:rsidRPr="00A25F75">
              <w:rPr>
                <w:rStyle w:val="SpecialBold"/>
              </w:rPr>
              <w:t>Unit de</w:t>
            </w:r>
            <w:r w:rsidRPr="00A25F75">
              <w:rPr>
                <w:rStyle w:val="SpecialBold"/>
              </w:rPr>
              <w:t>scriptor</w:t>
            </w:r>
          </w:p>
        </w:tc>
        <w:tc>
          <w:tcPr>
            <w:tcW w:w="5996" w:type="dxa"/>
            <w:tcBorders>
              <w:top w:val="nil"/>
              <w:left w:val="nil"/>
              <w:bottom w:val="nil"/>
              <w:right w:val="nil"/>
            </w:tcBorders>
            <w:tcMar>
              <w:top w:w="0" w:type="dxa"/>
              <w:left w:w="62" w:type="dxa"/>
              <w:bottom w:w="0" w:type="dxa"/>
              <w:right w:w="62" w:type="dxa"/>
            </w:tcMar>
          </w:tcPr>
          <w:p w:rsidR="00000000" w:rsidRPr="00A25F75" w:rsidP="00A25F75">
            <w:pPr>
              <w:pStyle w:val="BodyText"/>
            </w:pPr>
            <w:r w:rsidRPr="00A25F75">
              <w:t>This unit of competency specifies the outcomes required to select structural members for a timber-framed domestic building up to and including two storeys.</w:t>
            </w:r>
          </w:p>
          <w:p w:rsidR="00000000" w:rsidRPr="00A25F75" w:rsidP="00A25F75">
            <w:pPr>
              <w:pStyle w:val="BodyText"/>
            </w:pPr>
            <w:r w:rsidRPr="00A25F75">
              <w:t>It includes the evaluation of plans and specifications, and selection of structural members</w:t>
            </w:r>
            <w:r w:rsidRPr="00A25F75">
              <w:t xml:space="preserve"> for ceiling and roof framing, timber wall frames, timber stumps, floor bearers and joists. It requires compliance with all relevant legislation, the Building Code of Australia (BCA) and Australian standards.</w:t>
            </w:r>
          </w:p>
        </w:tc>
      </w:tr>
    </w:tbl>
    <w:p w:rsidR="00F90230" w:rsidP="00A25F75">
      <w:pPr>
        <w:pStyle w:val="BodyText"/>
      </w:pPr>
    </w:p>
    <w:p w:rsidR="00F90230" w:rsidP="00A25F75">
      <w:pPr>
        <w:pStyle w:val="BodyText"/>
      </w:pPr>
    </w:p>
    <w:p w:rsidR="00000000" w:rsidRPr="00A25F75" w:rsidP="00A25F75">
      <w:pPr>
        <w:pStyle w:val="Heading1"/>
      </w:pPr>
      <w:bookmarkStart w:id="3" w:name="O_198973"/>
      <w:bookmarkEnd w:id="3"/>
      <w:r w:rsidRPr="00A25F75">
        <w:t>Application of the Unit</w:t>
      </w:r>
    </w:p>
    <w:tbl>
      <w:tblPr>
        <w:tblW w:w="0" w:type="auto"/>
        <w:tblLayout w:type="fixed"/>
        <w:tblCellMar>
          <w:left w:w="62" w:type="dxa"/>
          <w:right w:w="62" w:type="dxa"/>
        </w:tblCellMar>
        <w:tblLook w:val="0000"/>
      </w:tblPr>
      <w:tblGrid>
        <w:gridCol w:w="2595"/>
        <w:gridCol w:w="5927"/>
      </w:tblGrid>
      <w:tr w:rsidTr="00F90230">
        <w:tblPrEx>
          <w:tblW w:w="0" w:type="auto"/>
          <w:tblLayout w:type="fixed"/>
          <w:tblCellMar>
            <w:left w:w="62" w:type="dxa"/>
            <w:right w:w="62" w:type="dxa"/>
          </w:tblCellMar>
          <w:tblLook w:val="0000"/>
        </w:tblPrEx>
        <w:trPr>
          <w:tblHeader/>
        </w:trPr>
        <w:tc>
          <w:tcPr>
            <w:tcW w:w="2595" w:type="dxa"/>
            <w:tcBorders>
              <w:top w:val="nil"/>
              <w:left w:val="nil"/>
              <w:bottom w:val="nil"/>
              <w:right w:val="nil"/>
            </w:tcBorders>
            <w:tcMar>
              <w:top w:w="0" w:type="dxa"/>
              <w:left w:w="62" w:type="dxa"/>
              <w:bottom w:w="0" w:type="dxa"/>
              <w:right w:w="62" w:type="dxa"/>
            </w:tcMar>
          </w:tcPr>
          <w:p w:rsidR="00000000" w:rsidP="00A25F75">
            <w:pPr>
              <w:pStyle w:val="BodyText"/>
              <w:rPr>
                <w:lang w:val="en-NZ"/>
              </w:rPr>
            </w:pPr>
            <w:r w:rsidRPr="00A25F75">
              <w:rPr>
                <w:rStyle w:val="SpecialBold"/>
              </w:rPr>
              <w:t>Application of the unit</w:t>
            </w:r>
          </w:p>
        </w:tc>
        <w:tc>
          <w:tcPr>
            <w:tcW w:w="5927" w:type="dxa"/>
            <w:tcBorders>
              <w:top w:val="nil"/>
              <w:left w:val="nil"/>
              <w:bottom w:val="nil"/>
              <w:right w:val="nil"/>
            </w:tcBorders>
            <w:tcMar>
              <w:top w:w="0" w:type="dxa"/>
              <w:left w:w="62" w:type="dxa"/>
              <w:bottom w:w="0" w:type="dxa"/>
              <w:right w:w="62" w:type="dxa"/>
            </w:tcMar>
          </w:tcPr>
          <w:p w:rsidR="00000000" w:rsidRPr="00A25F75" w:rsidP="00A25F75">
            <w:pPr>
              <w:pStyle w:val="BodyText"/>
            </w:pPr>
            <w:r w:rsidRPr="00A25F75">
              <w:t>This unit of competency supports the attainment of the understanding and skills to assess timber-framed designs for one and two storey buildings, assess timber-framed designs, select structural members and identify and rectify fault</w:t>
            </w:r>
            <w:r w:rsidRPr="00A25F75">
              <w:t xml:space="preserve">s within the context of relevant legislation, the BCA and Australian standards. </w:t>
            </w:r>
          </w:p>
        </w:tc>
      </w:tr>
    </w:tbl>
    <w:p w:rsidR="00F90230" w:rsidP="00A25F75">
      <w:pPr>
        <w:pStyle w:val="BodyText"/>
      </w:pPr>
    </w:p>
    <w:p w:rsidR="00F90230" w:rsidP="00A25F75">
      <w:pPr>
        <w:pStyle w:val="BodyText"/>
      </w:pPr>
    </w:p>
    <w:p w:rsidR="00000000" w:rsidRPr="00A25F75" w:rsidP="00A25F75">
      <w:pPr>
        <w:pStyle w:val="Heading1"/>
      </w:pPr>
      <w:bookmarkStart w:id="4" w:name="O_278002"/>
      <w:bookmarkEnd w:id="4"/>
      <w:r w:rsidRPr="00A25F75">
        <w:t>Licensing/Regulatory Information</w:t>
      </w:r>
    </w:p>
    <w:p w:rsidR="00000000" w:rsidRPr="00A25F75" w:rsidP="00A25F75">
      <w:pPr>
        <w:pStyle w:val="BodyText"/>
      </w:pPr>
      <w:r w:rsidRPr="00A25F75">
        <w:t>Not Applicable</w:t>
      </w:r>
    </w:p>
    <w:p w:rsidR="00000000" w:rsidRPr="00A25F75" w:rsidP="00A25F75">
      <w:pPr>
        <w:pStyle w:val="AllowPageBreak"/>
      </w:pPr>
    </w:p>
    <w:p w:rsidR="00000000" w:rsidRPr="00A25F75" w:rsidP="00A25F75">
      <w:pPr>
        <w:pStyle w:val="Heading1"/>
      </w:pPr>
      <w:bookmarkStart w:id="5" w:name="O_198971"/>
      <w:bookmarkEnd w:id="5"/>
      <w:r w:rsidRPr="00A25F75">
        <w:t>Pre-Requisites</w:t>
      </w:r>
    </w:p>
    <w:tbl>
      <w:tblPr>
        <w:tblW w:w="0" w:type="auto"/>
        <w:tblLayout w:type="fixed"/>
        <w:tblCellMar>
          <w:left w:w="62" w:type="dxa"/>
          <w:right w:w="62" w:type="dxa"/>
        </w:tblCellMar>
        <w:tblLook w:val="0000"/>
      </w:tblPr>
      <w:tblGrid>
        <w:gridCol w:w="2604"/>
        <w:gridCol w:w="1954"/>
        <w:gridCol w:w="3964"/>
      </w:tblGrid>
      <w:tr w:rsidTr="00F90230">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A25F75">
            <w:pPr>
              <w:pStyle w:val="BodyText"/>
              <w:rPr>
                <w:lang w:val="en-NZ"/>
              </w:rPr>
            </w:pPr>
            <w:r w:rsidRPr="00A25F75">
              <w:rPr>
                <w:rStyle w:val="SpecialBold"/>
              </w:rPr>
              <w:t>Prerequisite units</w:t>
            </w:r>
          </w:p>
        </w:tc>
        <w:tc>
          <w:tcPr>
            <w:tcW w:w="5918" w:type="dxa"/>
            <w:gridSpan w:val="2"/>
            <w:tcBorders>
              <w:top w:val="nil"/>
              <w:left w:val="nil"/>
              <w:bottom w:val="nil"/>
              <w:right w:val="nil"/>
            </w:tcBorders>
            <w:tcMar>
              <w:top w:w="0" w:type="dxa"/>
              <w:left w:w="62" w:type="dxa"/>
              <w:bottom w:w="0" w:type="dxa"/>
              <w:right w:w="62" w:type="dxa"/>
            </w:tcMar>
          </w:tcPr>
          <w:p w:rsidR="00000000" w:rsidP="00A25F75">
            <w:pPr>
              <w:pStyle w:val="BodyText"/>
              <w:rPr>
                <w:lang w:val="en-NZ"/>
              </w:rPr>
            </w:pPr>
            <w:r w:rsidRPr="00A25F75">
              <w:t>Nil</w:t>
            </w:r>
          </w:p>
        </w:tc>
      </w:tr>
      <w:tr w:rsidTr="00F90230">
        <w:tblPrEx>
          <w:tblW w:w="0" w:type="auto"/>
          <w:tblLayout w:type="fixed"/>
          <w:tblCellMar>
            <w:left w:w="62" w:type="dxa"/>
            <w:right w:w="62" w:type="dxa"/>
          </w:tblCellMar>
          <w:tblLook w:val="0000"/>
        </w:tblPrEx>
        <w:tc>
          <w:tcPr>
            <w:tcW w:w="2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5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64" w:type="dxa"/>
            <w:tcBorders>
              <w:top w:val="nil"/>
              <w:left w:val="nil"/>
              <w:bottom w:val="nil"/>
              <w:right w:val="nil"/>
            </w:tcBorders>
            <w:tcMar>
              <w:top w:w="0" w:type="dxa"/>
              <w:left w:w="62" w:type="dxa"/>
              <w:bottom w:w="0" w:type="dxa"/>
              <w:right w:w="62" w:type="dxa"/>
            </w:tcMar>
          </w:tcPr>
          <w:p w:rsidR="00000000" w:rsidRPr="00A25F75" w:rsidP="00A25F75">
            <w:pPr>
              <w:pStyle w:val="BodyText"/>
            </w:pPr>
          </w:p>
        </w:tc>
      </w:tr>
    </w:tbl>
    <w:p w:rsidR="00F90230" w:rsidP="00A25F75">
      <w:pPr>
        <w:pStyle w:val="BodyText"/>
      </w:pPr>
    </w:p>
    <w:p w:rsidR="00F90230" w:rsidP="00A25F75">
      <w:pPr>
        <w:pStyle w:val="BodyText"/>
      </w:pPr>
    </w:p>
    <w:p w:rsidR="00000000" w:rsidRPr="00A25F75" w:rsidP="00A25F75">
      <w:pPr>
        <w:pStyle w:val="Heading1"/>
      </w:pPr>
      <w:bookmarkStart w:id="6" w:name="O_198970"/>
      <w:bookmarkEnd w:id="6"/>
      <w:r w:rsidRPr="00A25F75">
        <w:t>Employability Skills Information</w:t>
      </w:r>
    </w:p>
    <w:tbl>
      <w:tblPr>
        <w:tblW w:w="0" w:type="auto"/>
        <w:tblLayout w:type="fixed"/>
        <w:tblCellMar>
          <w:left w:w="62" w:type="dxa"/>
          <w:right w:w="62" w:type="dxa"/>
        </w:tblCellMar>
        <w:tblLook w:val="0000"/>
      </w:tblPr>
      <w:tblGrid>
        <w:gridCol w:w="2632"/>
        <w:gridCol w:w="5890"/>
      </w:tblGrid>
      <w:tr w:rsidTr="00F90230">
        <w:tblPrEx>
          <w:tblW w:w="0" w:type="auto"/>
          <w:tblLayout w:type="fixed"/>
          <w:tblCellMar>
            <w:left w:w="62" w:type="dxa"/>
            <w:right w:w="62" w:type="dxa"/>
          </w:tblCellMar>
          <w:tblLook w:val="0000"/>
        </w:tblPrEx>
        <w:trPr>
          <w:tblHeader/>
        </w:trPr>
        <w:tc>
          <w:tcPr>
            <w:tcW w:w="2632" w:type="dxa"/>
            <w:tcBorders>
              <w:top w:val="nil"/>
              <w:left w:val="nil"/>
              <w:bottom w:val="nil"/>
              <w:right w:val="nil"/>
            </w:tcBorders>
            <w:tcMar>
              <w:top w:w="0" w:type="dxa"/>
              <w:left w:w="62" w:type="dxa"/>
              <w:bottom w:w="0" w:type="dxa"/>
              <w:right w:w="62" w:type="dxa"/>
            </w:tcMar>
          </w:tcPr>
          <w:p w:rsidR="00000000" w:rsidP="00A25F75">
            <w:pPr>
              <w:pStyle w:val="BodyText"/>
              <w:rPr>
                <w:lang w:val="en-NZ"/>
              </w:rPr>
            </w:pPr>
            <w:r w:rsidRPr="00A25F75">
              <w:rPr>
                <w:rStyle w:val="SpecialBold"/>
              </w:rPr>
              <w:t>Employability skills</w:t>
            </w:r>
          </w:p>
        </w:tc>
        <w:tc>
          <w:tcPr>
            <w:tcW w:w="5890" w:type="dxa"/>
            <w:tcBorders>
              <w:top w:val="nil"/>
              <w:left w:val="nil"/>
              <w:bottom w:val="nil"/>
              <w:right w:val="nil"/>
            </w:tcBorders>
            <w:tcMar>
              <w:top w:w="0" w:type="dxa"/>
              <w:left w:w="62" w:type="dxa"/>
              <w:bottom w:w="0" w:type="dxa"/>
              <w:right w:w="62" w:type="dxa"/>
            </w:tcMar>
          </w:tcPr>
          <w:p w:rsidR="00000000" w:rsidRPr="00A25F75" w:rsidP="00A25F75">
            <w:pPr>
              <w:pStyle w:val="BodyText"/>
            </w:pPr>
            <w:r w:rsidRPr="00A25F75">
              <w:t>This unit contains employability skills.</w:t>
            </w:r>
          </w:p>
        </w:tc>
      </w:tr>
    </w:tbl>
    <w:p w:rsidR="00F90230" w:rsidP="00A25F75">
      <w:pPr>
        <w:pStyle w:val="BodyText"/>
      </w:pPr>
    </w:p>
    <w:p w:rsidR="00F90230" w:rsidP="00A25F75">
      <w:pPr>
        <w:pStyle w:val="BodyText"/>
      </w:pPr>
    </w:p>
    <w:p w:rsidR="00000000" w:rsidRPr="00A25F75" w:rsidP="00A25F75">
      <w:pPr>
        <w:pStyle w:val="Heading1"/>
      </w:pPr>
      <w:bookmarkStart w:id="7" w:name="O_287788"/>
      <w:bookmarkEnd w:id="7"/>
      <w:r w:rsidRPr="00A25F75">
        <w:t>Elements and Performance Criteria Pre-Content</w:t>
      </w:r>
    </w:p>
    <w:tbl>
      <w:tblPr>
        <w:tblW w:w="0" w:type="auto"/>
        <w:tblLayout w:type="fixed"/>
        <w:tblCellMar>
          <w:left w:w="62" w:type="dxa"/>
          <w:right w:w="62" w:type="dxa"/>
        </w:tblCellMar>
        <w:tblLook w:val="0000"/>
      </w:tblPr>
      <w:tblGrid>
        <w:gridCol w:w="2568"/>
        <w:gridCol w:w="5954"/>
      </w:tblGrid>
      <w:tr w:rsidTr="00F90230">
        <w:tblPrEx>
          <w:tblW w:w="0" w:type="auto"/>
          <w:tblLayout w:type="fixed"/>
          <w:tblCellMar>
            <w:left w:w="62" w:type="dxa"/>
            <w:right w:w="62" w:type="dxa"/>
          </w:tblCellMar>
          <w:tblLook w:val="0000"/>
        </w:tblPrEx>
        <w:tc>
          <w:tcPr>
            <w:tcW w:w="2568" w:type="dxa"/>
            <w:tcBorders>
              <w:top w:val="single" w:sz="6" w:space="0" w:color="auto"/>
              <w:left w:val="nil"/>
              <w:bottom w:val="nil"/>
              <w:right w:val="nil"/>
            </w:tcBorders>
            <w:tcMar>
              <w:top w:w="0" w:type="dxa"/>
              <w:left w:w="62" w:type="dxa"/>
              <w:bottom w:w="0" w:type="dxa"/>
              <w:right w:w="62" w:type="dxa"/>
            </w:tcMar>
          </w:tcPr>
          <w:p w:rsidR="00000000" w:rsidP="00A25F75">
            <w:pPr>
              <w:pStyle w:val="BodyText"/>
              <w:rPr>
                <w:lang w:val="en-NZ"/>
              </w:rPr>
            </w:pPr>
            <w:r w:rsidRPr="00A25F75">
              <w:t>Elements describe the essential outcomes of a unit of competency.</w:t>
            </w:r>
          </w:p>
        </w:tc>
        <w:tc>
          <w:tcPr>
            <w:tcW w:w="5954" w:type="dxa"/>
            <w:tcBorders>
              <w:top w:val="single" w:sz="6" w:space="0" w:color="auto"/>
              <w:left w:val="nil"/>
              <w:bottom w:val="nil"/>
              <w:right w:val="nil"/>
            </w:tcBorders>
            <w:tcMar>
              <w:top w:w="0" w:type="dxa"/>
              <w:left w:w="62" w:type="dxa"/>
              <w:bottom w:w="0" w:type="dxa"/>
              <w:right w:w="62" w:type="dxa"/>
            </w:tcMar>
          </w:tcPr>
          <w:p w:rsidR="00000000" w:rsidRPr="00A25F75" w:rsidP="00A25F75">
            <w:pPr>
              <w:pStyle w:val="BodyText"/>
            </w:pPr>
            <w:r w:rsidRPr="00A25F75">
              <w:t>Performance criteria describe the performance needed to demonstrate achievement of the element. Where bold italicised text is used, further information is detailed in the required skills and knowledge section and the range statement. Assessment of performa</w:t>
            </w:r>
            <w:r w:rsidRPr="00A25F75">
              <w:t>nce is to be consistent with the evidence guide.</w:t>
            </w:r>
          </w:p>
        </w:tc>
      </w:tr>
    </w:tbl>
    <w:p w:rsidR="00000000" w:rsidRPr="00A25F75" w:rsidP="00A25F75">
      <w:pPr>
        <w:pStyle w:val="BodyText"/>
      </w:pPr>
    </w:p>
    <w:p w:rsidR="00000000" w:rsidRPr="00A25F75" w:rsidP="00A25F75">
      <w:pPr>
        <w:pStyle w:val="AllowPageBreak"/>
      </w:pPr>
    </w:p>
    <w:p w:rsidR="00000000" w:rsidRPr="00A25F75" w:rsidP="00A25F75">
      <w:pPr>
        <w:pStyle w:val="Heading1"/>
      </w:pPr>
      <w:bookmarkStart w:id="8" w:name="O_234455"/>
      <w:bookmarkEnd w:id="8"/>
      <w:r w:rsidRPr="00A25F75">
        <w:t>Elements and Performance Criteria</w:t>
      </w:r>
    </w:p>
    <w:tbl>
      <w:tblPr>
        <w:tblW w:w="0" w:type="auto"/>
        <w:tblLayout w:type="fixed"/>
        <w:tblCellMar>
          <w:left w:w="62" w:type="dxa"/>
          <w:right w:w="62" w:type="dxa"/>
        </w:tblCellMar>
        <w:tblLook w:val="0000"/>
      </w:tblPr>
      <w:tblGrid>
        <w:gridCol w:w="2568"/>
        <w:gridCol w:w="5954"/>
      </w:tblGrid>
      <w:tr w:rsidTr="00F90230">
        <w:tblPrEx>
          <w:tblW w:w="0" w:type="auto"/>
          <w:tblLayout w:type="fixed"/>
          <w:tblCellMar>
            <w:left w:w="62" w:type="dxa"/>
            <w:right w:w="62" w:type="dxa"/>
          </w:tblCellMar>
          <w:tblLook w:val="0000"/>
        </w:tblPrEx>
        <w:trPr>
          <w:tblHeader/>
        </w:trPr>
        <w:tc>
          <w:tcPr>
            <w:tcW w:w="2568" w:type="dxa"/>
            <w:tcBorders>
              <w:top w:val="nil"/>
              <w:left w:val="nil"/>
              <w:bottom w:val="single" w:sz="6" w:space="0" w:color="auto"/>
              <w:right w:val="nil"/>
            </w:tcBorders>
            <w:tcMar>
              <w:top w:w="0" w:type="dxa"/>
              <w:left w:w="62" w:type="dxa"/>
              <w:bottom w:w="0" w:type="dxa"/>
              <w:right w:w="62" w:type="dxa"/>
            </w:tcMar>
          </w:tcPr>
          <w:p w:rsidR="00000000" w:rsidRPr="00A25F75" w:rsidP="00A25F75">
            <w:pPr>
              <w:pStyle w:val="BodyText"/>
            </w:pPr>
            <w:r w:rsidRPr="00A25F75">
              <w:rPr>
                <w:rStyle w:val="SpecialBold"/>
              </w:rPr>
              <w:t>ELEMENT</w:t>
            </w:r>
          </w:p>
        </w:tc>
        <w:tc>
          <w:tcPr>
            <w:tcW w:w="5954" w:type="dxa"/>
            <w:tcBorders>
              <w:top w:val="nil"/>
              <w:left w:val="nil"/>
              <w:bottom w:val="single" w:sz="6" w:space="0" w:color="auto"/>
              <w:right w:val="nil"/>
            </w:tcBorders>
            <w:tcMar>
              <w:top w:w="0" w:type="dxa"/>
              <w:left w:w="62" w:type="dxa"/>
              <w:bottom w:w="0" w:type="dxa"/>
              <w:right w:w="62" w:type="dxa"/>
            </w:tcMar>
          </w:tcPr>
          <w:p w:rsidR="00000000" w:rsidP="00A25F75">
            <w:pPr>
              <w:pStyle w:val="BodyText"/>
              <w:rPr>
                <w:lang w:val="en-NZ"/>
              </w:rPr>
            </w:pPr>
            <w:r w:rsidRPr="00A25F75">
              <w:rPr>
                <w:rStyle w:val="SpecialBold"/>
              </w:rPr>
              <w:t>PERFORMANCE CRITERIA</w:t>
            </w:r>
          </w:p>
        </w:tc>
      </w:tr>
      <w:tr w:rsidTr="00F90230">
        <w:tblPrEx>
          <w:tblW w:w="0" w:type="auto"/>
          <w:tblLayout w:type="fixed"/>
          <w:tblCellMar>
            <w:left w:w="62" w:type="dxa"/>
            <w:right w:w="62" w:type="dxa"/>
          </w:tblCellMar>
          <w:tblLook w:val="0000"/>
        </w:tblPrEx>
        <w:tc>
          <w:tcPr>
            <w:tcW w:w="2568" w:type="dxa"/>
            <w:tcBorders>
              <w:top w:val="nil"/>
              <w:left w:val="nil"/>
              <w:bottom w:val="nil"/>
              <w:right w:val="nil"/>
            </w:tcBorders>
            <w:tcMar>
              <w:top w:w="0" w:type="dxa"/>
              <w:left w:w="62" w:type="dxa"/>
              <w:bottom w:w="0" w:type="dxa"/>
              <w:right w:w="62" w:type="dxa"/>
            </w:tcMar>
          </w:tcPr>
          <w:p w:rsidR="00000000" w:rsidP="00A25F75">
            <w:pPr>
              <w:pStyle w:val="List"/>
              <w:rPr>
                <w:lang w:val="en-NZ"/>
              </w:rPr>
            </w:pPr>
            <w:r w:rsidRPr="00A25F75">
              <w:t>1.</w:t>
            </w:r>
            <w:r w:rsidRPr="00A25F75">
              <w:tab/>
              <w:t>Assess plans and specifications for size, span and spacing of structural members required in ceiling and roof framing.</w:t>
            </w:r>
          </w:p>
        </w:tc>
        <w:tc>
          <w:tcPr>
            <w:tcW w:w="5954" w:type="dxa"/>
            <w:tcBorders>
              <w:top w:val="nil"/>
              <w:left w:val="nil"/>
              <w:bottom w:val="nil"/>
              <w:right w:val="nil"/>
            </w:tcBorders>
            <w:tcMar>
              <w:top w:w="0" w:type="dxa"/>
              <w:left w:w="62" w:type="dxa"/>
              <w:bottom w:w="0" w:type="dxa"/>
              <w:right w:w="62" w:type="dxa"/>
            </w:tcMar>
          </w:tcPr>
          <w:p w:rsidR="00000000" w:rsidRPr="00A25F75" w:rsidP="00A25F75">
            <w:pPr>
              <w:pStyle w:val="List2"/>
            </w:pPr>
            <w:r w:rsidRPr="00A25F75">
              <w:t>1.1.</w:t>
            </w:r>
            <w:r w:rsidRPr="00A25F75">
              <w:tab/>
              <w:t xml:space="preserve">Access is obtained to relevant plans, specifications and documentation related to </w:t>
            </w:r>
            <w:r w:rsidRPr="00A25F75">
              <w:rPr>
                <w:rStyle w:val="BoldandItalics"/>
              </w:rPr>
              <w:t>structural members required in ceiling and roof framing</w:t>
            </w:r>
            <w:r w:rsidRPr="00A25F75">
              <w:t xml:space="preserve"> for required </w:t>
            </w:r>
            <w:r w:rsidRPr="00A25F75">
              <w:rPr>
                <w:rStyle w:val="BoldandItalics"/>
              </w:rPr>
              <w:t>building categories</w:t>
            </w:r>
            <w:r w:rsidRPr="00A25F75">
              <w:t xml:space="preserve">. </w:t>
            </w:r>
          </w:p>
          <w:p w:rsidR="00000000" w:rsidRPr="00A25F75" w:rsidP="00A25F75">
            <w:pPr>
              <w:pStyle w:val="List2"/>
            </w:pPr>
            <w:r w:rsidRPr="00A25F75">
              <w:t>1.2.</w:t>
            </w:r>
            <w:r w:rsidRPr="00A25F75">
              <w:tab/>
              <w:t>Specified timber species and stress grading are identified.</w:t>
            </w:r>
          </w:p>
          <w:p w:rsidR="00000000" w:rsidRPr="00A25F75" w:rsidP="00A25F75">
            <w:pPr>
              <w:pStyle w:val="List2"/>
            </w:pPr>
            <w:r w:rsidRPr="00A25F75">
              <w:t>1.3.</w:t>
            </w:r>
            <w:r w:rsidRPr="00A25F75">
              <w:tab/>
              <w:t>True len</w:t>
            </w:r>
            <w:r w:rsidRPr="00A25F75">
              <w:t>gth of common rafter and overhand and economical size of common rafter are determined to support specified roof structure and covering.</w:t>
            </w:r>
          </w:p>
          <w:p w:rsidR="00000000" w:rsidRPr="00A25F75" w:rsidP="00A25F75">
            <w:pPr>
              <w:pStyle w:val="List2"/>
            </w:pPr>
            <w:r w:rsidRPr="00A25F75">
              <w:t>1.4.</w:t>
            </w:r>
            <w:r w:rsidRPr="00A25F75">
              <w:tab/>
              <w:t>Maximum span of common rafter is determined.</w:t>
            </w:r>
          </w:p>
          <w:p w:rsidR="00000000" w:rsidRPr="00A25F75" w:rsidP="00A25F75">
            <w:pPr>
              <w:pStyle w:val="List2"/>
            </w:pPr>
            <w:r w:rsidRPr="00A25F75">
              <w:t>1.5.</w:t>
            </w:r>
            <w:r w:rsidRPr="00A25F75">
              <w:tab/>
              <w:t>Position, location and direction of struts and strutting beams to</w:t>
            </w:r>
            <w:r w:rsidRPr="00A25F75">
              <w:t xml:space="preserve"> support roof and ceiling loads are determined and documented.</w:t>
            </w:r>
          </w:p>
          <w:p w:rsidR="00000000" w:rsidRPr="00A25F75" w:rsidP="00A25F75">
            <w:pPr>
              <w:pStyle w:val="List2"/>
            </w:pPr>
            <w:r w:rsidRPr="00A25F75">
              <w:t>1.6.</w:t>
            </w:r>
            <w:r w:rsidRPr="00A25F75">
              <w:tab/>
              <w:t>Method of support at hip and valley rafters is determined and documented.</w:t>
            </w:r>
          </w:p>
          <w:p w:rsidR="00000000" w:rsidRPr="00A25F75" w:rsidP="00A25F75">
            <w:pPr>
              <w:pStyle w:val="List2"/>
            </w:pPr>
            <w:r w:rsidRPr="00A25F75">
              <w:t>1.7.</w:t>
            </w:r>
            <w:r w:rsidRPr="00A25F75">
              <w:tab/>
              <w:t>Location, direction and span of ceiling joists and hanging beams to support specified roof design are determi</w:t>
            </w:r>
            <w:r w:rsidRPr="00A25F75">
              <w:t>ned and documented.</w:t>
            </w:r>
          </w:p>
          <w:p w:rsidR="00000000" w:rsidP="00A25F75">
            <w:pPr>
              <w:pStyle w:val="List2"/>
              <w:rPr>
                <w:lang w:val="en-NZ"/>
              </w:rPr>
            </w:pPr>
            <w:r w:rsidRPr="00A25F75">
              <w:t>1.8.</w:t>
            </w:r>
            <w:r w:rsidRPr="00A25F75">
              <w:tab/>
              <w:t>Nominated member sizes, spans, spacings and locations are listed, documented and checked for accuracy against plans and specifications.</w:t>
            </w:r>
          </w:p>
        </w:tc>
      </w:tr>
      <w:tr w:rsidTr="00F90230">
        <w:tblPrEx>
          <w:tblW w:w="0" w:type="auto"/>
          <w:tblLayout w:type="fixed"/>
          <w:tblCellMar>
            <w:left w:w="62" w:type="dxa"/>
            <w:right w:w="62" w:type="dxa"/>
          </w:tblCellMar>
          <w:tblLook w:val="0000"/>
        </w:tblPrEx>
        <w:tc>
          <w:tcPr>
            <w:tcW w:w="2568" w:type="dxa"/>
            <w:tcBorders>
              <w:top w:val="nil"/>
              <w:left w:val="nil"/>
              <w:bottom w:val="nil"/>
              <w:right w:val="nil"/>
            </w:tcBorders>
            <w:tcMar>
              <w:top w:w="0" w:type="dxa"/>
              <w:left w:w="62" w:type="dxa"/>
              <w:bottom w:w="0" w:type="dxa"/>
              <w:right w:w="62" w:type="dxa"/>
            </w:tcMar>
          </w:tcPr>
          <w:p w:rsidR="00000000" w:rsidP="00A25F75">
            <w:pPr>
              <w:pStyle w:val="List"/>
              <w:rPr>
                <w:lang w:val="en-NZ"/>
              </w:rPr>
            </w:pPr>
            <w:r w:rsidRPr="00A25F75">
              <w:t>2.</w:t>
            </w:r>
            <w:r w:rsidRPr="00A25F75">
              <w:tab/>
              <w:t>Assess plans and specifications for permanent wind bracing requirements for nominated desig</w:t>
            </w:r>
            <w:r w:rsidRPr="00A25F75">
              <w:t>n gust wind speeds.</w:t>
            </w:r>
          </w:p>
        </w:tc>
        <w:tc>
          <w:tcPr>
            <w:tcW w:w="5954" w:type="dxa"/>
            <w:tcBorders>
              <w:top w:val="nil"/>
              <w:left w:val="nil"/>
              <w:bottom w:val="nil"/>
              <w:right w:val="nil"/>
            </w:tcBorders>
            <w:tcMar>
              <w:top w:w="0" w:type="dxa"/>
              <w:left w:w="62" w:type="dxa"/>
              <w:bottom w:w="0" w:type="dxa"/>
              <w:right w:w="62" w:type="dxa"/>
            </w:tcMar>
          </w:tcPr>
          <w:p w:rsidR="00000000" w:rsidRPr="00A25F75" w:rsidP="00A25F75">
            <w:pPr>
              <w:pStyle w:val="List2"/>
            </w:pPr>
            <w:r w:rsidRPr="00A25F75">
              <w:t>2.1.</w:t>
            </w:r>
            <w:r w:rsidRPr="00A25F75">
              <w:tab/>
              <w:t xml:space="preserve">Access is obtained to relevant plans, specifications and documentation for </w:t>
            </w:r>
            <w:r w:rsidRPr="00A25F75">
              <w:rPr>
                <w:rStyle w:val="BoldandItalics"/>
              </w:rPr>
              <w:t>assessment of timber</w:t>
            </w:r>
            <w:r w:rsidRPr="00A25F75">
              <w:t>-</w:t>
            </w:r>
            <w:r w:rsidRPr="00A25F75">
              <w:rPr>
                <w:rStyle w:val="BoldandItalics"/>
              </w:rPr>
              <w:t>framed designs</w:t>
            </w:r>
            <w:r w:rsidRPr="00A25F75">
              <w:t xml:space="preserve">. </w:t>
            </w:r>
          </w:p>
          <w:p w:rsidR="00000000" w:rsidRPr="00A25F75" w:rsidP="00A25F75">
            <w:pPr>
              <w:pStyle w:val="List2"/>
            </w:pPr>
            <w:r w:rsidRPr="00A25F75">
              <w:t>2.2.</w:t>
            </w:r>
            <w:r w:rsidRPr="00A25F75">
              <w:tab/>
              <w:t>Location and category of building site is identified against design gust wind speed calculations.</w:t>
            </w:r>
          </w:p>
          <w:p w:rsidR="00000000" w:rsidRPr="00A25F75" w:rsidP="00A25F75">
            <w:pPr>
              <w:pStyle w:val="List2"/>
            </w:pPr>
            <w:r w:rsidRPr="00A25F75">
              <w:t>2.3.</w:t>
            </w:r>
            <w:r w:rsidRPr="00A25F75">
              <w:tab/>
            </w:r>
            <w:r w:rsidRPr="00A25F75">
              <w:t>Wind directions are selected and noted on plans.</w:t>
            </w:r>
          </w:p>
          <w:p w:rsidR="00000000" w:rsidRPr="00A25F75" w:rsidP="00A25F75">
            <w:pPr>
              <w:pStyle w:val="List2"/>
            </w:pPr>
            <w:r w:rsidRPr="00A25F75">
              <w:t>2.4.</w:t>
            </w:r>
            <w:r w:rsidRPr="00A25F75">
              <w:tab/>
              <w:t>Type and number of bracing units for each wind direction are selected.</w:t>
            </w:r>
          </w:p>
          <w:p w:rsidR="00000000" w:rsidP="00A25F75">
            <w:pPr>
              <w:pStyle w:val="List2"/>
              <w:rPr>
                <w:lang w:val="en-NZ"/>
              </w:rPr>
            </w:pPr>
            <w:r w:rsidRPr="00A25F75">
              <w:t>2.5.</w:t>
            </w:r>
            <w:r w:rsidRPr="00A25F75">
              <w:tab/>
              <w:t>Bracing details and description are documented, based upon calculations.</w:t>
            </w:r>
          </w:p>
        </w:tc>
      </w:tr>
      <w:tr w:rsidTr="00F90230">
        <w:tblPrEx>
          <w:tblW w:w="0" w:type="auto"/>
          <w:tblLayout w:type="fixed"/>
          <w:tblCellMar>
            <w:left w:w="62" w:type="dxa"/>
            <w:right w:w="62" w:type="dxa"/>
          </w:tblCellMar>
          <w:tblLook w:val="0000"/>
        </w:tblPrEx>
        <w:tc>
          <w:tcPr>
            <w:tcW w:w="2568" w:type="dxa"/>
            <w:tcBorders>
              <w:top w:val="nil"/>
              <w:left w:val="nil"/>
              <w:bottom w:val="nil"/>
              <w:right w:val="nil"/>
            </w:tcBorders>
            <w:tcMar>
              <w:top w:w="0" w:type="dxa"/>
              <w:left w:w="62" w:type="dxa"/>
              <w:bottom w:w="0" w:type="dxa"/>
              <w:right w:w="62" w:type="dxa"/>
            </w:tcMar>
          </w:tcPr>
          <w:p w:rsidR="00000000" w:rsidP="00A25F75">
            <w:pPr>
              <w:pStyle w:val="List"/>
              <w:rPr>
                <w:lang w:val="en-NZ"/>
              </w:rPr>
            </w:pPr>
            <w:r w:rsidRPr="00A25F75">
              <w:t>3.</w:t>
            </w:r>
            <w:r w:rsidRPr="00A25F75">
              <w:tab/>
              <w:t>Assess plans and specifications for size, span an</w:t>
            </w:r>
            <w:r w:rsidRPr="00A25F75">
              <w:t>d spacings of structural members for timber wall frames.</w:t>
            </w:r>
          </w:p>
        </w:tc>
        <w:tc>
          <w:tcPr>
            <w:tcW w:w="5954" w:type="dxa"/>
            <w:tcBorders>
              <w:top w:val="nil"/>
              <w:left w:val="nil"/>
              <w:bottom w:val="nil"/>
              <w:right w:val="nil"/>
            </w:tcBorders>
            <w:tcMar>
              <w:top w:w="0" w:type="dxa"/>
              <w:left w:w="62" w:type="dxa"/>
              <w:bottom w:w="0" w:type="dxa"/>
              <w:right w:w="62" w:type="dxa"/>
            </w:tcMar>
          </w:tcPr>
          <w:p w:rsidR="00000000" w:rsidRPr="00A25F75" w:rsidP="00A25F75">
            <w:pPr>
              <w:pStyle w:val="List2"/>
            </w:pPr>
            <w:r w:rsidRPr="00A25F75">
              <w:t>3.1.</w:t>
            </w:r>
            <w:r w:rsidRPr="00A25F75">
              <w:tab/>
              <w:t>Access is obtained to relevant plans, specifications and documentation.</w:t>
            </w:r>
          </w:p>
          <w:p w:rsidR="00000000" w:rsidRPr="00A25F75" w:rsidP="00A25F75">
            <w:pPr>
              <w:pStyle w:val="List2"/>
            </w:pPr>
            <w:r w:rsidRPr="00A25F75">
              <w:t>3.2.</w:t>
            </w:r>
            <w:r w:rsidRPr="00A25F75">
              <w:tab/>
              <w:t>Specified timber species and stress grading are identified.</w:t>
            </w:r>
          </w:p>
          <w:p w:rsidR="00000000" w:rsidRPr="00A25F75" w:rsidP="00A25F75">
            <w:pPr>
              <w:pStyle w:val="List2"/>
            </w:pPr>
            <w:r w:rsidRPr="00A25F75">
              <w:t>3.3.</w:t>
            </w:r>
            <w:r w:rsidRPr="00A25F75">
              <w:tab/>
              <w:t>Roof load width for walls supporting ceiling and roo</w:t>
            </w:r>
            <w:r w:rsidRPr="00A25F75">
              <w:t>f structures for a specified roof covering is determined.</w:t>
            </w:r>
          </w:p>
          <w:p w:rsidR="00000000" w:rsidRPr="00A25F75" w:rsidP="00A25F75">
            <w:pPr>
              <w:pStyle w:val="List2"/>
            </w:pPr>
            <w:r w:rsidRPr="00A25F75">
              <w:t>3.4.</w:t>
            </w:r>
            <w:r w:rsidRPr="00A25F75">
              <w:tab/>
              <w:t>Economical size for common wall studs is determined.</w:t>
            </w:r>
          </w:p>
          <w:p w:rsidR="00000000" w:rsidRPr="00A25F75" w:rsidP="00A25F75">
            <w:pPr>
              <w:pStyle w:val="List2"/>
            </w:pPr>
            <w:r w:rsidRPr="00A25F75">
              <w:t>3.5.</w:t>
            </w:r>
            <w:r w:rsidRPr="00A25F75">
              <w:tab/>
              <w:t>Size of top and bottom wall plates is determined according to load bearing conditions.</w:t>
            </w:r>
          </w:p>
          <w:p w:rsidR="00000000" w:rsidRPr="00A25F75" w:rsidP="00A25F75">
            <w:pPr>
              <w:pStyle w:val="List2"/>
            </w:pPr>
            <w:r w:rsidRPr="00A25F75">
              <w:t>3.6.</w:t>
            </w:r>
            <w:r w:rsidRPr="00A25F75">
              <w:tab/>
              <w:t>Size of studs at side window and door openi</w:t>
            </w:r>
            <w:r w:rsidRPr="00A25F75">
              <w:t>ng is determined.</w:t>
            </w:r>
          </w:p>
          <w:p w:rsidR="00000000" w:rsidRPr="00A25F75" w:rsidP="00A25F75">
            <w:pPr>
              <w:pStyle w:val="List2"/>
            </w:pPr>
            <w:r w:rsidRPr="00A25F75">
              <w:t>3.7.</w:t>
            </w:r>
            <w:r w:rsidRPr="00A25F75">
              <w:tab/>
              <w:t>Size of lintels to nominated openings is determined.</w:t>
            </w:r>
          </w:p>
          <w:p w:rsidR="00000000" w:rsidRPr="00A25F75" w:rsidP="00A25F75">
            <w:pPr>
              <w:pStyle w:val="List2"/>
            </w:pPr>
            <w:r w:rsidRPr="00A25F75">
              <w:t>3.8.</w:t>
            </w:r>
            <w:r w:rsidRPr="00A25F75">
              <w:tab/>
              <w:t>Size of timber posts and beams supporting overhands is determined.</w:t>
            </w:r>
          </w:p>
          <w:p w:rsidR="00000000" w:rsidP="00A25F75">
            <w:pPr>
              <w:pStyle w:val="List2"/>
              <w:rPr>
                <w:lang w:val="en-NZ"/>
              </w:rPr>
            </w:pPr>
            <w:r w:rsidRPr="00A25F75">
              <w:t>3.9.</w:t>
            </w:r>
            <w:r w:rsidRPr="00A25F75">
              <w:tab/>
              <w:t>Nominated member sizes, spans, spacings and locations are identified, listed, documented and checked ag</w:t>
            </w:r>
            <w:r w:rsidRPr="00A25F75">
              <w:t>ainst plans and specifications for accuracy.</w:t>
            </w:r>
          </w:p>
        </w:tc>
      </w:tr>
      <w:tr w:rsidTr="00F90230">
        <w:tblPrEx>
          <w:tblW w:w="0" w:type="auto"/>
          <w:tblLayout w:type="fixed"/>
          <w:tblCellMar>
            <w:left w:w="62" w:type="dxa"/>
            <w:right w:w="62" w:type="dxa"/>
          </w:tblCellMar>
          <w:tblLook w:val="0000"/>
        </w:tblPrEx>
        <w:tc>
          <w:tcPr>
            <w:tcW w:w="2568" w:type="dxa"/>
            <w:tcBorders>
              <w:top w:val="nil"/>
              <w:left w:val="nil"/>
              <w:bottom w:val="nil"/>
              <w:right w:val="nil"/>
            </w:tcBorders>
            <w:tcMar>
              <w:top w:w="0" w:type="dxa"/>
              <w:left w:w="62" w:type="dxa"/>
              <w:bottom w:w="0" w:type="dxa"/>
              <w:right w:w="62" w:type="dxa"/>
            </w:tcMar>
          </w:tcPr>
          <w:p w:rsidR="00000000" w:rsidP="00A25F75">
            <w:pPr>
              <w:pStyle w:val="List"/>
              <w:rPr>
                <w:lang w:val="en-NZ"/>
              </w:rPr>
            </w:pPr>
            <w:r w:rsidRPr="00A25F75">
              <w:t>4.</w:t>
            </w:r>
            <w:r w:rsidRPr="00A25F75">
              <w:tab/>
              <w:t>Assess plans and specifications for size, span and spacing of structural members for timber stumps, floor bearers and joists.</w:t>
            </w:r>
          </w:p>
        </w:tc>
        <w:tc>
          <w:tcPr>
            <w:tcW w:w="5954" w:type="dxa"/>
            <w:tcBorders>
              <w:top w:val="nil"/>
              <w:left w:val="nil"/>
              <w:bottom w:val="nil"/>
              <w:right w:val="nil"/>
            </w:tcBorders>
            <w:tcMar>
              <w:top w:w="0" w:type="dxa"/>
              <w:left w:w="62" w:type="dxa"/>
              <w:bottom w:w="0" w:type="dxa"/>
              <w:right w:w="62" w:type="dxa"/>
            </w:tcMar>
          </w:tcPr>
          <w:p w:rsidR="00000000" w:rsidRPr="00A25F75" w:rsidP="00A25F75">
            <w:pPr>
              <w:pStyle w:val="List2"/>
            </w:pPr>
            <w:r w:rsidRPr="00A25F75">
              <w:t>4.1.</w:t>
            </w:r>
            <w:r w:rsidRPr="00A25F75">
              <w:tab/>
              <w:t>Access is obtained to relevant plans, specifications and documentation.</w:t>
            </w:r>
          </w:p>
          <w:p w:rsidR="00000000" w:rsidRPr="00A25F75" w:rsidP="00A25F75">
            <w:pPr>
              <w:pStyle w:val="List2"/>
            </w:pPr>
            <w:r w:rsidRPr="00A25F75">
              <w:t>4.2.</w:t>
            </w:r>
            <w:r w:rsidRPr="00A25F75">
              <w:tab/>
              <w:t>Specified timber species and stress grading are identified.</w:t>
            </w:r>
          </w:p>
          <w:p w:rsidR="00000000" w:rsidRPr="00A25F75" w:rsidP="00A25F75">
            <w:pPr>
              <w:pStyle w:val="List2"/>
            </w:pPr>
            <w:r w:rsidRPr="00A25F75">
              <w:t>4.3.</w:t>
            </w:r>
            <w:r w:rsidRPr="00A25F75">
              <w:tab/>
              <w:t>Economical size for floor bearer and joist to suit maximum spans and spacings is determined.</w:t>
            </w:r>
          </w:p>
          <w:p w:rsidR="00000000" w:rsidRPr="00A25F75" w:rsidP="00A25F75">
            <w:pPr>
              <w:pStyle w:val="List2"/>
            </w:pPr>
            <w:r w:rsidRPr="00A25F75">
              <w:t>4.4.</w:t>
            </w:r>
            <w:r w:rsidRPr="00A25F75">
              <w:tab/>
            </w:r>
            <w:r w:rsidRPr="00A25F75">
              <w:t>Size of timber stumps and footing type and size required to support structural members are determined.</w:t>
            </w:r>
          </w:p>
          <w:p w:rsidR="00000000" w:rsidRPr="00A25F75" w:rsidP="00A25F75">
            <w:pPr>
              <w:pStyle w:val="List2"/>
            </w:pPr>
            <w:r w:rsidRPr="00A25F75">
              <w:t>4.5.</w:t>
            </w:r>
            <w:r w:rsidRPr="00A25F75">
              <w:tab/>
              <w:t>Size for timber trimmers, working and trimming joists for stair opening to suit maximum spans and spacings is determined.</w:t>
            </w:r>
          </w:p>
          <w:p w:rsidR="00000000" w:rsidRPr="00A25F75" w:rsidP="00A25F75">
            <w:pPr>
              <w:pStyle w:val="List2"/>
            </w:pPr>
            <w:r w:rsidRPr="00A25F75">
              <w:t>4.6.</w:t>
            </w:r>
            <w:r w:rsidRPr="00A25F75">
              <w:tab/>
              <w:t>Location, direction a</w:t>
            </w:r>
            <w:r w:rsidRPr="00A25F75">
              <w:t>nd span of bearers and joists to support specified structure are determined.</w:t>
            </w:r>
          </w:p>
          <w:p w:rsidR="00000000" w:rsidRPr="00A25F75" w:rsidP="00A25F75">
            <w:pPr>
              <w:pStyle w:val="List2"/>
            </w:pPr>
            <w:r w:rsidRPr="00A25F75">
              <w:t>4.7.</w:t>
            </w:r>
            <w:r w:rsidRPr="00A25F75">
              <w:tab/>
              <w:t>Nominated member sizes, spans, spacings, direction and bracings are identified, listed, documented and checked for accuracy against plans and specifications.</w:t>
            </w:r>
          </w:p>
        </w:tc>
      </w:tr>
    </w:tbl>
    <w:p w:rsidR="00F90230" w:rsidP="00A25F75">
      <w:pPr>
        <w:pStyle w:val="BodyText"/>
      </w:pPr>
    </w:p>
    <w:p w:rsidR="00F90230" w:rsidP="00A25F75">
      <w:pPr>
        <w:pStyle w:val="BodyText"/>
      </w:pPr>
    </w:p>
    <w:p w:rsidR="00000000" w:rsidRPr="00A25F75" w:rsidP="00A25F75">
      <w:pPr>
        <w:pStyle w:val="Heading1"/>
      </w:pPr>
      <w:bookmarkStart w:id="9" w:name="O_258405"/>
      <w:bookmarkEnd w:id="9"/>
      <w:r w:rsidRPr="00A25F75">
        <w:t>Required Skills and Knowledge</w:t>
      </w:r>
    </w:p>
    <w:tbl>
      <w:tblPr>
        <w:tblW w:w="0" w:type="auto"/>
        <w:tblLayout w:type="fixed"/>
        <w:tblCellMar>
          <w:left w:w="62" w:type="dxa"/>
          <w:right w:w="62" w:type="dxa"/>
        </w:tblCellMar>
        <w:tblLook w:val="0000"/>
      </w:tblPr>
      <w:tblGrid>
        <w:gridCol w:w="8522"/>
      </w:tblGrid>
      <w:tr w:rsidTr="00F90230">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A25F75">
            <w:pPr>
              <w:pStyle w:val="BodyText"/>
              <w:rPr>
                <w:lang w:val="en-NZ"/>
              </w:rPr>
            </w:pPr>
            <w:r w:rsidRPr="00A25F75">
              <w:rPr>
                <w:rStyle w:val="SpecialBold"/>
              </w:rPr>
              <w:t>REQUIRED SKILLS AND KNOWLEDGE</w:t>
            </w:r>
          </w:p>
        </w:tc>
      </w:tr>
      <w:tr w:rsidTr="00F9023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25F75">
            <w:pPr>
              <w:pStyle w:val="BodyText"/>
              <w:rPr>
                <w:lang w:val="en-NZ"/>
              </w:rPr>
            </w:pPr>
            <w:r w:rsidRPr="00A25F75">
              <w:t>This section describes the skills and knowledge required for this unit.</w:t>
            </w:r>
          </w:p>
        </w:tc>
      </w:tr>
      <w:tr w:rsidTr="00F9023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25F75">
            <w:pPr>
              <w:pStyle w:val="BodyText"/>
              <w:rPr>
                <w:lang w:val="en-NZ"/>
              </w:rPr>
            </w:pPr>
            <w:r w:rsidRPr="00A25F75">
              <w:rPr>
                <w:rStyle w:val="SpecialBold"/>
              </w:rPr>
              <w:t>Required skills</w:t>
            </w:r>
          </w:p>
        </w:tc>
      </w:tr>
      <w:tr w:rsidTr="00F9023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25F75" w:rsidP="00A25F75">
            <w:pPr>
              <w:pStyle w:val="BodyText"/>
            </w:pPr>
            <w:r w:rsidRPr="00A25F75">
              <w:t>Required skills for this unit are:</w:t>
            </w:r>
          </w:p>
          <w:p w:rsidR="00000000" w:rsidRPr="00A25F75" w:rsidP="00A25F75">
            <w:pPr>
              <w:pStyle w:val="ListBullet"/>
            </w:pPr>
            <w:r w:rsidRPr="00A25F75">
              <w:t>ability to respond to change and contribute to workplace responsibilities, such as current work site environmental and sustainability frameworks or management systems</w:t>
            </w:r>
          </w:p>
          <w:p w:rsidR="00000000" w:rsidRPr="00A25F75" w:rsidP="00A25F75">
            <w:pPr>
              <w:pStyle w:val="ListBullet"/>
            </w:pPr>
            <w:r w:rsidRPr="00A25F75">
              <w:t>communication skills to:</w:t>
            </w:r>
          </w:p>
          <w:p w:rsidR="00000000" w:rsidRPr="00A25F75" w:rsidP="00A25F75">
            <w:pPr>
              <w:pStyle w:val="ListBullet2"/>
            </w:pPr>
            <w:r w:rsidRPr="00A25F75">
              <w:t>enable clear and direct communication, using questioning to ide</w:t>
            </w:r>
            <w:r w:rsidRPr="00A25F75">
              <w:t>ntify and confirm requirements, share information, listen and understand</w:t>
            </w:r>
          </w:p>
          <w:p w:rsidR="00000000" w:rsidRPr="00A25F75" w:rsidP="00A25F75">
            <w:pPr>
              <w:pStyle w:val="ListBullet2"/>
            </w:pPr>
            <w:r w:rsidRPr="00A25F75">
              <w:t>read and interpret:</w:t>
            </w:r>
          </w:p>
          <w:p w:rsidR="00000000" w:rsidRPr="00A25F75" w:rsidP="00A25F75">
            <w:pPr>
              <w:pStyle w:val="ListBullet3"/>
            </w:pPr>
            <w:r w:rsidRPr="00A25F75">
              <w:t>plans and specifications</w:t>
            </w:r>
          </w:p>
          <w:p w:rsidR="00000000" w:rsidRPr="00A25F75" w:rsidP="00A25F75">
            <w:pPr>
              <w:pStyle w:val="ListBullet3"/>
            </w:pPr>
            <w:r w:rsidRPr="00A25F75">
              <w:t>other relevant documentation</w:t>
            </w:r>
          </w:p>
          <w:p w:rsidR="00000000" w:rsidRPr="00A25F75" w:rsidP="00A25F75">
            <w:pPr>
              <w:pStyle w:val="ListBullet2"/>
            </w:pPr>
            <w:r w:rsidRPr="00A25F75">
              <w:t>use language and concepts appropriate to cultural differences</w:t>
            </w:r>
          </w:p>
          <w:p w:rsidR="00000000" w:rsidRPr="00A25F75" w:rsidP="00A25F75">
            <w:pPr>
              <w:pStyle w:val="ListBullet2"/>
            </w:pPr>
            <w:r w:rsidRPr="00A25F75">
              <w:t>use and interpret non-verbal communication</w:t>
            </w:r>
          </w:p>
          <w:p w:rsidR="00000000" w:rsidRPr="00A25F75" w:rsidP="00A25F75">
            <w:pPr>
              <w:pStyle w:val="ListBullet2"/>
            </w:pPr>
            <w:r w:rsidRPr="00A25F75">
              <w:t>written skills to record mathematical information</w:t>
            </w:r>
          </w:p>
          <w:p w:rsidR="00000000" w:rsidRPr="00A25F75" w:rsidP="00A25F75">
            <w:pPr>
              <w:pStyle w:val="ListBullet"/>
            </w:pPr>
            <w:r w:rsidRPr="00A25F75">
              <w:t>numeracy skills to apply measurements and calculations</w:t>
            </w:r>
          </w:p>
          <w:p w:rsidR="00000000" w:rsidRPr="00A25F75" w:rsidP="00A25F75">
            <w:pPr>
              <w:pStyle w:val="ListBullet"/>
            </w:pPr>
            <w:r w:rsidRPr="00A25F75">
              <w:t>planning and organisational skills to collect, organise and analyse information</w:t>
            </w:r>
          </w:p>
          <w:p w:rsidR="00000000" w:rsidRPr="00A25F75" w:rsidP="00A25F75">
            <w:pPr>
              <w:pStyle w:val="ListBullet"/>
            </w:pPr>
            <w:r w:rsidRPr="00A25F75">
              <w:t>technological skills to:</w:t>
            </w:r>
          </w:p>
          <w:p w:rsidR="00000000" w:rsidRPr="00A25F75" w:rsidP="00A25F75">
            <w:pPr>
              <w:pStyle w:val="ListBullet2"/>
            </w:pPr>
            <w:r w:rsidRPr="00A25F75">
              <w:t>complete documentation and calculations</w:t>
            </w:r>
          </w:p>
          <w:p w:rsidR="00000000" w:rsidP="00A25F75">
            <w:pPr>
              <w:pStyle w:val="ListBullet2"/>
              <w:rPr>
                <w:lang w:val="en-NZ"/>
              </w:rPr>
            </w:pPr>
            <w:r w:rsidRPr="00A25F75">
              <w:t>enable information gathering and analysis.</w:t>
            </w:r>
          </w:p>
        </w:tc>
      </w:tr>
      <w:tr w:rsidTr="00F9023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25F75">
            <w:pPr>
              <w:pStyle w:val="BodyText"/>
              <w:rPr>
                <w:lang w:val="en-NZ"/>
              </w:rPr>
            </w:pPr>
            <w:r w:rsidRPr="00A25F75">
              <w:rPr>
                <w:rStyle w:val="SpecialBold"/>
              </w:rPr>
              <w:t>Required knowledge</w:t>
            </w:r>
          </w:p>
        </w:tc>
      </w:tr>
      <w:tr w:rsidTr="00F9023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25F75" w:rsidP="00A25F75">
            <w:pPr>
              <w:pStyle w:val="BodyText"/>
            </w:pPr>
            <w:r w:rsidRPr="00A25F75">
              <w:t>Required knowledge for this unit is:</w:t>
            </w:r>
          </w:p>
          <w:p w:rsidR="00000000" w:rsidRPr="00A25F75" w:rsidP="00A25F75">
            <w:pPr>
              <w:pStyle w:val="ListBullet"/>
            </w:pPr>
            <w:r w:rsidRPr="00A25F75">
              <w:t>authorities and powers of a building surveyor</w:t>
            </w:r>
          </w:p>
          <w:p w:rsidR="00000000" w:rsidRPr="00A25F75" w:rsidP="00A25F75">
            <w:pPr>
              <w:pStyle w:val="ListBullet"/>
            </w:pPr>
            <w:r w:rsidRPr="00A25F75">
              <w:t>behaviour of structural members undergoing stress, strain, compression, bending or combined actions</w:t>
            </w:r>
          </w:p>
          <w:p w:rsidR="00000000" w:rsidRPr="00A25F75" w:rsidP="00A25F75">
            <w:pPr>
              <w:pStyle w:val="ListBullet"/>
            </w:pPr>
            <w:r w:rsidRPr="00A25F75">
              <w:t>grading p</w:t>
            </w:r>
            <w:r w:rsidRPr="00A25F75">
              <w:t>rocesses and grade markings used to categorise timber and timber products</w:t>
            </w:r>
          </w:p>
          <w:p w:rsidR="00000000" w:rsidRPr="00A25F75" w:rsidP="00A25F75">
            <w:pPr>
              <w:pStyle w:val="ListBullet"/>
            </w:pPr>
            <w:r w:rsidRPr="00A25F75">
              <w:t>manufactured timber framing systems</w:t>
            </w:r>
          </w:p>
          <w:p w:rsidR="00000000" w:rsidRPr="00A25F75" w:rsidP="00A25F75">
            <w:pPr>
              <w:pStyle w:val="ListBullet"/>
            </w:pPr>
            <w:r w:rsidRPr="00A25F75">
              <w:t>nature of timber and effect of physiology and timber pests on its performance</w:t>
            </w:r>
          </w:p>
          <w:p w:rsidR="00000000" w:rsidRPr="00A25F75" w:rsidP="00A25F75">
            <w:pPr>
              <w:pStyle w:val="ListBullet"/>
            </w:pPr>
            <w:r w:rsidRPr="00A25F75">
              <w:t>processes for the administration and preparation of documentation</w:t>
            </w:r>
          </w:p>
          <w:p w:rsidR="00000000" w:rsidRPr="00A25F75" w:rsidP="00A25F75">
            <w:pPr>
              <w:pStyle w:val="ListBullet"/>
            </w:pPr>
            <w:r w:rsidRPr="00A25F75">
              <w:t>processes for the application of wind force, raking forces, and bracing and tie down systems</w:t>
            </w:r>
          </w:p>
          <w:p w:rsidR="00000000" w:rsidRPr="00A25F75" w:rsidP="00A25F75">
            <w:pPr>
              <w:pStyle w:val="ListBullet"/>
            </w:pPr>
            <w:r w:rsidRPr="00A25F75">
              <w:t>processes for the interpretation of reports, working drawings and specifications</w:t>
            </w:r>
          </w:p>
          <w:p w:rsidR="00000000" w:rsidRPr="00A25F75" w:rsidP="00A25F75">
            <w:pPr>
              <w:pStyle w:val="ListBullet"/>
            </w:pPr>
            <w:r w:rsidRPr="00A25F75">
              <w:t>relevant federal, state or territory legislation and local government policy and p</w:t>
            </w:r>
            <w:r w:rsidRPr="00A25F75">
              <w:t>rocedures</w:t>
            </w:r>
          </w:p>
          <w:p w:rsidR="00000000" w:rsidRPr="00A25F75" w:rsidP="00A25F75">
            <w:pPr>
              <w:pStyle w:val="ListBullet"/>
            </w:pPr>
            <w:r w:rsidRPr="00A25F75">
              <w:t>research methods</w:t>
            </w:r>
          </w:p>
          <w:p w:rsidR="00000000" w:rsidRPr="00A25F75" w:rsidP="00A25F75">
            <w:pPr>
              <w:pStyle w:val="ListBullet"/>
            </w:pPr>
            <w:r w:rsidRPr="00A25F75">
              <w:t>structural, design and construction principles of buildings, including the application of timber in buildings.</w:t>
            </w:r>
          </w:p>
        </w:tc>
      </w:tr>
    </w:tbl>
    <w:p w:rsidR="00F90230" w:rsidP="00A25F75">
      <w:pPr>
        <w:pStyle w:val="BodyText"/>
      </w:pPr>
    </w:p>
    <w:p w:rsidR="00F90230" w:rsidP="00A25F75">
      <w:pPr>
        <w:pStyle w:val="BodyText"/>
      </w:pPr>
    </w:p>
    <w:p w:rsidR="00000000" w:rsidRPr="00A25F75" w:rsidP="00A25F75">
      <w:pPr>
        <w:pStyle w:val="AllowPageBreak"/>
      </w:pPr>
    </w:p>
    <w:p w:rsidR="00000000" w:rsidRPr="00A25F75" w:rsidP="00A25F75">
      <w:pPr>
        <w:pStyle w:val="Heading1"/>
      </w:pPr>
      <w:bookmarkStart w:id="10" w:name="O_242439"/>
      <w:bookmarkEnd w:id="10"/>
      <w:r w:rsidRPr="00A25F75">
        <w:t>Evidence Guide</w:t>
      </w:r>
    </w:p>
    <w:tbl>
      <w:tblPr>
        <w:tblW w:w="0" w:type="auto"/>
        <w:tblLayout w:type="fixed"/>
        <w:tblCellMar>
          <w:left w:w="62" w:type="dxa"/>
          <w:right w:w="62" w:type="dxa"/>
        </w:tblCellMar>
        <w:tblLook w:val="0000"/>
      </w:tblPr>
      <w:tblGrid>
        <w:gridCol w:w="3482"/>
        <w:gridCol w:w="5040"/>
      </w:tblGrid>
      <w:tr w:rsidTr="00F90230">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A25F75">
            <w:pPr>
              <w:pStyle w:val="BodyText"/>
              <w:rPr>
                <w:lang w:val="en-NZ"/>
              </w:rPr>
            </w:pPr>
            <w:r w:rsidRPr="00A25F75">
              <w:rPr>
                <w:rStyle w:val="SpecialBold"/>
              </w:rPr>
              <w:t>EVIDENCE GUIDE</w:t>
            </w:r>
          </w:p>
        </w:tc>
      </w:tr>
      <w:tr w:rsidTr="00F90230">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A25F75">
            <w:pPr>
              <w:pStyle w:val="BodyText"/>
              <w:rPr>
                <w:lang w:val="en-NZ"/>
              </w:rPr>
            </w:pPr>
            <w:r w:rsidRPr="00A25F75">
              <w:t>The evidence guide provides advice on</w:t>
            </w:r>
            <w:r w:rsidRPr="00A25F75">
              <w:t xml:space="preserve"> assessment and must be read in conjunction with the performance criteria, required skills and knowledge, range statement and the Assessment Guidelines for the Training Package.</w:t>
            </w:r>
          </w:p>
        </w:tc>
      </w:tr>
      <w:tr w:rsidTr="00F90230">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A25F75">
            <w:pPr>
              <w:pStyle w:val="BodyText"/>
              <w:rPr>
                <w:lang w:val="en-NZ"/>
              </w:rPr>
            </w:pPr>
            <w:r w:rsidRPr="00A25F75">
              <w:rPr>
                <w:rStyle w:val="SpecialBold"/>
              </w:rPr>
              <w:t>Overview of assessment</w:t>
            </w:r>
          </w:p>
        </w:tc>
        <w:tc>
          <w:tcPr>
            <w:tcW w:w="5040" w:type="dxa"/>
            <w:tcBorders>
              <w:top w:val="nil"/>
              <w:left w:val="nil"/>
              <w:bottom w:val="nil"/>
              <w:right w:val="nil"/>
            </w:tcBorders>
            <w:tcMar>
              <w:top w:w="0" w:type="dxa"/>
              <w:left w:w="62" w:type="dxa"/>
              <w:bottom w:w="0" w:type="dxa"/>
              <w:right w:w="62" w:type="dxa"/>
            </w:tcMar>
          </w:tcPr>
          <w:p w:rsidR="00000000" w:rsidP="00A25F75">
            <w:pPr>
              <w:pStyle w:val="BodyText"/>
              <w:rPr>
                <w:lang w:val="en-NZ"/>
              </w:rPr>
            </w:pPr>
            <w:r w:rsidRPr="00A25F75">
              <w:t>This unit of competency could be assessed in the workplace or a close simulation of the workplace environment, provided that simulated or project-based assessment techniques fully replicate construction workplace conditions, materials, activities, responsi</w:t>
            </w:r>
            <w:r w:rsidRPr="00A25F75">
              <w:t xml:space="preserve">bilities and procedures. </w:t>
            </w:r>
          </w:p>
        </w:tc>
      </w:tr>
      <w:tr w:rsidTr="00F90230">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A25F75">
            <w:pPr>
              <w:pStyle w:val="BodyText"/>
              <w:rPr>
                <w:lang w:val="en-NZ"/>
              </w:rPr>
            </w:pPr>
            <w:r w:rsidRPr="00A25F75">
              <w:rPr>
                <w:rStyle w:val="SpecialBold"/>
              </w:rPr>
              <w:t>Critical aspects for assessment and evidence required to demonstrate competency in this unit</w:t>
            </w:r>
          </w:p>
        </w:tc>
        <w:tc>
          <w:tcPr>
            <w:tcW w:w="5040" w:type="dxa"/>
            <w:tcBorders>
              <w:top w:val="nil"/>
              <w:left w:val="nil"/>
              <w:bottom w:val="nil"/>
              <w:right w:val="nil"/>
            </w:tcBorders>
            <w:tcMar>
              <w:top w:w="0" w:type="dxa"/>
              <w:left w:w="62" w:type="dxa"/>
              <w:bottom w:w="0" w:type="dxa"/>
              <w:right w:w="62" w:type="dxa"/>
            </w:tcMar>
          </w:tcPr>
          <w:p w:rsidR="00000000" w:rsidRPr="00A25F75" w:rsidP="00A25F75">
            <w:pPr>
              <w:pStyle w:val="BodyText"/>
            </w:pPr>
            <w:r w:rsidRPr="00A25F75">
              <w:t>A person who demonstrates competency in this unit must be able to provide evidence of the ability to:</w:t>
            </w:r>
          </w:p>
          <w:p w:rsidR="00000000" w:rsidRPr="00A25F75" w:rsidP="00A25F75">
            <w:pPr>
              <w:pStyle w:val="ListBullet"/>
            </w:pPr>
            <w:r w:rsidRPr="00A25F75">
              <w:t>comply with OHS regulations applic</w:t>
            </w:r>
            <w:r w:rsidRPr="00A25F75">
              <w:t>able to workplace operations</w:t>
            </w:r>
          </w:p>
          <w:p w:rsidR="00000000" w:rsidRPr="00A25F75" w:rsidP="00A25F75">
            <w:pPr>
              <w:pStyle w:val="ListBullet"/>
            </w:pPr>
            <w:r w:rsidRPr="00A25F75">
              <w:t>apply organisational management policies and procedures, including quality assurance requirements where appropriate</w:t>
            </w:r>
          </w:p>
          <w:p w:rsidR="00000000" w:rsidRPr="00A25F75" w:rsidP="00A25F75">
            <w:pPr>
              <w:pStyle w:val="ListBullet"/>
            </w:pPr>
            <w:r w:rsidRPr="00A25F75">
              <w:t>assess timber-framed designs, evaluate plans and specifications, and identify faults; select structural members</w:t>
            </w:r>
            <w:r w:rsidRPr="00A25F75">
              <w:t xml:space="preserve"> for roofs, ceilings, walls, floors and stumps relating to performance and the associated reporting of data, findings, recommendations and rectification strategies for at least one building project of up to two storeys or equivalent in compliance with rele</w:t>
            </w:r>
            <w:r w:rsidRPr="00A25F75">
              <w:t>vant legislation</w:t>
            </w:r>
          </w:p>
          <w:p w:rsidR="00000000" w:rsidP="00A25F75">
            <w:pPr>
              <w:pStyle w:val="ListBullet"/>
              <w:rPr>
                <w:lang w:val="en-NZ"/>
              </w:rPr>
            </w:pPr>
            <w:r w:rsidRPr="00A25F75">
              <w:t>provide reports to appropriate body/individual as determined by the project brief.</w:t>
            </w:r>
          </w:p>
        </w:tc>
      </w:tr>
      <w:tr w:rsidTr="00F90230">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A25F75">
            <w:pPr>
              <w:pStyle w:val="BodyText"/>
              <w:rPr>
                <w:lang w:val="en-NZ"/>
              </w:rPr>
            </w:pPr>
            <w:r w:rsidRPr="00A25F75">
              <w:rPr>
                <w:rStyle w:val="SpecialBold"/>
              </w:rPr>
              <w:t>Context of and specific resources for assessment</w:t>
            </w:r>
          </w:p>
        </w:tc>
        <w:tc>
          <w:tcPr>
            <w:tcW w:w="5040" w:type="dxa"/>
            <w:tcBorders>
              <w:top w:val="nil"/>
              <w:left w:val="nil"/>
              <w:bottom w:val="nil"/>
              <w:right w:val="nil"/>
            </w:tcBorders>
            <w:tcMar>
              <w:top w:w="0" w:type="dxa"/>
              <w:left w:w="62" w:type="dxa"/>
              <w:bottom w:w="0" w:type="dxa"/>
              <w:right w:w="62" w:type="dxa"/>
            </w:tcMar>
          </w:tcPr>
          <w:p w:rsidR="00000000" w:rsidRPr="00A25F75" w:rsidP="00A25F75">
            <w:pPr>
              <w:pStyle w:val="BodyText"/>
            </w:pPr>
            <w:r w:rsidRPr="00A25F75">
              <w:t>This competency is to be assessed using standard and authorised work practices, safety requirements and en</w:t>
            </w:r>
            <w:r w:rsidRPr="00A25F75">
              <w:t>vironmental constraints.</w:t>
            </w:r>
          </w:p>
          <w:p w:rsidR="00000000" w:rsidRPr="00A25F75" w:rsidP="00A25F75">
            <w:pPr>
              <w:pStyle w:val="BodyText"/>
            </w:pPr>
            <w:r w:rsidRPr="00A25F75">
              <w:t>Assessment of essential underpinning knowledge will usually be conducted in an off-site context.</w:t>
            </w:r>
          </w:p>
          <w:p w:rsidR="00000000" w:rsidRPr="00A25F75" w:rsidP="00A25F75">
            <w:pPr>
              <w:pStyle w:val="BodyText"/>
            </w:pPr>
            <w:r w:rsidRPr="00A25F75">
              <w:t>Assessment is to comply with relevant regulatory or Australian standards' requirements.</w:t>
            </w:r>
          </w:p>
          <w:p w:rsidR="00000000" w:rsidRPr="00A25F75" w:rsidP="00A25F75">
            <w:pPr>
              <w:pStyle w:val="BodyText"/>
            </w:pPr>
            <w:r w:rsidRPr="00A25F75">
              <w:t>Resource implications for assessment include:</w:t>
            </w:r>
          </w:p>
          <w:p w:rsidR="00000000" w:rsidRPr="00A25F75" w:rsidP="00A25F75">
            <w:pPr>
              <w:pStyle w:val="ListBullet"/>
            </w:pPr>
            <w:r w:rsidRPr="00A25F75">
              <w:t>an induction procedure and requirement</w:t>
            </w:r>
          </w:p>
          <w:p w:rsidR="00000000" w:rsidRPr="00A25F75" w:rsidP="00A25F75">
            <w:pPr>
              <w:pStyle w:val="ListBullet"/>
            </w:pPr>
            <w:r w:rsidRPr="00A25F75">
              <w:t>realistic tasks or simulated tasks covering the mandatory task requirements</w:t>
            </w:r>
          </w:p>
          <w:p w:rsidR="00000000" w:rsidRPr="00A25F75" w:rsidP="00A25F75">
            <w:pPr>
              <w:pStyle w:val="ListBullet"/>
            </w:pPr>
            <w:r w:rsidRPr="00A25F75">
              <w:t>relevant specifications and work instructions</w:t>
            </w:r>
          </w:p>
          <w:p w:rsidR="00000000" w:rsidRPr="00A25F75" w:rsidP="00A25F75">
            <w:pPr>
              <w:pStyle w:val="ListBullet"/>
            </w:pPr>
            <w:r w:rsidRPr="00A25F75">
              <w:t>tools and equipment appropriate to applying safe work practices</w:t>
            </w:r>
          </w:p>
          <w:p w:rsidR="00000000" w:rsidRPr="00A25F75" w:rsidP="00A25F75">
            <w:pPr>
              <w:pStyle w:val="ListBullet"/>
            </w:pPr>
            <w:r w:rsidRPr="00A25F75">
              <w:t>support materials appropriate t</w:t>
            </w:r>
            <w:r w:rsidRPr="00A25F75">
              <w:t>o activity</w:t>
            </w:r>
          </w:p>
          <w:p w:rsidR="00000000" w:rsidRPr="00A25F75" w:rsidP="00A25F75">
            <w:pPr>
              <w:pStyle w:val="ListBullet"/>
            </w:pPr>
            <w:r w:rsidRPr="00A25F75">
              <w:t>workplace instructions relating to safe work practices and addressing hazards and emergencies</w:t>
            </w:r>
          </w:p>
          <w:p w:rsidR="00000000" w:rsidRPr="00A25F75" w:rsidP="00A25F75">
            <w:pPr>
              <w:pStyle w:val="ListBullet"/>
            </w:pPr>
            <w:r w:rsidRPr="00A25F75">
              <w:t>material safety data sheets</w:t>
            </w:r>
          </w:p>
          <w:p w:rsidR="00000000" w:rsidRPr="00A25F75" w:rsidP="00A25F75">
            <w:pPr>
              <w:pStyle w:val="ListBullet"/>
            </w:pPr>
            <w:r w:rsidRPr="00A25F75">
              <w:t>research resources, including industry related systems information.</w:t>
            </w:r>
          </w:p>
          <w:p w:rsidR="00000000" w:rsidP="00A25F75">
            <w:pPr>
              <w:pStyle w:val="BodyText"/>
              <w:rPr>
                <w:lang w:val="en-NZ"/>
              </w:rPr>
            </w:pPr>
            <w:r w:rsidRPr="00A25F75">
              <w:t>Reasonable adjustments for people with disabilities mus</w:t>
            </w:r>
            <w:r w:rsidRPr="00A25F75">
              <w:t xml:space="preserve">t be made to assessment processes where required. This could include access to modified equipment and other physical resources, and the provision of appropriate assessment support. </w:t>
            </w:r>
          </w:p>
        </w:tc>
      </w:tr>
      <w:tr w:rsidTr="00F90230">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A25F75">
            <w:pPr>
              <w:pStyle w:val="BodyText"/>
              <w:rPr>
                <w:lang w:val="en-NZ"/>
              </w:rPr>
            </w:pPr>
            <w:r w:rsidRPr="00A25F75">
              <w:rPr>
                <w:rStyle w:val="SpecialBold"/>
              </w:rPr>
              <w:t>Method of assessment</w:t>
            </w:r>
          </w:p>
        </w:tc>
        <w:tc>
          <w:tcPr>
            <w:tcW w:w="5040" w:type="dxa"/>
            <w:tcBorders>
              <w:top w:val="nil"/>
              <w:left w:val="nil"/>
              <w:bottom w:val="nil"/>
              <w:right w:val="nil"/>
            </w:tcBorders>
            <w:tcMar>
              <w:top w:w="0" w:type="dxa"/>
              <w:left w:w="62" w:type="dxa"/>
              <w:bottom w:w="0" w:type="dxa"/>
              <w:right w:w="62" w:type="dxa"/>
            </w:tcMar>
          </w:tcPr>
          <w:p w:rsidR="00000000" w:rsidRPr="00A25F75" w:rsidP="00A25F75">
            <w:pPr>
              <w:pStyle w:val="BodyText"/>
            </w:pPr>
            <w:r w:rsidRPr="00A25F75">
              <w:t>Assessment methods must:</w:t>
            </w:r>
          </w:p>
          <w:p w:rsidR="00000000" w:rsidRPr="00A25F75" w:rsidP="00A25F75">
            <w:pPr>
              <w:pStyle w:val="ListBullet"/>
            </w:pPr>
            <w:r w:rsidRPr="00A25F75">
              <w:t>satisfy the endorsed Assess</w:t>
            </w:r>
            <w:r w:rsidRPr="00A25F75">
              <w:t>ment Guidelines of the Construction, Plumbing and Services Training Package</w:t>
            </w:r>
          </w:p>
          <w:p w:rsidR="00000000" w:rsidRPr="00A25F75" w:rsidP="00A25F75">
            <w:pPr>
              <w:pStyle w:val="ListBullet"/>
            </w:pPr>
            <w:r w:rsidRPr="00A25F75">
              <w:t>include direct observation of tasks in real or simulated work conditions, with questioning to confirm the ability to consistently identify and correctly interpret the essential und</w:t>
            </w:r>
            <w:r w:rsidRPr="00A25F75">
              <w:t>erpinning knowledge required for practical application</w:t>
            </w:r>
          </w:p>
          <w:p w:rsidR="00000000" w:rsidRPr="00A25F75" w:rsidP="00A25F75">
            <w:pPr>
              <w:pStyle w:val="ListBullet"/>
            </w:pPr>
            <w:r w:rsidRPr="00A25F75">
              <w:t>reinforce the integration of employability skills with workplace tasks and job roles</w:t>
            </w:r>
          </w:p>
          <w:p w:rsidR="00000000" w:rsidRPr="00A25F75" w:rsidP="00A25F75">
            <w:pPr>
              <w:pStyle w:val="ListBullet"/>
            </w:pPr>
            <w:r w:rsidRPr="00A25F75">
              <w:t>confirm that competency is verified and able to be transferred to other circumstances and environments.</w:t>
            </w:r>
          </w:p>
          <w:p w:rsidR="00000000" w:rsidRPr="00A25F75" w:rsidP="00A25F75">
            <w:pPr>
              <w:pStyle w:val="BodyText"/>
            </w:pPr>
            <w:r w:rsidRPr="00A25F75">
              <w:t>Validity and</w:t>
            </w:r>
            <w:r w:rsidRPr="00A25F75">
              <w:t xml:space="preserve"> sufficiency of evidence requires that:</w:t>
            </w:r>
          </w:p>
          <w:p w:rsidR="00000000" w:rsidRPr="00A25F75" w:rsidP="00A25F75">
            <w:pPr>
              <w:pStyle w:val="ListBullet"/>
            </w:pPr>
            <w:r w:rsidRPr="00A25F75">
              <w:t>competency will need to be demonstrated over a period of time reflecting the scope of the role and the practical requirements of the workplace</w:t>
            </w:r>
          </w:p>
          <w:p w:rsidR="00000000" w:rsidRPr="00A25F75" w:rsidP="00A25F75">
            <w:pPr>
              <w:pStyle w:val="ListBullet"/>
            </w:pPr>
            <w:r w:rsidRPr="00A25F75">
              <w:t>where the assessment is part of a structured learning experience the evidence collected must relate to a number of performances assessed at different points in time and separated by further learning and practice, with a decision on competency only taken at</w:t>
            </w:r>
            <w:r w:rsidRPr="00A25F75">
              <w:t xml:space="preserve"> the point when the assessor has complete confidence in the person's demonstrated ability and applied knowledge</w:t>
            </w:r>
          </w:p>
          <w:p w:rsidR="00000000" w:rsidRPr="00A25F75" w:rsidP="00A25F75">
            <w:pPr>
              <w:pStyle w:val="ListBullet"/>
            </w:pPr>
            <w:r w:rsidRPr="00A25F75">
              <w:t>all assessment that is part of a structured learning experience must include a combination of direct, indirect and supplementary evidence.</w:t>
            </w:r>
          </w:p>
          <w:p w:rsidR="00000000" w:rsidRPr="00A25F75" w:rsidP="00A25F75">
            <w:pPr>
              <w:pStyle w:val="BodyText"/>
            </w:pPr>
            <w:r w:rsidRPr="00A25F75">
              <w:t>Asses</w:t>
            </w:r>
            <w:r w:rsidRPr="00A25F75">
              <w:t>sment processes and techniques should as far as is practical take into account the language, literacy and numeracy capacity of the candidate in relation to the competency being assessed.</w:t>
            </w:r>
          </w:p>
          <w:p w:rsidR="00000000" w:rsidP="00A25F75">
            <w:pPr>
              <w:pStyle w:val="BodyText"/>
              <w:rPr>
                <w:lang w:val="en-NZ"/>
              </w:rPr>
            </w:pPr>
            <w:r w:rsidRPr="00A25F75">
              <w:t>Supplementary evidence of competency may be obtained from relevant au</w:t>
            </w:r>
            <w:r w:rsidRPr="00A25F75">
              <w:t xml:space="preserve">thenticated documentation from third parties, such as existing supervisors, team leaders or specialist training staff. </w:t>
            </w:r>
          </w:p>
        </w:tc>
      </w:tr>
      <w:tr w:rsidTr="00F90230">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A25F75">
            <w:pPr>
              <w:pStyle w:val="BodyText"/>
              <w:rPr>
                <w:lang w:val="en-NZ"/>
              </w:rPr>
            </w:pPr>
            <w:r w:rsidRPr="00A25F75">
              <w:rPr>
                <w:rStyle w:val="SpecialBold"/>
              </w:rPr>
              <w:t>Guidance information for assessment</w:t>
            </w:r>
          </w:p>
        </w:tc>
        <w:tc>
          <w:tcPr>
            <w:tcW w:w="5040" w:type="dxa"/>
            <w:tcBorders>
              <w:top w:val="nil"/>
              <w:left w:val="nil"/>
              <w:bottom w:val="nil"/>
              <w:right w:val="nil"/>
            </w:tcBorders>
            <w:tcMar>
              <w:top w:w="0" w:type="dxa"/>
              <w:left w:w="62" w:type="dxa"/>
              <w:bottom w:w="0" w:type="dxa"/>
              <w:right w:w="62" w:type="dxa"/>
            </w:tcMar>
          </w:tcPr>
          <w:p w:rsidR="00000000" w:rsidRPr="00A25F75" w:rsidP="00A25F75">
            <w:pPr>
              <w:pStyle w:val="BodyText"/>
            </w:pPr>
            <w:r w:rsidRPr="00A25F75">
              <w:t>This unit could be assessed on its own or in combination with other units relevant to the job funct</w:t>
            </w:r>
            <w:r w:rsidRPr="00A25F75">
              <w:t>ion, for example:</w:t>
            </w:r>
          </w:p>
          <w:p w:rsidR="00000000" w:rsidRPr="00A25F75" w:rsidP="00A25F75">
            <w:pPr>
              <w:pStyle w:val="ListBullet"/>
            </w:pPr>
            <w:r w:rsidRPr="00A25F75">
              <w:t xml:space="preserve">CPCCSV5001A Assess the construction of domestic scale buildings </w:t>
            </w:r>
          </w:p>
          <w:p w:rsidR="00000000" w:rsidRPr="00A25F75" w:rsidP="00A25F75">
            <w:pPr>
              <w:pStyle w:val="ListBullet"/>
            </w:pPr>
            <w:r w:rsidRPr="00A25F75">
              <w:t>CPCCSV5006A Assess construction faults in residential buildings.</w:t>
            </w:r>
          </w:p>
          <w:p w:rsidR="00000000" w:rsidRPr="00A25F75" w:rsidP="00A25F75">
            <w:pPr>
              <w:pStyle w:val="BodyText"/>
            </w:pPr>
            <w:r w:rsidRPr="00A25F75">
              <w:t>Reasonable adjustments for people with disabilities must be made to assessment processes where required. Thi</w:t>
            </w:r>
            <w:r w:rsidRPr="00A25F75">
              <w:t>s could include access to modified equipment and other physical resources, and the provision of appropriate assessment support.</w:t>
            </w:r>
          </w:p>
          <w:p w:rsidR="00000000" w:rsidRPr="00A25F75" w:rsidP="00A25F75">
            <w:pPr>
              <w:pStyle w:val="BodyText"/>
            </w:pPr>
            <w:r w:rsidRPr="00A25F75">
              <w:t>Assessment processes and techniques should, as far as is practical, take into account the language, literacy and numeracy capaci</w:t>
            </w:r>
            <w:r w:rsidRPr="00A25F75">
              <w:t>ty of the candidate in relation to the competency being assessed.</w:t>
            </w:r>
          </w:p>
        </w:tc>
      </w:tr>
    </w:tbl>
    <w:p w:rsidR="00F90230" w:rsidP="00A25F75">
      <w:pPr>
        <w:pStyle w:val="BodyText"/>
      </w:pPr>
    </w:p>
    <w:p w:rsidR="00F90230" w:rsidP="00A25F75">
      <w:pPr>
        <w:pStyle w:val="BodyText"/>
      </w:pPr>
    </w:p>
    <w:p w:rsidR="00000000" w:rsidRPr="00A25F75" w:rsidP="00A25F75">
      <w:pPr>
        <w:pStyle w:val="Heading1"/>
      </w:pPr>
      <w:bookmarkStart w:id="11" w:name="O_250422"/>
      <w:bookmarkEnd w:id="11"/>
      <w:r w:rsidRPr="00A25F75">
        <w:t>Range Statement</w:t>
      </w:r>
    </w:p>
    <w:tbl>
      <w:tblPr>
        <w:tblW w:w="0" w:type="auto"/>
        <w:tblLayout w:type="fixed"/>
        <w:tblCellMar>
          <w:left w:w="62" w:type="dxa"/>
          <w:right w:w="62" w:type="dxa"/>
        </w:tblCellMar>
        <w:tblLook w:val="0000"/>
      </w:tblPr>
      <w:tblGrid>
        <w:gridCol w:w="3447"/>
        <w:gridCol w:w="5075"/>
      </w:tblGrid>
      <w:tr w:rsidTr="00F90230">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A25F75">
            <w:pPr>
              <w:pStyle w:val="BodyText"/>
              <w:rPr>
                <w:lang w:val="en-NZ"/>
              </w:rPr>
            </w:pPr>
            <w:r w:rsidRPr="00A25F75">
              <w:rPr>
                <w:rStyle w:val="SpecialBold"/>
              </w:rPr>
              <w:t>RANGE STATEMENT</w:t>
            </w:r>
          </w:p>
        </w:tc>
      </w:tr>
      <w:tr w:rsidTr="00F90230">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A25F75">
            <w:pPr>
              <w:pStyle w:val="BodyText"/>
              <w:rPr>
                <w:lang w:val="en-NZ"/>
              </w:rPr>
            </w:pPr>
            <w:r w:rsidRPr="00A25F75">
              <w:t>The range statement relates to the unit of competency as a whole. It allows for</w:t>
            </w:r>
            <w:r w:rsidRPr="00A25F75">
              <w:t xml:space="preserve"> different work environments and situations that may affect performance. Bold italicised wording, if used in the performance criteria, is detailed below. Essential operating conditions that may be present with training and assessment (depending on the work</w:t>
            </w:r>
            <w:r w:rsidRPr="00A25F75">
              <w:t xml:space="preserve"> situation, needs of the candidate, accessibility of the item, and local industry and regional contexts) may also be included.</w:t>
            </w:r>
          </w:p>
        </w:tc>
      </w:tr>
      <w:tr w:rsidTr="00F90230">
        <w:tblPrEx>
          <w:tblW w:w="0" w:type="auto"/>
          <w:tblLayout w:type="fixed"/>
          <w:tblCellMar>
            <w:left w:w="62" w:type="dxa"/>
            <w:right w:w="62" w:type="dxa"/>
          </w:tblCellMar>
          <w:tblLook w:val="0000"/>
        </w:tblPrEx>
        <w:tc>
          <w:tcPr>
            <w:tcW w:w="3447" w:type="dxa"/>
            <w:tcBorders>
              <w:top w:val="nil"/>
              <w:left w:val="nil"/>
              <w:bottom w:val="nil"/>
              <w:right w:val="nil"/>
            </w:tcBorders>
            <w:tcMar>
              <w:top w:w="0" w:type="dxa"/>
              <w:left w:w="62" w:type="dxa"/>
              <w:bottom w:w="0" w:type="dxa"/>
              <w:right w:w="62" w:type="dxa"/>
            </w:tcMar>
          </w:tcPr>
          <w:p w:rsidR="00000000" w:rsidP="00A25F75">
            <w:pPr>
              <w:pStyle w:val="BodyText"/>
              <w:rPr>
                <w:lang w:val="en-NZ"/>
              </w:rPr>
            </w:pPr>
            <w:r w:rsidRPr="00A25F75">
              <w:rPr>
                <w:rStyle w:val="BoldandItalics"/>
              </w:rPr>
              <w:t>Structural members required in ceiling and roof framing</w:t>
            </w:r>
            <w:r w:rsidRPr="00A25F75">
              <w:t>:</w:t>
            </w:r>
          </w:p>
        </w:tc>
        <w:tc>
          <w:tcPr>
            <w:tcW w:w="5075" w:type="dxa"/>
            <w:tcBorders>
              <w:top w:val="nil"/>
              <w:left w:val="nil"/>
              <w:bottom w:val="nil"/>
              <w:right w:val="nil"/>
            </w:tcBorders>
            <w:tcMar>
              <w:top w:w="0" w:type="dxa"/>
              <w:left w:w="62" w:type="dxa"/>
              <w:bottom w:w="0" w:type="dxa"/>
              <w:right w:w="62" w:type="dxa"/>
            </w:tcMar>
          </w:tcPr>
          <w:p w:rsidR="00000000" w:rsidRPr="00A25F75" w:rsidP="00A25F75">
            <w:pPr>
              <w:pStyle w:val="ListBullet"/>
            </w:pPr>
            <w:r w:rsidRPr="00A25F75">
              <w:t>includes evaluation and identification of structural members used in:</w:t>
            </w:r>
          </w:p>
          <w:p w:rsidR="00000000" w:rsidRPr="00A25F75" w:rsidP="00A25F75">
            <w:pPr>
              <w:pStyle w:val="ListBullet2"/>
            </w:pPr>
            <w:r w:rsidRPr="00A25F75">
              <w:t>ceiling and roof framing</w:t>
            </w:r>
          </w:p>
          <w:p w:rsidR="00000000" w:rsidRPr="00A25F75" w:rsidP="00A25F75">
            <w:pPr>
              <w:pStyle w:val="ListBullet2"/>
            </w:pPr>
            <w:r w:rsidRPr="00A25F75">
              <w:t>floor bearer and joist installing</w:t>
            </w:r>
          </w:p>
          <w:p w:rsidR="00000000" w:rsidRPr="00A25F75" w:rsidP="00A25F75">
            <w:pPr>
              <w:pStyle w:val="ListBullet2"/>
            </w:pPr>
            <w:r w:rsidRPr="00A25F75">
              <w:t>timber stumping</w:t>
            </w:r>
          </w:p>
          <w:p w:rsidR="00000000" w:rsidRPr="00A25F75" w:rsidP="00A25F75">
            <w:pPr>
              <w:pStyle w:val="ListBullet2"/>
            </w:pPr>
            <w:r w:rsidRPr="00A25F75">
              <w:t>timber wall framing</w:t>
            </w:r>
          </w:p>
          <w:p w:rsidR="00000000" w:rsidRPr="00A25F75" w:rsidP="00A25F75">
            <w:pPr>
              <w:pStyle w:val="ListBullet"/>
            </w:pPr>
            <w:r w:rsidRPr="00A25F75">
              <w:t>suitable for the building design in compliance with:</w:t>
            </w:r>
          </w:p>
          <w:p w:rsidR="00000000" w:rsidRPr="00A25F75" w:rsidP="00A25F75">
            <w:pPr>
              <w:pStyle w:val="ListBullet2"/>
            </w:pPr>
            <w:r w:rsidRPr="00A25F75">
              <w:t>BCA</w:t>
            </w:r>
          </w:p>
          <w:p w:rsidR="00000000" w:rsidRPr="00A25F75" w:rsidP="00A25F75">
            <w:pPr>
              <w:pStyle w:val="ListBullet2"/>
            </w:pPr>
            <w:r w:rsidRPr="00A25F75">
              <w:t>design specifications</w:t>
            </w:r>
          </w:p>
          <w:p w:rsidR="00000000" w:rsidRPr="00A25F75" w:rsidP="00A25F75">
            <w:pPr>
              <w:pStyle w:val="ListBullet2"/>
            </w:pPr>
            <w:r w:rsidRPr="00A25F75">
              <w:t>legislative requirements</w:t>
            </w:r>
          </w:p>
          <w:p w:rsidR="00000000" w:rsidRPr="00A25F75" w:rsidP="00A25F75">
            <w:pPr>
              <w:pStyle w:val="ListBullet2"/>
            </w:pPr>
            <w:r w:rsidRPr="00A25F75">
              <w:t>maintenance specifications</w:t>
            </w:r>
          </w:p>
          <w:p w:rsidR="00000000" w:rsidP="00A25F75">
            <w:pPr>
              <w:pStyle w:val="ListBullet2"/>
              <w:rPr>
                <w:lang w:val="en-NZ"/>
              </w:rPr>
            </w:pPr>
            <w:r w:rsidRPr="00A25F75">
              <w:t>relevant legislation.</w:t>
            </w:r>
          </w:p>
        </w:tc>
      </w:tr>
      <w:tr w:rsidTr="00F90230">
        <w:tblPrEx>
          <w:tblW w:w="0" w:type="auto"/>
          <w:tblLayout w:type="fixed"/>
          <w:tblCellMar>
            <w:left w:w="62" w:type="dxa"/>
            <w:right w:w="62" w:type="dxa"/>
          </w:tblCellMar>
          <w:tblLook w:val="0000"/>
        </w:tblPrEx>
        <w:tc>
          <w:tcPr>
            <w:tcW w:w="3447" w:type="dxa"/>
            <w:tcBorders>
              <w:top w:val="nil"/>
              <w:left w:val="nil"/>
              <w:bottom w:val="nil"/>
              <w:right w:val="nil"/>
            </w:tcBorders>
            <w:tcMar>
              <w:top w:w="0" w:type="dxa"/>
              <w:left w:w="62" w:type="dxa"/>
              <w:bottom w:w="0" w:type="dxa"/>
              <w:right w:w="62" w:type="dxa"/>
            </w:tcMar>
          </w:tcPr>
          <w:p w:rsidR="00000000" w:rsidP="00A25F75">
            <w:pPr>
              <w:pStyle w:val="BodyText"/>
              <w:rPr>
                <w:lang w:val="en-NZ"/>
              </w:rPr>
            </w:pPr>
            <w:r w:rsidRPr="00A25F75">
              <w:rPr>
                <w:rStyle w:val="BoldandItalics"/>
              </w:rPr>
              <w:t>Building categories</w:t>
            </w:r>
            <w:r w:rsidRPr="00A25F75">
              <w:t xml:space="preserve"> include:</w:t>
            </w:r>
          </w:p>
        </w:tc>
        <w:tc>
          <w:tcPr>
            <w:tcW w:w="5075" w:type="dxa"/>
            <w:tcBorders>
              <w:top w:val="nil"/>
              <w:left w:val="nil"/>
              <w:bottom w:val="nil"/>
              <w:right w:val="nil"/>
            </w:tcBorders>
            <w:tcMar>
              <w:top w:w="0" w:type="dxa"/>
              <w:left w:w="62" w:type="dxa"/>
              <w:bottom w:w="0" w:type="dxa"/>
              <w:right w:w="62" w:type="dxa"/>
            </w:tcMar>
          </w:tcPr>
          <w:p w:rsidR="00000000" w:rsidP="00A25F75">
            <w:pPr>
              <w:pStyle w:val="ListBullet"/>
              <w:rPr>
                <w:lang w:val="en-NZ"/>
              </w:rPr>
            </w:pPr>
            <w:r w:rsidRPr="00A25F75">
              <w:t>all timber-framed domestic scale buildings up to and including two storeys.</w:t>
            </w:r>
          </w:p>
        </w:tc>
      </w:tr>
      <w:tr w:rsidTr="00F90230">
        <w:tblPrEx>
          <w:tblW w:w="0" w:type="auto"/>
          <w:tblLayout w:type="fixed"/>
          <w:tblCellMar>
            <w:left w:w="62" w:type="dxa"/>
            <w:right w:w="62" w:type="dxa"/>
          </w:tblCellMar>
          <w:tblLook w:val="0000"/>
        </w:tblPrEx>
        <w:tc>
          <w:tcPr>
            <w:tcW w:w="3447" w:type="dxa"/>
            <w:tcBorders>
              <w:top w:val="nil"/>
              <w:left w:val="nil"/>
              <w:bottom w:val="nil"/>
              <w:right w:val="nil"/>
            </w:tcBorders>
            <w:tcMar>
              <w:top w:w="0" w:type="dxa"/>
              <w:left w:w="62" w:type="dxa"/>
              <w:bottom w:w="0" w:type="dxa"/>
              <w:right w:w="62" w:type="dxa"/>
            </w:tcMar>
          </w:tcPr>
          <w:p w:rsidR="00000000" w:rsidP="00A25F75">
            <w:pPr>
              <w:pStyle w:val="BodyText"/>
              <w:rPr>
                <w:lang w:val="en-NZ"/>
              </w:rPr>
            </w:pPr>
            <w:r w:rsidRPr="00A25F75">
              <w:rPr>
                <w:rStyle w:val="BoldandItalics"/>
              </w:rPr>
              <w:t>Assessment of timber</w:t>
            </w:r>
            <w:r w:rsidRPr="00A25F75">
              <w:t>-</w:t>
            </w:r>
            <w:r w:rsidRPr="00A25F75">
              <w:rPr>
                <w:rStyle w:val="BoldandItalics"/>
              </w:rPr>
              <w:t>framed designs</w:t>
            </w:r>
            <w:r w:rsidRPr="00A25F75">
              <w:t>:</w:t>
            </w:r>
          </w:p>
        </w:tc>
        <w:tc>
          <w:tcPr>
            <w:tcW w:w="5075" w:type="dxa"/>
            <w:tcBorders>
              <w:top w:val="nil"/>
              <w:left w:val="nil"/>
              <w:bottom w:val="nil"/>
              <w:right w:val="nil"/>
            </w:tcBorders>
            <w:tcMar>
              <w:top w:w="0" w:type="dxa"/>
              <w:left w:w="62" w:type="dxa"/>
              <w:bottom w:w="0" w:type="dxa"/>
              <w:right w:w="62" w:type="dxa"/>
            </w:tcMar>
          </w:tcPr>
          <w:p w:rsidR="00000000" w:rsidRPr="00A25F75" w:rsidP="00A25F75">
            <w:pPr>
              <w:pStyle w:val="ListBullet"/>
            </w:pPr>
            <w:r w:rsidRPr="00A25F75">
              <w:t>includes the identification and recording and reporting of faults, in accordance with workplace providers, in verbal or written format</w:t>
            </w:r>
          </w:p>
          <w:p w:rsidR="00000000" w:rsidRPr="00A25F75" w:rsidP="00A25F75">
            <w:pPr>
              <w:pStyle w:val="ListBullet"/>
            </w:pPr>
            <w:r w:rsidRPr="00A25F75">
              <w:t>timber-framed designs include:</w:t>
            </w:r>
          </w:p>
          <w:p w:rsidR="00000000" w:rsidRPr="00A25F75" w:rsidP="00A25F75">
            <w:pPr>
              <w:pStyle w:val="ListBullet2"/>
            </w:pPr>
            <w:r w:rsidRPr="00A25F75">
              <w:t>floor framing, such as loose set single storey timber structures and two storey suspended</w:t>
            </w:r>
            <w:r w:rsidRPr="00A25F75">
              <w:t xml:space="preserve"> upper floor level construction</w:t>
            </w:r>
          </w:p>
          <w:p w:rsidR="00000000" w:rsidRPr="00A25F75" w:rsidP="00A25F75">
            <w:pPr>
              <w:pStyle w:val="ListBullet2"/>
            </w:pPr>
            <w:r w:rsidRPr="00A25F75">
              <w:t>overhang framing with soffits and eaves, attached carport, attached veranda and attached patio</w:t>
            </w:r>
          </w:p>
          <w:p w:rsidR="00000000" w:rsidRPr="00A25F75" w:rsidP="00A25F75">
            <w:pPr>
              <w:pStyle w:val="ListBullet2"/>
            </w:pPr>
            <w:r w:rsidRPr="00A25F75">
              <w:t>roof framing, such as skillion, gable, hip and valley and cathedral</w:t>
            </w:r>
          </w:p>
          <w:p w:rsidR="00000000" w:rsidRPr="00A25F75" w:rsidP="00A25F75">
            <w:pPr>
              <w:pStyle w:val="ListBullet2"/>
            </w:pPr>
            <w:r w:rsidRPr="00A25F75">
              <w:t>wall framing of various sizes, bracing locations and tie down</w:t>
            </w:r>
            <w:r w:rsidRPr="00A25F75">
              <w:t>s.</w:t>
            </w:r>
          </w:p>
        </w:tc>
      </w:tr>
    </w:tbl>
    <w:p w:rsidR="00F90230" w:rsidP="00A25F75">
      <w:pPr>
        <w:pStyle w:val="BodyText"/>
      </w:pPr>
    </w:p>
    <w:p w:rsidR="00F90230" w:rsidP="00A25F75">
      <w:pPr>
        <w:pStyle w:val="BodyText"/>
      </w:pPr>
    </w:p>
    <w:p w:rsidR="00000000" w:rsidRPr="00A25F75" w:rsidP="00A25F75">
      <w:pPr>
        <w:pStyle w:val="Heading1"/>
      </w:pPr>
      <w:bookmarkStart w:id="12" w:name="O_198975"/>
      <w:bookmarkEnd w:id="12"/>
      <w:r w:rsidRPr="00A25F75">
        <w:t>Unit Sector(s)</w:t>
      </w:r>
    </w:p>
    <w:tbl>
      <w:tblPr>
        <w:tblW w:w="0" w:type="auto"/>
        <w:tblLayout w:type="fixed"/>
        <w:tblCellMar>
          <w:left w:w="62" w:type="dxa"/>
          <w:right w:w="62" w:type="dxa"/>
        </w:tblCellMar>
        <w:tblLook w:val="0000"/>
      </w:tblPr>
      <w:tblGrid>
        <w:gridCol w:w="2491"/>
        <w:gridCol w:w="6031"/>
      </w:tblGrid>
      <w:tr w:rsidTr="00F90230">
        <w:tblPrEx>
          <w:tblW w:w="0" w:type="auto"/>
          <w:tblLayout w:type="fixed"/>
          <w:tblCellMar>
            <w:left w:w="62" w:type="dxa"/>
            <w:right w:w="62" w:type="dxa"/>
          </w:tblCellMar>
          <w:tblLook w:val="0000"/>
        </w:tblPrEx>
        <w:trPr>
          <w:tblHeader/>
        </w:trPr>
        <w:tc>
          <w:tcPr>
            <w:tcW w:w="2491" w:type="dxa"/>
            <w:tcBorders>
              <w:top w:val="nil"/>
              <w:left w:val="nil"/>
              <w:bottom w:val="nil"/>
              <w:right w:val="nil"/>
            </w:tcBorders>
            <w:tcMar>
              <w:top w:w="0" w:type="dxa"/>
              <w:left w:w="62" w:type="dxa"/>
              <w:bottom w:w="0" w:type="dxa"/>
              <w:right w:w="62" w:type="dxa"/>
            </w:tcMar>
          </w:tcPr>
          <w:p w:rsidR="00000000" w:rsidP="00A25F75">
            <w:pPr>
              <w:pStyle w:val="BodyText"/>
              <w:rPr>
                <w:lang w:val="en-NZ"/>
              </w:rPr>
            </w:pPr>
            <w:r w:rsidRPr="00A25F75">
              <w:rPr>
                <w:rStyle w:val="SpecialBold"/>
              </w:rPr>
              <w:t>Unit sector</w:t>
            </w:r>
          </w:p>
        </w:tc>
        <w:tc>
          <w:tcPr>
            <w:tcW w:w="6031" w:type="dxa"/>
            <w:tcBorders>
              <w:top w:val="nil"/>
              <w:left w:val="nil"/>
              <w:bottom w:val="nil"/>
              <w:right w:val="nil"/>
            </w:tcBorders>
            <w:tcMar>
              <w:top w:w="0" w:type="dxa"/>
              <w:left w:w="62" w:type="dxa"/>
              <w:bottom w:w="0" w:type="dxa"/>
              <w:right w:w="62" w:type="dxa"/>
            </w:tcMar>
          </w:tcPr>
          <w:p w:rsidR="00000000" w:rsidRPr="00A25F75" w:rsidP="00A25F75">
            <w:pPr>
              <w:pStyle w:val="BodyText"/>
            </w:pPr>
            <w:r w:rsidRPr="00A25F75">
              <w:t>Construction</w:t>
            </w:r>
          </w:p>
        </w:tc>
      </w:tr>
    </w:tbl>
    <w:p w:rsidR="00F90230" w:rsidP="00A25F75">
      <w:pPr>
        <w:pStyle w:val="BodyText"/>
      </w:pPr>
    </w:p>
    <w:p w:rsidR="00F90230" w:rsidP="00A25F75">
      <w:pPr>
        <w:pStyle w:val="BodyText"/>
      </w:pPr>
    </w:p>
    <w:p w:rsidR="00000000" w:rsidRPr="00A25F75" w:rsidP="00A25F75">
      <w:pPr>
        <w:pStyle w:val="Heading1"/>
      </w:pPr>
      <w:bookmarkStart w:id="13" w:name="O_198972"/>
      <w:bookmarkEnd w:id="13"/>
      <w:r w:rsidRPr="00A25F75">
        <w:t>Co-requisite units</w:t>
      </w:r>
    </w:p>
    <w:tbl>
      <w:tblPr>
        <w:tblW w:w="0" w:type="auto"/>
        <w:tblLayout w:type="fixed"/>
        <w:tblCellMar>
          <w:left w:w="62" w:type="dxa"/>
          <w:right w:w="62" w:type="dxa"/>
        </w:tblCellMar>
        <w:tblLook w:val="0000"/>
      </w:tblPr>
      <w:tblGrid>
        <w:gridCol w:w="2504"/>
        <w:gridCol w:w="1983"/>
        <w:gridCol w:w="4035"/>
      </w:tblGrid>
      <w:tr w:rsidTr="00F90230">
        <w:tblPrEx>
          <w:tblW w:w="0" w:type="auto"/>
          <w:tblLayout w:type="fixed"/>
          <w:tblCellMar>
            <w:left w:w="62" w:type="dxa"/>
            <w:right w:w="62" w:type="dxa"/>
          </w:tblCellMar>
          <w:tblLook w:val="0000"/>
        </w:tblPrEx>
        <w:trPr>
          <w:tblHeader/>
        </w:trPr>
        <w:tc>
          <w:tcPr>
            <w:tcW w:w="2504" w:type="dxa"/>
            <w:tcBorders>
              <w:top w:val="nil"/>
              <w:left w:val="nil"/>
              <w:bottom w:val="nil"/>
              <w:right w:val="nil"/>
            </w:tcBorders>
            <w:tcMar>
              <w:top w:w="0" w:type="dxa"/>
              <w:left w:w="62" w:type="dxa"/>
              <w:bottom w:w="0" w:type="dxa"/>
              <w:right w:w="62" w:type="dxa"/>
            </w:tcMar>
          </w:tcPr>
          <w:p w:rsidR="00000000" w:rsidP="00A25F75">
            <w:pPr>
              <w:pStyle w:val="BodyText"/>
              <w:rPr>
                <w:lang w:val="en-NZ"/>
              </w:rPr>
            </w:pPr>
            <w:r w:rsidRPr="00A25F75">
              <w:rPr>
                <w:rStyle w:val="SpecialBold"/>
              </w:rPr>
              <w:t>Co-requisite units</w:t>
            </w:r>
          </w:p>
        </w:tc>
        <w:tc>
          <w:tcPr>
            <w:tcW w:w="6018" w:type="dxa"/>
            <w:gridSpan w:val="2"/>
            <w:tcBorders>
              <w:top w:val="nil"/>
              <w:left w:val="nil"/>
              <w:bottom w:val="nil"/>
              <w:right w:val="nil"/>
            </w:tcBorders>
            <w:tcMar>
              <w:top w:w="0" w:type="dxa"/>
              <w:left w:w="62" w:type="dxa"/>
              <w:bottom w:w="0" w:type="dxa"/>
              <w:right w:w="62" w:type="dxa"/>
            </w:tcMar>
          </w:tcPr>
          <w:p w:rsidR="00000000" w:rsidP="00A25F75">
            <w:pPr>
              <w:pStyle w:val="BodyText"/>
              <w:rPr>
                <w:lang w:val="en-NZ"/>
              </w:rPr>
            </w:pPr>
            <w:r w:rsidRPr="00A25F75">
              <w:t>Nil</w:t>
            </w:r>
          </w:p>
        </w:tc>
      </w:tr>
      <w:tr w:rsidTr="00F90230">
        <w:tblPrEx>
          <w:tblW w:w="0" w:type="auto"/>
          <w:tblLayout w:type="fixed"/>
          <w:tblCellMar>
            <w:left w:w="62" w:type="dxa"/>
            <w:right w:w="62" w:type="dxa"/>
          </w:tblCellMar>
          <w:tblLook w:val="0000"/>
        </w:tblPrEx>
        <w:tc>
          <w:tcPr>
            <w:tcW w:w="25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035" w:type="dxa"/>
            <w:tcBorders>
              <w:top w:val="nil"/>
              <w:left w:val="nil"/>
              <w:bottom w:val="nil"/>
              <w:right w:val="nil"/>
            </w:tcBorders>
            <w:tcMar>
              <w:top w:w="0" w:type="dxa"/>
              <w:left w:w="62" w:type="dxa"/>
              <w:bottom w:w="0" w:type="dxa"/>
              <w:right w:w="62" w:type="dxa"/>
            </w:tcMar>
          </w:tcPr>
          <w:p w:rsidR="00000000" w:rsidRPr="00A25F75" w:rsidP="00A25F75">
            <w:pPr>
              <w:pStyle w:val="BodyText"/>
            </w:pPr>
          </w:p>
        </w:tc>
      </w:tr>
    </w:tbl>
    <w:p w:rsidR="00F90230" w:rsidP="00A25F75">
      <w:pPr>
        <w:pStyle w:val="BodyText"/>
      </w:pPr>
    </w:p>
    <w:p w:rsidR="00F90230" w:rsidP="00A25F75">
      <w:pPr>
        <w:pStyle w:val="BodyText"/>
      </w:pPr>
    </w:p>
    <w:p w:rsidR="00000000" w:rsidRPr="00A25F75" w:rsidP="00A25F75">
      <w:pPr>
        <w:pStyle w:val="Heading1"/>
      </w:pPr>
      <w:bookmarkStart w:id="14" w:name="O_198974"/>
      <w:bookmarkEnd w:id="14"/>
      <w:r w:rsidRPr="00A25F75">
        <w:t>Functional area</w:t>
      </w:r>
    </w:p>
    <w:tbl>
      <w:tblPr>
        <w:tblW w:w="0" w:type="auto"/>
        <w:tblLayout w:type="fixed"/>
        <w:tblCellMar>
          <w:left w:w="62" w:type="dxa"/>
          <w:right w:w="62" w:type="dxa"/>
        </w:tblCellMar>
        <w:tblLook w:val="0000"/>
      </w:tblPr>
      <w:tblGrid>
        <w:gridCol w:w="2593"/>
        <w:gridCol w:w="5929"/>
      </w:tblGrid>
      <w:tr w:rsidTr="00F90230">
        <w:tblPrEx>
          <w:tblW w:w="0" w:type="auto"/>
          <w:tblLayout w:type="fixed"/>
          <w:tblCellMar>
            <w:left w:w="62" w:type="dxa"/>
            <w:right w:w="62" w:type="dxa"/>
          </w:tblCellMar>
          <w:tblLook w:val="0000"/>
        </w:tblPrEx>
        <w:trPr>
          <w:tblHeader/>
        </w:trPr>
        <w:tc>
          <w:tcPr>
            <w:tcW w:w="2593" w:type="dxa"/>
            <w:tcBorders>
              <w:top w:val="nil"/>
              <w:left w:val="nil"/>
              <w:bottom w:val="nil"/>
              <w:right w:val="nil"/>
            </w:tcBorders>
            <w:tcMar>
              <w:top w:w="0" w:type="dxa"/>
              <w:left w:w="62" w:type="dxa"/>
              <w:bottom w:w="0" w:type="dxa"/>
              <w:right w:w="62" w:type="dxa"/>
            </w:tcMar>
          </w:tcPr>
          <w:p w:rsidR="00000000" w:rsidP="00A25F75">
            <w:pPr>
              <w:pStyle w:val="BodyText"/>
              <w:rPr>
                <w:lang w:val="en-NZ"/>
              </w:rPr>
            </w:pPr>
            <w:r w:rsidRPr="00A25F75">
              <w:rPr>
                <w:rStyle w:val="SpecialBold"/>
              </w:rPr>
              <w:t>Functional area</w:t>
            </w:r>
          </w:p>
        </w:tc>
        <w:tc>
          <w:tcPr>
            <w:tcW w:w="5929" w:type="dxa"/>
            <w:tcBorders>
              <w:top w:val="nil"/>
              <w:left w:val="nil"/>
              <w:bottom w:val="nil"/>
              <w:right w:val="nil"/>
            </w:tcBorders>
            <w:tcMar>
              <w:top w:w="0" w:type="dxa"/>
              <w:left w:w="62" w:type="dxa"/>
              <w:bottom w:w="0" w:type="dxa"/>
              <w:right w:w="62" w:type="dxa"/>
            </w:tcMar>
          </w:tcPr>
          <w:p w:rsidR="00000000" w:rsidRPr="00A25F75" w:rsidP="00A25F75">
            <w:pPr>
              <w:pStyle w:val="BodyText"/>
            </w:pPr>
          </w:p>
        </w:tc>
      </w:tr>
    </w:tbl>
    <w:p w:rsidR="00F90230" w:rsidP="00A25F75">
      <w:pPr>
        <w:pStyle w:val="BodyText"/>
      </w:pPr>
    </w:p>
    <w:p w:rsidR="00F90230" w:rsidP="00A25F75">
      <w:pPr>
        <w:pStyle w:val="BodyText"/>
      </w:pPr>
    </w:p>
    <w:p w:rsidR="00000000" w:rsidRPr="00A25F75" w:rsidP="00A25F75"/>
    <w:sectPr w:rsidSect="00A25F7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F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0230" w:rsidP="00F9023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F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230" w:rsidP="00A25F7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F90230" w:rsidP="00A25F7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F90230" w:rsidP="00A25F7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F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F75" w:rsidRPr="00F90230" w:rsidP="00F9023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F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230" w:rsidRPr="002D2AF8" w:rsidP="00A25F75">
    <w:pPr>
      <w:pStyle w:val="Header"/>
      <w:framePr w:wrap="around"/>
    </w:pPr>
    <w:r>
      <w:fldChar w:fldCharType="begin"/>
    </w:r>
    <w:r>
      <w:instrText xml:space="preserve"> TITLE   \* MERGEFORMAT </w:instrText>
    </w:r>
    <w:r>
      <w:fldChar w:fldCharType="separate"/>
    </w:r>
    <w:r>
      <w:t>CPCCSV5012A Assess timber-framed designs for one and two storey buildings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F90230" w:rsidP="00A25F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D141E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2286B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DA8A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5F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5F75"/>
    <w:pPr>
      <w:spacing w:before="360" w:after="60"/>
      <w:outlineLvl w:val="0"/>
    </w:pPr>
    <w:rPr>
      <w:sz w:val="32"/>
    </w:rPr>
  </w:style>
  <w:style w:type="paragraph" w:styleId="Heading2">
    <w:name w:val="heading 2"/>
    <w:basedOn w:val="HeadingBase"/>
    <w:next w:val="BodyText"/>
    <w:link w:val="Heading2Char"/>
    <w:qFormat/>
    <w:rsid w:val="00A25F75"/>
    <w:pPr>
      <w:keepLines/>
      <w:spacing w:before="240" w:after="120"/>
      <w:outlineLvl w:val="1"/>
    </w:pPr>
    <w:rPr>
      <w:sz w:val="28"/>
      <w:szCs w:val="40"/>
    </w:rPr>
  </w:style>
  <w:style w:type="paragraph" w:styleId="Heading3">
    <w:name w:val="heading 3"/>
    <w:basedOn w:val="HeadingBase"/>
    <w:next w:val="BodyText"/>
    <w:link w:val="Heading3Char"/>
    <w:qFormat/>
    <w:rsid w:val="00A25F75"/>
    <w:pPr>
      <w:spacing w:before="180" w:after="120"/>
      <w:outlineLvl w:val="2"/>
    </w:pPr>
    <w:rPr>
      <w:spacing w:val="-10"/>
      <w:kern w:val="32"/>
    </w:rPr>
  </w:style>
  <w:style w:type="paragraph" w:styleId="Heading4">
    <w:name w:val="heading 4"/>
    <w:basedOn w:val="HeadingBase"/>
    <w:next w:val="BodyText"/>
    <w:link w:val="Heading4Char"/>
    <w:qFormat/>
    <w:rsid w:val="00A25F75"/>
    <w:pPr>
      <w:spacing w:before="160" w:after="120"/>
      <w:outlineLvl w:val="3"/>
    </w:pPr>
    <w:rPr>
      <w:sz w:val="22"/>
    </w:rPr>
  </w:style>
  <w:style w:type="paragraph" w:styleId="Heading5">
    <w:name w:val="heading 5"/>
    <w:basedOn w:val="HeadingBase"/>
    <w:next w:val="Normal"/>
    <w:link w:val="Heading5Char"/>
    <w:qFormat/>
    <w:rsid w:val="00A25F75"/>
    <w:pPr>
      <w:spacing w:before="80"/>
      <w:outlineLvl w:val="4"/>
    </w:pPr>
    <w:rPr>
      <w:color w:val="918585"/>
      <w:sz w:val="20"/>
    </w:rPr>
  </w:style>
  <w:style w:type="paragraph" w:styleId="Heading6">
    <w:name w:val="heading 6"/>
    <w:basedOn w:val="HeadingBase"/>
    <w:next w:val="Normal"/>
    <w:link w:val="Heading6Char"/>
    <w:qFormat/>
    <w:rsid w:val="00A25F75"/>
    <w:pPr>
      <w:spacing w:before="60"/>
      <w:outlineLvl w:val="5"/>
    </w:pPr>
    <w:rPr>
      <w:color w:val="918585"/>
      <w:sz w:val="20"/>
    </w:rPr>
  </w:style>
  <w:style w:type="paragraph" w:styleId="Heading7">
    <w:name w:val="heading 7"/>
    <w:basedOn w:val="Normal"/>
    <w:next w:val="Normal"/>
    <w:link w:val="Heading7Char"/>
    <w:qFormat/>
    <w:rsid w:val="00A25F75"/>
    <w:pPr>
      <w:ind w:left="720"/>
      <w:outlineLvl w:val="6"/>
    </w:pPr>
    <w:rPr>
      <w:i/>
    </w:rPr>
  </w:style>
  <w:style w:type="paragraph" w:styleId="Heading8">
    <w:name w:val="heading 8"/>
    <w:basedOn w:val="Normal"/>
    <w:next w:val="Normal"/>
    <w:link w:val="Heading8Char"/>
    <w:qFormat/>
    <w:rsid w:val="00A25F75"/>
    <w:pPr>
      <w:ind w:left="720"/>
      <w:outlineLvl w:val="7"/>
    </w:pPr>
    <w:rPr>
      <w:i/>
    </w:rPr>
  </w:style>
  <w:style w:type="paragraph" w:styleId="Heading9">
    <w:name w:val="heading 9"/>
    <w:basedOn w:val="Normal"/>
    <w:next w:val="Normal"/>
    <w:link w:val="Heading9Char"/>
    <w:qFormat/>
    <w:rsid w:val="00A25F75"/>
    <w:pPr>
      <w:ind w:left="720"/>
      <w:outlineLvl w:val="8"/>
    </w:pPr>
    <w:rPr>
      <w:i/>
    </w:rPr>
  </w:style>
  <w:style w:type="character" w:default="1" w:styleId="DefaultParagraphFont">
    <w:name w:val="Default Paragraph Font"/>
    <w:uiPriority w:val="1"/>
    <w:unhideWhenUsed/>
    <w:rsid w:val="00A25F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5F75"/>
  </w:style>
  <w:style w:type="character" w:customStyle="1" w:styleId="Heading1Char">
    <w:name w:val="Heading 1 Char"/>
    <w:basedOn w:val="DefaultParagraphFont"/>
    <w:link w:val="Heading1"/>
    <w:rsid w:val="00A25F75"/>
    <w:rPr>
      <w:rFonts w:ascii="Times New Roman" w:eastAsia="Times New Roman" w:hAnsi="Times New Roman" w:cs="Times New Roman"/>
      <w:b/>
      <w:sz w:val="32"/>
      <w:szCs w:val="20"/>
      <w:lang w:eastAsia="en-US"/>
    </w:rPr>
  </w:style>
  <w:style w:type="paragraph" w:styleId="BodyText">
    <w:name w:val="Body Text"/>
    <w:basedOn w:val="Normal"/>
    <w:link w:val="BodyTextChar"/>
    <w:rsid w:val="00A25F7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25F75"/>
    <w:rPr>
      <w:rFonts w:ascii="Times New Roman" w:eastAsia="Times New Roman" w:hAnsi="Times New Roman" w:cs="Times New Roman"/>
      <w:sz w:val="24"/>
      <w:lang w:eastAsia="en-US"/>
    </w:rPr>
  </w:style>
  <w:style w:type="paragraph" w:styleId="Footer">
    <w:name w:val="footer"/>
    <w:basedOn w:val="Normal"/>
    <w:link w:val="FooterChar"/>
    <w:rsid w:val="00A25F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5F75"/>
    <w:rPr>
      <w:rFonts w:ascii="Times New Roman" w:eastAsia="Times New Roman" w:hAnsi="Times New Roman" w:cs="Times New Roman"/>
      <w:sz w:val="16"/>
      <w:lang w:eastAsia="en-US"/>
    </w:rPr>
  </w:style>
  <w:style w:type="paragraph" w:styleId="List">
    <w:name w:val="List"/>
    <w:basedOn w:val="BodyText"/>
    <w:next w:val="BodyText"/>
    <w:rsid w:val="00A25F75"/>
    <w:pPr>
      <w:tabs>
        <w:tab w:val="left" w:pos="340"/>
      </w:tabs>
      <w:spacing w:before="60" w:after="60"/>
      <w:ind w:left="340" w:hanging="340"/>
    </w:pPr>
  </w:style>
  <w:style w:type="paragraph" w:styleId="ListBullet">
    <w:name w:val="List Bullet"/>
    <w:basedOn w:val="List"/>
    <w:rsid w:val="00A25F75"/>
    <w:pPr>
      <w:numPr>
        <w:numId w:val="14"/>
      </w:numPr>
      <w:tabs>
        <w:tab w:val="clear" w:pos="340"/>
      </w:tabs>
      <w:spacing w:before="40" w:after="40"/>
    </w:pPr>
  </w:style>
  <w:style w:type="character" w:customStyle="1" w:styleId="SpecialBold">
    <w:name w:val="Special Bold"/>
    <w:basedOn w:val="DefaultParagraphFont"/>
    <w:rsid w:val="00A25F75"/>
    <w:rPr>
      <w:b/>
      <w:spacing w:val="0"/>
    </w:rPr>
  </w:style>
  <w:style w:type="paragraph" w:styleId="ListBullet2">
    <w:name w:val="List Bullet 2"/>
    <w:basedOn w:val="List2"/>
    <w:rsid w:val="00A25F75"/>
    <w:pPr>
      <w:numPr>
        <w:numId w:val="15"/>
      </w:numPr>
      <w:tabs>
        <w:tab w:val="clear" w:pos="680"/>
      </w:tabs>
    </w:pPr>
  </w:style>
  <w:style w:type="paragraph" w:customStyle="1" w:styleId="SuperHeading">
    <w:name w:val="SuperHeading"/>
    <w:basedOn w:val="Normal"/>
    <w:rsid w:val="00A25F75"/>
    <w:pPr>
      <w:spacing w:before="240" w:after="120"/>
      <w:outlineLvl w:val="0"/>
    </w:pPr>
    <w:rPr>
      <w:rFonts w:ascii="Times New Roman" w:hAnsi="Times New Roman"/>
      <w:b/>
      <w:sz w:val="28"/>
    </w:rPr>
  </w:style>
  <w:style w:type="paragraph" w:customStyle="1" w:styleId="AllowPageBreak">
    <w:name w:val="AllowPageBreak"/>
    <w:rsid w:val="00A25F7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25F75"/>
    <w:pPr>
      <w:tabs>
        <w:tab w:val="left" w:pos="680"/>
      </w:tabs>
      <w:spacing w:before="60" w:after="60"/>
      <w:ind w:left="680" w:hanging="340"/>
    </w:pPr>
  </w:style>
  <w:style w:type="paragraph" w:styleId="ListBullet3">
    <w:name w:val="List Bullet 3"/>
    <w:basedOn w:val="List3"/>
    <w:rsid w:val="00A25F75"/>
    <w:pPr>
      <w:numPr>
        <w:numId w:val="3"/>
      </w:numPr>
      <w:tabs>
        <w:tab w:val="clear" w:pos="1021"/>
      </w:tabs>
      <w:ind w:left="1037" w:hanging="357"/>
    </w:pPr>
  </w:style>
  <w:style w:type="character" w:customStyle="1" w:styleId="BoldandItalics">
    <w:name w:val="Bold and Italics"/>
    <w:qFormat/>
    <w:rsid w:val="00A25F75"/>
    <w:rPr>
      <w:b/>
      <w:i/>
      <w:u w:val="none"/>
    </w:rPr>
  </w:style>
  <w:style w:type="character" w:customStyle="1" w:styleId="Heading2Char">
    <w:name w:val="Heading 2 Char"/>
    <w:basedOn w:val="DefaultParagraphFont"/>
    <w:link w:val="Heading2"/>
    <w:rsid w:val="00A25F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5F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5F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5F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5F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5F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5F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5F75"/>
    <w:rPr>
      <w:rFonts w:ascii="Courier New" w:eastAsia="Times New Roman" w:hAnsi="Courier New" w:cs="Times New Roman"/>
      <w:i/>
      <w:szCs w:val="20"/>
      <w:lang w:eastAsia="en-US"/>
    </w:rPr>
  </w:style>
  <w:style w:type="paragraph" w:customStyle="1" w:styleId="HeadingBase">
    <w:name w:val="Heading Base"/>
    <w:rsid w:val="00A25F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5F75"/>
    <w:pPr>
      <w:tabs>
        <w:tab w:val="right" w:leader="dot" w:pos="9072"/>
      </w:tabs>
      <w:ind w:left="567"/>
    </w:pPr>
    <w:rPr>
      <w:szCs w:val="22"/>
    </w:rPr>
  </w:style>
  <w:style w:type="paragraph" w:customStyle="1" w:styleId="TOCBase">
    <w:name w:val="TOC Base"/>
    <w:rsid w:val="00A25F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5F75"/>
    <w:pPr>
      <w:tabs>
        <w:tab w:val="right" w:leader="dot" w:pos="9072"/>
      </w:tabs>
      <w:spacing w:before="40" w:after="40"/>
      <w:ind w:left="284"/>
    </w:pPr>
    <w:rPr>
      <w:rFonts w:ascii="Times New Roman" w:hAnsi="Times New Roman"/>
    </w:rPr>
  </w:style>
  <w:style w:type="paragraph" w:styleId="TOC1">
    <w:name w:val="toc 1"/>
    <w:basedOn w:val="TOCBase"/>
    <w:next w:val="Normal"/>
    <w:rsid w:val="00A25F7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25F75"/>
    <w:pPr>
      <w:spacing w:before="5040"/>
      <w:jc w:val="center"/>
    </w:pPr>
    <w:rPr>
      <w:sz w:val="48"/>
      <w:szCs w:val="72"/>
      <w:lang w:val="en-US"/>
    </w:rPr>
  </w:style>
  <w:style w:type="character" w:customStyle="1" w:styleId="TitleChar">
    <w:name w:val="Title Char"/>
    <w:basedOn w:val="DefaultParagraphFont"/>
    <w:link w:val="Title"/>
    <w:rsid w:val="00A25F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5F75"/>
    <w:pPr>
      <w:tabs>
        <w:tab w:val="left" w:pos="3600"/>
        <w:tab w:val="left" w:pos="3958"/>
      </w:tabs>
    </w:pPr>
  </w:style>
  <w:style w:type="paragraph" w:customStyle="1" w:styleId="Note">
    <w:name w:val="Note"/>
    <w:basedOn w:val="BodyText"/>
    <w:rsid w:val="00A25F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5F75"/>
    <w:pPr>
      <w:framePr w:wrap="auto" w:hAnchor="text" w:y="6049"/>
    </w:pPr>
    <w:rPr>
      <w:color w:val="000000"/>
      <w:sz w:val="40"/>
    </w:rPr>
  </w:style>
  <w:style w:type="paragraph" w:customStyle="1" w:styleId="TOCTitle">
    <w:name w:val="TOCTitle"/>
    <w:basedOn w:val="Heading1"/>
    <w:rsid w:val="00A25F75"/>
    <w:pPr>
      <w:spacing w:after="240"/>
      <w:jc w:val="center"/>
      <w:outlineLvl w:val="9"/>
    </w:pPr>
    <w:rPr>
      <w:caps/>
    </w:rPr>
  </w:style>
  <w:style w:type="paragraph" w:customStyle="1" w:styleId="Version">
    <w:name w:val="Version"/>
    <w:rsid w:val="00A25F7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25F75"/>
    <w:pPr>
      <w:keepNext w:val="0"/>
      <w:tabs>
        <w:tab w:val="right" w:pos="4176"/>
      </w:tabs>
      <w:ind w:left="198" w:hanging="198"/>
    </w:pPr>
    <w:rPr>
      <w:rFonts w:ascii="Garamond" w:hAnsi="Garamond"/>
    </w:rPr>
  </w:style>
  <w:style w:type="paragraph" w:styleId="IndexHeading">
    <w:name w:val="index heading"/>
    <w:basedOn w:val="Normal"/>
    <w:next w:val="Index1"/>
    <w:semiHidden/>
    <w:rsid w:val="00A25F75"/>
    <w:pPr>
      <w:spacing w:before="120" w:after="120"/>
    </w:pPr>
    <w:rPr>
      <w:rFonts w:ascii="Arial" w:hAnsi="Arial"/>
      <w:b/>
      <w:color w:val="918585"/>
      <w:sz w:val="24"/>
    </w:rPr>
  </w:style>
  <w:style w:type="paragraph" w:styleId="Header">
    <w:name w:val="header"/>
    <w:basedOn w:val="Normal"/>
    <w:link w:val="HeaderChar"/>
    <w:rsid w:val="00A25F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5F75"/>
    <w:rPr>
      <w:rFonts w:ascii="Times New Roman" w:eastAsia="Times New Roman" w:hAnsi="Times New Roman" w:cs="Times New Roman"/>
      <w:sz w:val="16"/>
      <w:szCs w:val="20"/>
      <w:lang w:val="en-GB" w:eastAsia="en-US"/>
    </w:rPr>
  </w:style>
  <w:style w:type="paragraph" w:customStyle="1" w:styleId="Chapter">
    <w:name w:val="Chapter"/>
    <w:basedOn w:val="Normal"/>
    <w:rsid w:val="00A25F75"/>
    <w:pPr>
      <w:spacing w:before="240"/>
    </w:pPr>
    <w:rPr>
      <w:rFonts w:ascii="Times New Roman" w:hAnsi="Times New Roman"/>
      <w:smallCaps/>
      <w:spacing w:val="80"/>
      <w:sz w:val="28"/>
    </w:rPr>
  </w:style>
  <w:style w:type="paragraph" w:customStyle="1" w:styleId="InChapter">
    <w:name w:val="InChapter"/>
    <w:basedOn w:val="Heading3"/>
    <w:rsid w:val="00A25F75"/>
    <w:pPr>
      <w:spacing w:after="240"/>
      <w:outlineLvl w:val="9"/>
    </w:pPr>
    <w:rPr>
      <w:noProof/>
    </w:rPr>
  </w:style>
  <w:style w:type="paragraph" w:styleId="Index2">
    <w:name w:val="index 2"/>
    <w:basedOn w:val="Normal"/>
    <w:next w:val="Normal"/>
    <w:semiHidden/>
    <w:rsid w:val="00A25F75"/>
    <w:pPr>
      <w:tabs>
        <w:tab w:val="right" w:pos="4176"/>
      </w:tabs>
      <w:ind w:left="568" w:hanging="284"/>
    </w:pPr>
    <w:rPr>
      <w:rFonts w:ascii="Garamond" w:hAnsi="Garamond"/>
    </w:rPr>
  </w:style>
  <w:style w:type="paragraph" w:customStyle="1" w:styleId="Byline">
    <w:name w:val="Byline"/>
    <w:rsid w:val="00A25F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5F75"/>
    <w:pPr>
      <w:tabs>
        <w:tab w:val="clear" w:pos="3600"/>
        <w:tab w:val="clear" w:pos="3958"/>
      </w:tabs>
      <w:jc w:val="right"/>
    </w:pPr>
  </w:style>
  <w:style w:type="character" w:styleId="Emphasis">
    <w:name w:val="Emphasis"/>
    <w:basedOn w:val="DefaultParagraphFont"/>
    <w:qFormat/>
    <w:rsid w:val="00A25F75"/>
    <w:rPr>
      <w:i/>
    </w:rPr>
  </w:style>
  <w:style w:type="paragraph" w:styleId="Caption">
    <w:name w:val="caption"/>
    <w:basedOn w:val="BodyText"/>
    <w:next w:val="Normal"/>
    <w:qFormat/>
    <w:rsid w:val="00A25F75"/>
    <w:pPr>
      <w:framePr w:w="2268" w:hSpace="181" w:vSpace="181" w:wrap="around" w:vAnchor="text" w:hAnchor="page" w:x="1135" w:y="285" w:anchorLock="1"/>
    </w:pPr>
    <w:rPr>
      <w:i/>
    </w:rPr>
  </w:style>
  <w:style w:type="paragraph" w:customStyle="1" w:styleId="MiniTOCTitle">
    <w:name w:val="MiniTOCTitle"/>
    <w:basedOn w:val="Heading4"/>
    <w:rsid w:val="00A25F75"/>
    <w:pPr>
      <w:spacing w:before="240"/>
      <w:outlineLvl w:val="9"/>
    </w:pPr>
    <w:rPr>
      <w:noProof/>
      <w:sz w:val="24"/>
    </w:rPr>
  </w:style>
  <w:style w:type="paragraph" w:customStyle="1" w:styleId="MiniTOCItem">
    <w:name w:val="MiniTOCItem"/>
    <w:basedOn w:val="ListBullet"/>
    <w:rsid w:val="00A25F75"/>
    <w:pPr>
      <w:numPr>
        <w:numId w:val="0"/>
      </w:numPr>
      <w:tabs>
        <w:tab w:val="right" w:leader="dot" w:pos="6521"/>
      </w:tabs>
      <w:spacing w:before="0" w:after="0"/>
    </w:pPr>
  </w:style>
  <w:style w:type="paragraph" w:customStyle="1" w:styleId="TOFTitle">
    <w:name w:val="TOFTitle"/>
    <w:basedOn w:val="TOCTitle"/>
    <w:rsid w:val="00A25F75"/>
  </w:style>
  <w:style w:type="paragraph" w:styleId="TableofFigures">
    <w:name w:val="table of figures"/>
    <w:basedOn w:val="Normal"/>
    <w:next w:val="Normal"/>
    <w:semiHidden/>
    <w:rsid w:val="00A25F75"/>
    <w:pPr>
      <w:tabs>
        <w:tab w:val="right" w:leader="dot" w:pos="9072"/>
      </w:tabs>
      <w:ind w:left="970" w:hanging="403"/>
    </w:pPr>
    <w:rPr>
      <w:rFonts w:ascii="Times New Roman" w:hAnsi="Times New Roman"/>
      <w:b/>
    </w:rPr>
  </w:style>
  <w:style w:type="paragraph" w:styleId="ListNumber">
    <w:name w:val="List Number"/>
    <w:basedOn w:val="List"/>
    <w:rsid w:val="00A25F75"/>
    <w:pPr>
      <w:numPr>
        <w:numId w:val="12"/>
      </w:numPr>
    </w:pPr>
  </w:style>
  <w:style w:type="character" w:customStyle="1" w:styleId="WingdingSymbols">
    <w:name w:val="Wingding Symbols"/>
    <w:rsid w:val="00A25F75"/>
    <w:rPr>
      <w:rFonts w:ascii="Wingdings" w:hAnsi="Wingdings"/>
    </w:rPr>
  </w:style>
  <w:style w:type="paragraph" w:customStyle="1" w:styleId="TableHeading">
    <w:name w:val="Table Heading"/>
    <w:basedOn w:val="HeadingBase"/>
    <w:rsid w:val="00A25F75"/>
    <w:pPr>
      <w:keepLines/>
      <w:pBdr>
        <w:bottom w:val="single" w:sz="6" w:space="1" w:color="918585"/>
      </w:pBdr>
      <w:spacing w:before="240"/>
    </w:pPr>
  </w:style>
  <w:style w:type="character" w:customStyle="1" w:styleId="HotSpot">
    <w:name w:val="HotSpot"/>
    <w:rsid w:val="00A25F75"/>
    <w:rPr>
      <w:color w:val="0033CC"/>
      <w:u w:val="none"/>
    </w:rPr>
  </w:style>
  <w:style w:type="paragraph" w:customStyle="1" w:styleId="BodyTextRight">
    <w:name w:val="Body Text Right"/>
    <w:basedOn w:val="BodyText"/>
    <w:rsid w:val="00A25F75"/>
    <w:pPr>
      <w:spacing w:before="0" w:after="0"/>
      <w:jc w:val="right"/>
    </w:pPr>
  </w:style>
  <w:style w:type="paragraph" w:styleId="Index3">
    <w:name w:val="index 3"/>
    <w:basedOn w:val="ListNumber2"/>
    <w:next w:val="Normal"/>
    <w:semiHidden/>
    <w:rsid w:val="00A25F75"/>
    <w:pPr>
      <w:numPr>
        <w:numId w:val="0"/>
      </w:numPr>
      <w:tabs>
        <w:tab w:val="right" w:leader="dot" w:pos="4176"/>
      </w:tabs>
    </w:pPr>
  </w:style>
  <w:style w:type="paragraph" w:styleId="ListNumber2">
    <w:name w:val="List Number 2"/>
    <w:basedOn w:val="List2"/>
    <w:rsid w:val="00A25F75"/>
    <w:pPr>
      <w:numPr>
        <w:numId w:val="11"/>
      </w:numPr>
      <w:tabs>
        <w:tab w:val="clear" w:pos="1060"/>
      </w:tabs>
    </w:pPr>
  </w:style>
  <w:style w:type="paragraph" w:customStyle="1" w:styleId="MarginNote">
    <w:name w:val="Margin Note"/>
    <w:basedOn w:val="BodyText"/>
    <w:rsid w:val="00A25F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5F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5F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5F75"/>
    <w:rPr>
      <w:sz w:val="32"/>
    </w:rPr>
  </w:style>
  <w:style w:type="paragraph" w:customStyle="1" w:styleId="HeadingProcedure">
    <w:name w:val="Heading Procedure"/>
    <w:basedOn w:val="HeadingBase"/>
    <w:next w:val="Normal"/>
    <w:rsid w:val="00A25F75"/>
    <w:pPr>
      <w:tabs>
        <w:tab w:val="left" w:pos="0"/>
      </w:tabs>
      <w:spacing w:before="120" w:after="60"/>
    </w:pPr>
    <w:rPr>
      <w:i/>
      <w:color w:val="918585"/>
      <w:sz w:val="22"/>
    </w:rPr>
  </w:style>
  <w:style w:type="paragraph" w:customStyle="1" w:styleId="TableBodyText">
    <w:name w:val="Table Body Text"/>
    <w:basedOn w:val="BodyText"/>
    <w:rsid w:val="00A25F75"/>
    <w:pPr>
      <w:spacing w:before="60" w:after="60"/>
    </w:pPr>
  </w:style>
  <w:style w:type="paragraph" w:styleId="ListContinue">
    <w:name w:val="List Continue"/>
    <w:basedOn w:val="List"/>
    <w:rsid w:val="00A25F75"/>
    <w:pPr>
      <w:ind w:firstLine="0"/>
    </w:pPr>
  </w:style>
  <w:style w:type="paragraph" w:customStyle="1" w:styleId="ListNote">
    <w:name w:val="List Note"/>
    <w:basedOn w:val="List"/>
    <w:rsid w:val="00A25F75"/>
    <w:pPr>
      <w:pBdr>
        <w:top w:val="single" w:sz="6" w:space="2" w:color="918585"/>
        <w:bottom w:val="single" w:sz="6" w:space="2" w:color="918585"/>
      </w:pBdr>
      <w:tabs>
        <w:tab w:val="left" w:pos="1021"/>
      </w:tabs>
      <w:ind w:firstLine="0"/>
    </w:pPr>
  </w:style>
  <w:style w:type="paragraph" w:customStyle="1" w:styleId="Warning">
    <w:name w:val="Warning"/>
    <w:basedOn w:val="BodyText"/>
    <w:rsid w:val="00A25F75"/>
    <w:pPr>
      <w:shd w:val="clear" w:color="auto" w:fill="D9D9D9"/>
      <w:tabs>
        <w:tab w:val="left" w:pos="992"/>
      </w:tabs>
      <w:ind w:left="119" w:right="119"/>
    </w:pPr>
    <w:rPr>
      <w:sz w:val="20"/>
    </w:rPr>
  </w:style>
  <w:style w:type="paragraph" w:customStyle="1" w:styleId="MarginIcons">
    <w:name w:val="Margin Icons"/>
    <w:basedOn w:val="BodyText"/>
    <w:rsid w:val="00A25F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5F75"/>
    <w:rPr>
      <w:rFonts w:ascii="Courier New" w:hAnsi="Courier New"/>
    </w:rPr>
  </w:style>
  <w:style w:type="paragraph" w:customStyle="1" w:styleId="NoteBullet">
    <w:name w:val="Note Bullet"/>
    <w:basedOn w:val="Note"/>
    <w:rsid w:val="00A25F75"/>
    <w:pPr>
      <w:tabs>
        <w:tab w:val="clear" w:pos="680"/>
      </w:tabs>
      <w:spacing w:before="60" w:after="60"/>
    </w:pPr>
  </w:style>
  <w:style w:type="paragraph" w:customStyle="1" w:styleId="SubHeading2">
    <w:name w:val="SubHeading2"/>
    <w:basedOn w:val="HeadingBase"/>
    <w:rsid w:val="00A25F75"/>
    <w:pPr>
      <w:spacing w:before="240" w:after="60"/>
    </w:pPr>
    <w:rPr>
      <w:sz w:val="20"/>
    </w:rPr>
  </w:style>
  <w:style w:type="paragraph" w:customStyle="1" w:styleId="SubHeading1">
    <w:name w:val="SubHeading1"/>
    <w:basedOn w:val="HeadingBase"/>
    <w:rsid w:val="00A25F75"/>
    <w:pPr>
      <w:spacing w:before="240" w:after="60"/>
    </w:pPr>
    <w:rPr>
      <w:color w:val="918585"/>
      <w:sz w:val="22"/>
    </w:rPr>
  </w:style>
  <w:style w:type="paragraph" w:customStyle="1" w:styleId="SideHeading">
    <w:name w:val="Side Heading"/>
    <w:basedOn w:val="HeadingBase"/>
    <w:rsid w:val="00A25F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5F75"/>
    <w:pPr>
      <w:numPr>
        <w:numId w:val="13"/>
      </w:numPr>
    </w:pPr>
  </w:style>
  <w:style w:type="paragraph" w:styleId="PlainText">
    <w:name w:val="Plain Text"/>
    <w:basedOn w:val="Normal"/>
    <w:link w:val="PlainTextChar"/>
    <w:rsid w:val="00A25F75"/>
    <w:rPr>
      <w:sz w:val="20"/>
    </w:rPr>
  </w:style>
  <w:style w:type="character" w:customStyle="1" w:styleId="PlainTextChar">
    <w:name w:val="Plain Text Char"/>
    <w:basedOn w:val="DefaultParagraphFont"/>
    <w:link w:val="PlainText"/>
    <w:rsid w:val="00A25F75"/>
    <w:rPr>
      <w:rFonts w:ascii="Courier New" w:eastAsia="Times New Roman" w:hAnsi="Courier New" w:cs="Times New Roman"/>
      <w:sz w:val="20"/>
      <w:szCs w:val="20"/>
      <w:lang w:eastAsia="en-US"/>
    </w:rPr>
  </w:style>
  <w:style w:type="character" w:customStyle="1" w:styleId="MenuOption">
    <w:name w:val="Menu Option"/>
    <w:basedOn w:val="DefaultParagraphFont"/>
    <w:rsid w:val="00A25F75"/>
    <w:rPr>
      <w:b/>
      <w:smallCaps/>
    </w:rPr>
  </w:style>
  <w:style w:type="paragraph" w:customStyle="1" w:styleId="TableListNumber">
    <w:name w:val="Table List Number"/>
    <w:basedOn w:val="ListNumber"/>
    <w:rsid w:val="00A25F75"/>
    <w:pPr>
      <w:numPr>
        <w:numId w:val="0"/>
      </w:numPr>
    </w:pPr>
  </w:style>
  <w:style w:type="paragraph" w:styleId="TOC4">
    <w:name w:val="toc 4"/>
    <w:basedOn w:val="TOCBase"/>
    <w:next w:val="Normal"/>
    <w:semiHidden/>
    <w:rsid w:val="00A25F75"/>
    <w:pPr>
      <w:tabs>
        <w:tab w:val="right" w:leader="dot" w:pos="9071"/>
      </w:tabs>
      <w:ind w:left="1701"/>
    </w:pPr>
  </w:style>
  <w:style w:type="paragraph" w:customStyle="1" w:styleId="ListAlpha">
    <w:name w:val="List Alpha"/>
    <w:basedOn w:val="List"/>
    <w:rsid w:val="00A25F75"/>
    <w:pPr>
      <w:numPr>
        <w:numId w:val="10"/>
      </w:numPr>
    </w:pPr>
  </w:style>
  <w:style w:type="paragraph" w:customStyle="1" w:styleId="ListAlpha2">
    <w:name w:val="List Alpha 2"/>
    <w:basedOn w:val="List2"/>
    <w:rsid w:val="00A25F75"/>
    <w:pPr>
      <w:numPr>
        <w:numId w:val="9"/>
      </w:numPr>
    </w:pPr>
  </w:style>
  <w:style w:type="paragraph" w:styleId="List3">
    <w:name w:val="List 3"/>
    <w:basedOn w:val="BodyText"/>
    <w:rsid w:val="00A25F75"/>
    <w:pPr>
      <w:tabs>
        <w:tab w:val="left" w:pos="1021"/>
      </w:tabs>
      <w:spacing w:before="60" w:after="60"/>
      <w:ind w:left="1020" w:hanging="340"/>
    </w:pPr>
  </w:style>
  <w:style w:type="paragraph" w:styleId="List4">
    <w:name w:val="List 4"/>
    <w:basedOn w:val="BodyText"/>
    <w:rsid w:val="00A25F75"/>
    <w:pPr>
      <w:tabs>
        <w:tab w:val="left" w:pos="1361"/>
      </w:tabs>
      <w:spacing w:before="60" w:after="60"/>
      <w:ind w:left="1361" w:hanging="340"/>
    </w:pPr>
  </w:style>
  <w:style w:type="paragraph" w:styleId="List5">
    <w:name w:val="List 5"/>
    <w:basedOn w:val="BodyText"/>
    <w:rsid w:val="00A25F75"/>
    <w:pPr>
      <w:tabs>
        <w:tab w:val="left" w:pos="1701"/>
      </w:tabs>
      <w:spacing w:before="60" w:after="60"/>
      <w:ind w:left="1701" w:hanging="340"/>
    </w:pPr>
  </w:style>
  <w:style w:type="paragraph" w:styleId="ListBullet4">
    <w:name w:val="List Bullet 4"/>
    <w:basedOn w:val="List4"/>
    <w:rsid w:val="00A25F75"/>
    <w:pPr>
      <w:numPr>
        <w:numId w:val="4"/>
      </w:numPr>
    </w:pPr>
  </w:style>
  <w:style w:type="paragraph" w:styleId="ListBullet5">
    <w:name w:val="List Bullet 5"/>
    <w:basedOn w:val="List5"/>
    <w:rsid w:val="00A25F75"/>
    <w:pPr>
      <w:numPr>
        <w:numId w:val="5"/>
      </w:numPr>
    </w:pPr>
  </w:style>
  <w:style w:type="paragraph" w:styleId="ListContinue2">
    <w:name w:val="List Continue 2"/>
    <w:basedOn w:val="List2"/>
    <w:rsid w:val="00A25F75"/>
    <w:pPr>
      <w:ind w:firstLine="0"/>
    </w:pPr>
  </w:style>
  <w:style w:type="paragraph" w:styleId="ListContinue3">
    <w:name w:val="List Continue 3"/>
    <w:basedOn w:val="List3"/>
    <w:rsid w:val="00A25F75"/>
    <w:pPr>
      <w:ind w:left="1021" w:firstLine="0"/>
    </w:pPr>
  </w:style>
  <w:style w:type="paragraph" w:styleId="ListContinue4">
    <w:name w:val="List Continue 4"/>
    <w:basedOn w:val="List4"/>
    <w:rsid w:val="00A25F75"/>
    <w:pPr>
      <w:ind w:firstLine="0"/>
    </w:pPr>
  </w:style>
  <w:style w:type="paragraph" w:styleId="ListContinue5">
    <w:name w:val="List Continue 5"/>
    <w:basedOn w:val="List5"/>
    <w:rsid w:val="00A25F75"/>
    <w:pPr>
      <w:ind w:firstLine="0"/>
    </w:pPr>
  </w:style>
  <w:style w:type="paragraph" w:styleId="ListNumber3">
    <w:name w:val="List Number 3"/>
    <w:basedOn w:val="List3"/>
    <w:rsid w:val="00A25F75"/>
    <w:pPr>
      <w:numPr>
        <w:numId w:val="6"/>
      </w:numPr>
    </w:pPr>
  </w:style>
  <w:style w:type="paragraph" w:styleId="ListNumber4">
    <w:name w:val="List Number 4"/>
    <w:basedOn w:val="List4"/>
    <w:rsid w:val="00A25F75"/>
    <w:pPr>
      <w:numPr>
        <w:numId w:val="7"/>
      </w:numPr>
    </w:pPr>
  </w:style>
  <w:style w:type="paragraph" w:styleId="ListNumber5">
    <w:name w:val="List Number 5"/>
    <w:basedOn w:val="List5"/>
    <w:rsid w:val="00A25F75"/>
    <w:pPr>
      <w:numPr>
        <w:numId w:val="8"/>
      </w:numPr>
    </w:pPr>
  </w:style>
  <w:style w:type="paragraph" w:styleId="BlockText">
    <w:name w:val="Block Text"/>
    <w:basedOn w:val="Normal"/>
    <w:rsid w:val="00A25F75"/>
    <w:pPr>
      <w:spacing w:after="120"/>
      <w:ind w:left="1440" w:right="1440"/>
    </w:pPr>
  </w:style>
  <w:style w:type="character" w:customStyle="1" w:styleId="Subscript">
    <w:name w:val="Subscript"/>
    <w:basedOn w:val="DefaultParagraphFont"/>
    <w:rsid w:val="00A25F75"/>
    <w:rPr>
      <w:sz w:val="16"/>
      <w:vertAlign w:val="subscript"/>
    </w:rPr>
  </w:style>
  <w:style w:type="character" w:customStyle="1" w:styleId="Superscript">
    <w:name w:val="Superscript"/>
    <w:basedOn w:val="DefaultParagraphFont"/>
    <w:rsid w:val="00A25F75"/>
    <w:rPr>
      <w:sz w:val="16"/>
      <w:vertAlign w:val="superscript"/>
    </w:rPr>
  </w:style>
  <w:style w:type="character" w:customStyle="1" w:styleId="Symbols">
    <w:name w:val="Symbols"/>
    <w:basedOn w:val="DefaultParagraphFont"/>
    <w:rsid w:val="00A25F75"/>
    <w:rPr>
      <w:rFonts w:ascii="Symbol" w:hAnsi="Symbol"/>
    </w:rPr>
  </w:style>
  <w:style w:type="character" w:customStyle="1" w:styleId="MenuOptions">
    <w:name w:val="Menu Options"/>
    <w:basedOn w:val="DefaultParagraphFont"/>
    <w:rsid w:val="00A25F75"/>
    <w:rPr>
      <w:rFonts w:ascii="Arial Narrow" w:hAnsi="Arial Narrow"/>
      <w:smallCaps/>
    </w:rPr>
  </w:style>
  <w:style w:type="character" w:customStyle="1" w:styleId="Buttons">
    <w:name w:val="Buttons"/>
    <w:basedOn w:val="DefaultParagraphFont"/>
    <w:rsid w:val="00A25F75"/>
    <w:rPr>
      <w:b/>
    </w:rPr>
  </w:style>
  <w:style w:type="character" w:customStyle="1" w:styleId="Underlined">
    <w:name w:val="Underlined"/>
    <w:basedOn w:val="DefaultParagraphFont"/>
    <w:rsid w:val="00A25F75"/>
    <w:rPr>
      <w:u w:val="single"/>
    </w:rPr>
  </w:style>
  <w:style w:type="paragraph" w:customStyle="1" w:styleId="TableBodyTextRight">
    <w:name w:val="Table Body Text Right"/>
    <w:basedOn w:val="TableBodyText"/>
    <w:rsid w:val="00A25F75"/>
    <w:pPr>
      <w:widowControl w:val="0"/>
      <w:autoSpaceDE w:val="0"/>
      <w:autoSpaceDN w:val="0"/>
      <w:adjustRightInd w:val="0"/>
      <w:jc w:val="right"/>
    </w:pPr>
    <w:rPr>
      <w:rFonts w:cs="Arial"/>
      <w:szCs w:val="18"/>
    </w:rPr>
  </w:style>
  <w:style w:type="paragraph" w:customStyle="1" w:styleId="CopyrightText">
    <w:name w:val="Copyright Text"/>
    <w:basedOn w:val="BodyText"/>
    <w:rsid w:val="00A25F75"/>
    <w:rPr>
      <w:sz w:val="18"/>
    </w:rPr>
  </w:style>
  <w:style w:type="paragraph" w:customStyle="1" w:styleId="BodySmallRight">
    <w:name w:val="Body Small Right"/>
    <w:basedOn w:val="BodyTextRight"/>
    <w:rsid w:val="00A25F75"/>
    <w:rPr>
      <w:sz w:val="18"/>
      <w:szCs w:val="18"/>
    </w:rPr>
  </w:style>
  <w:style w:type="paragraph" w:customStyle="1" w:styleId="MarginEdition">
    <w:name w:val="Margin Edition"/>
    <w:basedOn w:val="MarginNote"/>
    <w:rsid w:val="00A25F75"/>
    <w:pPr>
      <w:spacing w:before="0" w:after="0"/>
    </w:pPr>
    <w:rPr>
      <w:rFonts w:ascii="Times New Roman" w:hAnsi="Times New Roman"/>
      <w:color w:val="999999"/>
    </w:rPr>
  </w:style>
  <w:style w:type="paragraph" w:customStyle="1" w:styleId="Spacer">
    <w:name w:val="Spacer"/>
    <w:basedOn w:val="Normal"/>
    <w:rsid w:val="00A25F75"/>
    <w:rPr>
      <w:sz w:val="2"/>
      <w:szCs w:val="2"/>
    </w:rPr>
  </w:style>
  <w:style w:type="character" w:customStyle="1" w:styleId="Small">
    <w:name w:val="Small"/>
    <w:basedOn w:val="DefaultParagraphFont"/>
    <w:rsid w:val="00A25F75"/>
    <w:rPr>
      <w:sz w:val="16"/>
    </w:rPr>
  </w:style>
  <w:style w:type="paragraph" w:customStyle="1" w:styleId="WideTable">
    <w:name w:val="Wide Table"/>
    <w:basedOn w:val="Normal"/>
    <w:rsid w:val="00A25F75"/>
    <w:pPr>
      <w:ind w:left="-1418"/>
    </w:pPr>
    <w:rPr>
      <w:sz w:val="2"/>
      <w:szCs w:val="2"/>
    </w:rPr>
  </w:style>
  <w:style w:type="character" w:styleId="PageNumber">
    <w:name w:val="page number"/>
    <w:basedOn w:val="DefaultParagraphFont"/>
    <w:rsid w:val="00A25F75"/>
  </w:style>
  <w:style w:type="paragraph" w:styleId="Quote">
    <w:name w:val="Quote"/>
    <w:basedOn w:val="Heading1"/>
    <w:link w:val="QuoteChar"/>
    <w:qFormat/>
    <w:rsid w:val="00A25F75"/>
    <w:rPr>
      <w:b w:val="0"/>
      <w:sz w:val="72"/>
      <w:szCs w:val="72"/>
      <w:lang w:val="en-NZ"/>
    </w:rPr>
  </w:style>
  <w:style w:type="character" w:customStyle="1" w:styleId="QuoteChar">
    <w:name w:val="Quote Char"/>
    <w:basedOn w:val="DefaultParagraphFont"/>
    <w:link w:val="Quote"/>
    <w:rsid w:val="00A25F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5F75"/>
    <w:pPr>
      <w:pageBreakBefore/>
    </w:pPr>
  </w:style>
  <w:style w:type="paragraph" w:customStyle="1" w:styleId="Border">
    <w:name w:val="Border"/>
    <w:basedOn w:val="Normal"/>
    <w:qFormat/>
    <w:rsid w:val="00A25F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5F75"/>
    <w:rPr>
      <w:b/>
      <w:bCs/>
      <w:i/>
      <w:iCs/>
      <w:color w:val="auto"/>
    </w:rPr>
  </w:style>
  <w:style w:type="paragraph" w:styleId="IntenseQuote">
    <w:name w:val="Intense Quote"/>
    <w:basedOn w:val="Normal"/>
    <w:next w:val="Normal"/>
    <w:link w:val="IntenseQuoteChar"/>
    <w:uiPriority w:val="30"/>
    <w:qFormat/>
    <w:rsid w:val="00A25F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5F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5F75"/>
    <w:rPr>
      <w:smallCaps/>
      <w:color w:val="auto"/>
      <w:u w:val="single"/>
    </w:rPr>
  </w:style>
  <w:style w:type="character" w:styleId="IntenseReference">
    <w:name w:val="Intense Reference"/>
    <w:basedOn w:val="DefaultParagraphFont"/>
    <w:uiPriority w:val="32"/>
    <w:qFormat/>
    <w:rsid w:val="00A25F75"/>
    <w:rPr>
      <w:b/>
      <w:bCs/>
      <w:smallCaps/>
      <w:color w:val="auto"/>
      <w:spacing w:val="5"/>
      <w:u w:val="single"/>
    </w:rPr>
  </w:style>
  <w:style w:type="paragraph" w:customStyle="1" w:styleId="2ColumnHeading">
    <w:name w:val="2Column Heading"/>
    <w:basedOn w:val="BodyText"/>
    <w:qFormat/>
    <w:rsid w:val="00A25F75"/>
    <w:pPr>
      <w:spacing w:after="60"/>
      <w:ind w:left="-2268"/>
    </w:pPr>
    <w:rPr>
      <w:b/>
    </w:rPr>
  </w:style>
  <w:style w:type="paragraph" w:customStyle="1" w:styleId="Heading1TOC">
    <w:name w:val="Heading1 TOC"/>
    <w:basedOn w:val="Normal"/>
    <w:qFormat/>
    <w:rsid w:val="00A25F75"/>
    <w:pPr>
      <w:spacing w:before="240" w:after="120"/>
    </w:pPr>
    <w:rPr>
      <w:rFonts w:ascii="Times New Roman" w:hAnsi="Times New Roman"/>
      <w:b/>
      <w:sz w:val="32"/>
    </w:rPr>
  </w:style>
  <w:style w:type="paragraph" w:customStyle="1" w:styleId="Heading2TOC">
    <w:name w:val="Heading2 TOC"/>
    <w:basedOn w:val="Normal"/>
    <w:qFormat/>
    <w:rsid w:val="00A25F75"/>
    <w:pPr>
      <w:spacing w:before="240" w:after="60"/>
    </w:pPr>
    <w:rPr>
      <w:rFonts w:ascii="Times New Roman" w:hAnsi="Times New Roman"/>
      <w:b/>
      <w:sz w:val="28"/>
    </w:rPr>
  </w:style>
  <w:style w:type="character" w:customStyle="1" w:styleId="Underline">
    <w:name w:val="Underline"/>
    <w:basedOn w:val="DefaultParagraphFont"/>
    <w:qFormat/>
    <w:rsid w:val="00A25F75"/>
    <w:rPr>
      <w:u w:val="single"/>
    </w:rPr>
  </w:style>
  <w:style w:type="paragraph" w:styleId="BalloonText">
    <w:name w:val="Balloon Text"/>
    <w:basedOn w:val="Normal"/>
    <w:link w:val="BalloonTextChar"/>
    <w:rsid w:val="00A25F75"/>
    <w:rPr>
      <w:rFonts w:ascii="Tahoma" w:hAnsi="Tahoma" w:cs="Tahoma"/>
      <w:sz w:val="16"/>
      <w:szCs w:val="16"/>
    </w:rPr>
  </w:style>
  <w:style w:type="character" w:customStyle="1" w:styleId="BalloonTextChar">
    <w:name w:val="Balloon Text Char"/>
    <w:basedOn w:val="DefaultParagraphFont"/>
    <w:link w:val="BalloonText"/>
    <w:rsid w:val="00A25F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5F7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25F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5F75"/>
    <w:rPr>
      <w:b/>
      <w:color w:val="660033"/>
      <w:spacing w:val="0"/>
    </w:rPr>
  </w:style>
  <w:style w:type="paragraph" w:customStyle="1" w:styleId="Nameditemlist">
    <w:name w:val="Named item list"/>
    <w:basedOn w:val="BodyText"/>
    <w:qFormat/>
    <w:rsid w:val="00A25F7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1862</Words>
  <Characters>11575</Characters>
  <Application>Microsoft Office Word</Application>
  <DocSecurity>0</DocSecurity>
  <Lines>392</Lines>
  <Paragraphs>166</Paragraphs>
  <ScaleCrop>false</ScaleCrop>
  <Company>Author-it Software Corporation Ltd.</Company>
  <LinksUpToDate>false</LinksUpToDate>
  <CharactersWithSpaces>13341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CPCCSV5012A Assess timber-framed designs for one and two storey buildings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2012-10-05T16:20:00Z</dcterms:created>
  <dcterms:modified xsi:type="dcterms:W3CDTF">2012-10-05T16:20:00Z</dcterms:modified>
</cp:coreProperties>
</file>