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FF8" w:rsidP="00352FF8">
      <w:pPr>
        <w:pStyle w:val="Title"/>
      </w:pPr>
      <w:r>
        <w:fldChar w:fldCharType="begin"/>
      </w:r>
      <w:r>
        <w:instrText xml:space="preserve"> TITLE   \* MERGEFORMAT </w:instrText>
      </w:r>
      <w:r>
        <w:fldChar w:fldCharType="separate"/>
      </w:r>
      <w:r>
        <w:t>CPCCSV5008A Apply building control legislation to building surveying</w:t>
      </w:r>
      <w:r>
        <w:fldChar w:fldCharType="end"/>
      </w:r>
    </w:p>
    <w:p w:rsidR="00352FF8" w:rsidP="00352FF8">
      <w:pPr>
        <w:pStyle w:val="Version"/>
        <w:sectPr w:rsidSect="00A20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BAB" w:rsidP="00A20BAB">
      <w:pPr>
        <w:pStyle w:val="SuperHeading"/>
      </w:pPr>
      <w:r w:rsidRPr="00A20BAB">
        <w:t>CPCCSV5008A Apply building control legislation to building surveying</w:t>
      </w:r>
    </w:p>
    <w:p w:rsidR="00000000" w:rsidRPr="00A20BAB" w:rsidP="00A20BAB">
      <w:pPr>
        <w:pStyle w:val="Heading1"/>
      </w:pPr>
      <w:bookmarkStart w:id="1" w:name="O_269738"/>
      <w:bookmarkEnd w:id="1"/>
      <w:r w:rsidRPr="00A20BAB">
        <w:t>Modification History</w:t>
      </w:r>
    </w:p>
    <w:p w:rsidR="00000000" w:rsidRPr="00A20BAB" w:rsidP="00A20BAB">
      <w:pPr>
        <w:pStyle w:val="BodyText"/>
      </w:pPr>
      <w:r w:rsidRPr="00A20BAB">
        <w:t>Not Applicable</w:t>
      </w:r>
    </w:p>
    <w:p w:rsidR="00000000" w:rsidRPr="00A20BAB" w:rsidP="00A20BAB">
      <w:pPr>
        <w:pStyle w:val="AllowPageBreak"/>
      </w:pPr>
    </w:p>
    <w:p w:rsidR="00000000" w:rsidRPr="00A20BAB" w:rsidP="00A20BAB">
      <w:pPr>
        <w:pStyle w:val="Heading1"/>
      </w:pPr>
      <w:bookmarkStart w:id="2" w:name="O_198941"/>
      <w:bookmarkEnd w:id="2"/>
      <w:r w:rsidRPr="00A20BAB">
        <w:t>Unit Descriptor</w:t>
      </w:r>
    </w:p>
    <w:tbl>
      <w:tblPr>
        <w:tblW w:w="0" w:type="auto"/>
        <w:tblLayout w:type="fixed"/>
        <w:tblCellMar>
          <w:left w:w="62" w:type="dxa"/>
          <w:right w:w="62" w:type="dxa"/>
        </w:tblCellMar>
        <w:tblLook w:val="0000"/>
      </w:tblPr>
      <w:tblGrid>
        <w:gridCol w:w="2639"/>
        <w:gridCol w:w="5883"/>
      </w:tblGrid>
      <w:tr w:rsidTr="00352FF8">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This unit of competency specifies the outcomes required to research, interpret and</w:t>
            </w:r>
            <w:r w:rsidRPr="00A20BAB">
              <w:t xml:space="preserve"> apply building control legislation for use in building surveying activities relating to domestic scale buildings and structures.</w:t>
            </w:r>
          </w:p>
          <w:p w:rsidR="00000000" w:rsidRPr="00A20BAB" w:rsidP="00A20BAB">
            <w:pPr>
              <w:pStyle w:val="BodyText"/>
            </w:pPr>
            <w:r w:rsidRPr="00A20BAB">
              <w:t>It includes the evaluation of the Australian common law system and the various sources of law applicable to building surveying</w:t>
            </w:r>
            <w:r w:rsidRPr="00A20BAB">
              <w:t xml:space="preserve"> activities and the identification and application of the professional code of ethics required for the assessment and inspection of buildings.</w:t>
            </w:r>
          </w:p>
        </w:tc>
      </w:tr>
    </w:tbl>
    <w:p w:rsidR="00352FF8" w:rsidP="00A20BAB">
      <w:pPr>
        <w:pStyle w:val="BodyText"/>
      </w:pPr>
    </w:p>
    <w:p w:rsidR="00352FF8" w:rsidP="00A20BAB">
      <w:pPr>
        <w:pStyle w:val="BodyText"/>
      </w:pPr>
    </w:p>
    <w:p w:rsidR="00000000" w:rsidRPr="00A20BAB" w:rsidP="00A20BAB">
      <w:pPr>
        <w:pStyle w:val="Heading1"/>
      </w:pPr>
      <w:bookmarkStart w:id="3" w:name="O_198945"/>
      <w:bookmarkEnd w:id="3"/>
      <w:r w:rsidRPr="00A20BAB">
        <w:t>Application of the Unit</w:t>
      </w:r>
    </w:p>
    <w:tbl>
      <w:tblPr>
        <w:tblW w:w="0" w:type="auto"/>
        <w:tblLayout w:type="fixed"/>
        <w:tblCellMar>
          <w:left w:w="62" w:type="dxa"/>
          <w:right w:w="62" w:type="dxa"/>
        </w:tblCellMar>
        <w:tblLook w:val="0000"/>
      </w:tblPr>
      <w:tblGrid>
        <w:gridCol w:w="2708"/>
        <w:gridCol w:w="5814"/>
      </w:tblGrid>
      <w:tr w:rsidTr="00352FF8">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This unit of competency supports the attainment of the understanding and skills to apply building control legislation to building surveying within the context of common law, relevant legislation, the Building Code of Australia (BCA) and Australian standard</w:t>
            </w:r>
            <w:r w:rsidRPr="00A20BAB">
              <w:t xml:space="preserve">s. </w:t>
            </w:r>
          </w:p>
        </w:tc>
      </w:tr>
    </w:tbl>
    <w:p w:rsidR="00352FF8" w:rsidP="00A20BAB">
      <w:pPr>
        <w:pStyle w:val="BodyText"/>
      </w:pPr>
    </w:p>
    <w:p w:rsidR="00352FF8" w:rsidP="00A20BAB">
      <w:pPr>
        <w:pStyle w:val="BodyText"/>
      </w:pPr>
    </w:p>
    <w:p w:rsidR="00000000" w:rsidRPr="00A20BAB" w:rsidP="00A20BAB">
      <w:pPr>
        <w:pStyle w:val="Heading1"/>
      </w:pPr>
      <w:bookmarkStart w:id="4" w:name="O_277998"/>
      <w:bookmarkEnd w:id="4"/>
      <w:r w:rsidRPr="00A20BAB">
        <w:t>Licensing/Regulatory Information</w:t>
      </w:r>
    </w:p>
    <w:p w:rsidR="00000000" w:rsidRPr="00A20BAB" w:rsidP="00A20BAB">
      <w:pPr>
        <w:pStyle w:val="BodyText"/>
      </w:pPr>
      <w:r w:rsidRPr="00A20BAB">
        <w:t>Not Applicable</w:t>
      </w:r>
    </w:p>
    <w:p w:rsidR="00000000" w:rsidRPr="00A20BAB" w:rsidP="00A20BAB">
      <w:pPr>
        <w:pStyle w:val="AllowPageBreak"/>
      </w:pPr>
    </w:p>
    <w:p w:rsidR="00000000" w:rsidRPr="00A20BAB" w:rsidP="00A20BAB">
      <w:pPr>
        <w:pStyle w:val="Heading1"/>
      </w:pPr>
      <w:bookmarkStart w:id="5" w:name="O_198943"/>
      <w:bookmarkEnd w:id="5"/>
      <w:r w:rsidRPr="00A20BAB">
        <w:t>Pre-Requisites</w:t>
      </w:r>
    </w:p>
    <w:tbl>
      <w:tblPr>
        <w:tblW w:w="0" w:type="auto"/>
        <w:tblLayout w:type="fixed"/>
        <w:tblCellMar>
          <w:left w:w="62" w:type="dxa"/>
          <w:right w:w="62" w:type="dxa"/>
        </w:tblCellMar>
        <w:tblLook w:val="0000"/>
      </w:tblPr>
      <w:tblGrid>
        <w:gridCol w:w="2718"/>
        <w:gridCol w:w="1322"/>
        <w:gridCol w:w="4482"/>
      </w:tblGrid>
      <w:tr w:rsidTr="00352FF8">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t>Nil</w:t>
            </w:r>
          </w:p>
        </w:tc>
      </w:tr>
      <w:tr w:rsidTr="00352FF8">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p>
        </w:tc>
      </w:tr>
      <w:tr w:rsidTr="00352FF8">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A20BAB" w:rsidP="00A20BAB">
            <w:pPr>
              <w:pStyle w:val="BodyText"/>
            </w:pPr>
          </w:p>
        </w:tc>
      </w:tr>
    </w:tbl>
    <w:p w:rsidR="00352FF8" w:rsidP="00A20BAB">
      <w:pPr>
        <w:pStyle w:val="BodyText"/>
      </w:pPr>
    </w:p>
    <w:p w:rsidR="00352FF8" w:rsidP="00A20BAB">
      <w:pPr>
        <w:pStyle w:val="BodyText"/>
      </w:pPr>
    </w:p>
    <w:p w:rsidR="00000000" w:rsidRPr="00A20BAB" w:rsidP="00A20BAB">
      <w:pPr>
        <w:pStyle w:val="Heading1"/>
      </w:pPr>
      <w:bookmarkStart w:id="6" w:name="O_198942"/>
      <w:bookmarkEnd w:id="6"/>
      <w:r w:rsidRPr="00A20BAB">
        <w:t>Employability Skills Information</w:t>
      </w:r>
    </w:p>
    <w:tbl>
      <w:tblPr>
        <w:tblW w:w="0" w:type="auto"/>
        <w:tblLayout w:type="fixed"/>
        <w:tblCellMar>
          <w:left w:w="62" w:type="dxa"/>
          <w:right w:w="62" w:type="dxa"/>
        </w:tblCellMar>
        <w:tblLook w:val="0000"/>
      </w:tblPr>
      <w:tblGrid>
        <w:gridCol w:w="2744"/>
        <w:gridCol w:w="5778"/>
      </w:tblGrid>
      <w:tr w:rsidTr="00352FF8">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This unit contains employability skills.</w:t>
            </w:r>
          </w:p>
        </w:tc>
      </w:tr>
    </w:tbl>
    <w:p w:rsidR="00352FF8" w:rsidP="00A20BAB">
      <w:pPr>
        <w:pStyle w:val="BodyText"/>
      </w:pPr>
    </w:p>
    <w:p w:rsidR="00352FF8" w:rsidP="00A20BAB">
      <w:pPr>
        <w:pStyle w:val="BodyText"/>
      </w:pPr>
    </w:p>
    <w:p w:rsidR="00000000" w:rsidRPr="00A20BAB" w:rsidP="00A20BAB">
      <w:pPr>
        <w:pStyle w:val="Heading1"/>
      </w:pPr>
      <w:bookmarkStart w:id="7" w:name="O_287784"/>
      <w:bookmarkEnd w:id="7"/>
      <w:r w:rsidRPr="00A20BAB">
        <w:t>Elements and Performance Criteria Pre-Content</w:t>
      </w:r>
    </w:p>
    <w:tbl>
      <w:tblPr>
        <w:tblW w:w="0" w:type="auto"/>
        <w:tblLayout w:type="fixed"/>
        <w:tblCellMar>
          <w:left w:w="62" w:type="dxa"/>
          <w:right w:w="62" w:type="dxa"/>
        </w:tblCellMar>
        <w:tblLook w:val="0000"/>
      </w:tblPr>
      <w:tblGrid>
        <w:gridCol w:w="2575"/>
        <w:gridCol w:w="5947"/>
      </w:tblGrid>
      <w:tr w:rsidTr="00352FF8">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A20BAB">
            <w:pPr>
              <w:pStyle w:val="BodyText"/>
              <w:rPr>
                <w:lang w:val="en-NZ"/>
              </w:rPr>
            </w:pPr>
            <w:r w:rsidRPr="00A20BAB">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A20BAB" w:rsidP="00A20BAB">
            <w:pPr>
              <w:pStyle w:val="BodyText"/>
            </w:pPr>
            <w:r w:rsidRPr="00A20BAB">
              <w:t>Performance criteria describe the performance needed to demonstrate achievement of the element. Where bold italicised text is us</w:t>
            </w:r>
            <w:r w:rsidRPr="00A20BAB">
              <w:t>ed, further information is detailed in the required skills and knowledge section and the range statement. Assessment of performance is to be consistent with the evidence guide.</w:t>
            </w:r>
          </w:p>
        </w:tc>
      </w:tr>
    </w:tbl>
    <w:p w:rsidR="00000000" w:rsidRPr="00A20BAB" w:rsidP="00A20BAB">
      <w:pPr>
        <w:pStyle w:val="BodyText"/>
      </w:pPr>
    </w:p>
    <w:p w:rsidR="00000000" w:rsidRPr="00A20BAB" w:rsidP="00A20BAB">
      <w:pPr>
        <w:pStyle w:val="AllowPageBreak"/>
      </w:pPr>
    </w:p>
    <w:p w:rsidR="00000000" w:rsidRPr="00A20BAB" w:rsidP="00A20BAB">
      <w:pPr>
        <w:pStyle w:val="Heading1"/>
      </w:pPr>
      <w:bookmarkStart w:id="8" w:name="O_234451"/>
      <w:bookmarkEnd w:id="8"/>
      <w:r w:rsidRPr="00A20BAB">
        <w:t>Elements and Performance Criteria</w:t>
      </w:r>
    </w:p>
    <w:tbl>
      <w:tblPr>
        <w:tblW w:w="0" w:type="auto"/>
        <w:tblLayout w:type="fixed"/>
        <w:tblCellMar>
          <w:left w:w="62" w:type="dxa"/>
          <w:right w:w="62" w:type="dxa"/>
        </w:tblCellMar>
        <w:tblLook w:val="0000"/>
      </w:tblPr>
      <w:tblGrid>
        <w:gridCol w:w="2575"/>
        <w:gridCol w:w="5947"/>
      </w:tblGrid>
      <w:tr w:rsidTr="00352FF8">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A20BAB" w:rsidP="00A20BAB">
            <w:pPr>
              <w:pStyle w:val="BodyText"/>
            </w:pPr>
            <w:r w:rsidRPr="00A20BAB">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A20BAB">
            <w:pPr>
              <w:pStyle w:val="BodyText"/>
              <w:rPr>
                <w:lang w:val="en-NZ"/>
              </w:rPr>
            </w:pPr>
            <w:r w:rsidRPr="00A20BAB">
              <w:rPr>
                <w:rStyle w:val="SpecialBold"/>
              </w:rPr>
              <w:t>PERFORMANCE CRITERIA</w:t>
            </w:r>
          </w:p>
        </w:tc>
      </w:tr>
      <w:tr w:rsidTr="00352FF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A20BAB">
            <w:pPr>
              <w:pStyle w:val="List"/>
              <w:rPr>
                <w:lang w:val="en-NZ"/>
              </w:rPr>
            </w:pPr>
            <w:r w:rsidRPr="00A20BAB">
              <w:t>1.</w:t>
            </w:r>
            <w:r w:rsidRPr="00A20BAB">
              <w:tab/>
              <w:t>Analyse the Australian administrative legal system.</w:t>
            </w:r>
          </w:p>
        </w:tc>
        <w:tc>
          <w:tcPr>
            <w:tcW w:w="5947" w:type="dxa"/>
            <w:tcBorders>
              <w:top w:val="nil"/>
              <w:left w:val="nil"/>
              <w:bottom w:val="nil"/>
              <w:right w:val="nil"/>
            </w:tcBorders>
            <w:tcMar>
              <w:top w:w="0" w:type="dxa"/>
              <w:left w:w="62" w:type="dxa"/>
              <w:bottom w:w="0" w:type="dxa"/>
              <w:right w:w="62" w:type="dxa"/>
            </w:tcMar>
          </w:tcPr>
          <w:p w:rsidR="00000000" w:rsidRPr="00A20BAB" w:rsidP="00A20BAB">
            <w:pPr>
              <w:pStyle w:val="List2"/>
            </w:pPr>
            <w:r w:rsidRPr="00A20BAB">
              <w:t>1.1.</w:t>
            </w:r>
            <w:r w:rsidRPr="00A20BAB">
              <w:tab/>
              <w:t xml:space="preserve">Differences between </w:t>
            </w:r>
            <w:r w:rsidRPr="00A20BAB">
              <w:rPr>
                <w:rStyle w:val="BoldandItalics"/>
              </w:rPr>
              <w:t>Australian common law</w:t>
            </w:r>
            <w:r w:rsidRPr="00A20BAB">
              <w:t xml:space="preserve">, statute law, delegated legislation and local government law are analysed and documented. </w:t>
            </w:r>
          </w:p>
          <w:p w:rsidR="00000000" w:rsidRPr="00A20BAB" w:rsidP="00A20BAB">
            <w:pPr>
              <w:pStyle w:val="List2"/>
            </w:pPr>
            <w:r w:rsidRPr="00A20BAB">
              <w:t>1.2.</w:t>
            </w:r>
            <w:r w:rsidRPr="00A20BAB">
              <w:tab/>
              <w:t>Civil law and examples of civil acti</w:t>
            </w:r>
            <w:r w:rsidRPr="00A20BAB">
              <w:t xml:space="preserve">on relevant to </w:t>
            </w:r>
            <w:r w:rsidRPr="00A20BAB">
              <w:rPr>
                <w:rStyle w:val="BoldandItalics"/>
              </w:rPr>
              <w:t>building control legislation</w:t>
            </w:r>
            <w:r w:rsidRPr="00A20BAB">
              <w:t xml:space="preserve"> are identified and analysed. </w:t>
            </w:r>
          </w:p>
          <w:p w:rsidR="00000000" w:rsidP="00A20BAB">
            <w:pPr>
              <w:pStyle w:val="List2"/>
              <w:rPr>
                <w:lang w:val="en-NZ"/>
              </w:rPr>
            </w:pPr>
            <w:r w:rsidRPr="00A20BAB">
              <w:t>1.3.</w:t>
            </w:r>
            <w:r w:rsidRPr="00A20BAB">
              <w:tab/>
              <w:t>Administrative law relevant to building control is determined and interpreted.</w:t>
            </w:r>
          </w:p>
        </w:tc>
      </w:tr>
      <w:tr w:rsidTr="00352FF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A20BAB">
            <w:pPr>
              <w:pStyle w:val="List"/>
              <w:rPr>
                <w:lang w:val="en-NZ"/>
              </w:rPr>
            </w:pPr>
            <w:r w:rsidRPr="00A20BAB">
              <w:t>2.</w:t>
            </w:r>
            <w:r w:rsidRPr="00A20BAB">
              <w:tab/>
              <w:t>Evaluate administrative law applicable to building control activities.</w:t>
            </w:r>
          </w:p>
        </w:tc>
        <w:tc>
          <w:tcPr>
            <w:tcW w:w="5947" w:type="dxa"/>
            <w:tcBorders>
              <w:top w:val="nil"/>
              <w:left w:val="nil"/>
              <w:bottom w:val="nil"/>
              <w:right w:val="nil"/>
            </w:tcBorders>
            <w:tcMar>
              <w:top w:w="0" w:type="dxa"/>
              <w:left w:w="62" w:type="dxa"/>
              <w:bottom w:w="0" w:type="dxa"/>
              <w:right w:w="62" w:type="dxa"/>
            </w:tcMar>
          </w:tcPr>
          <w:p w:rsidR="00000000" w:rsidRPr="00A20BAB" w:rsidP="00A20BAB">
            <w:pPr>
              <w:pStyle w:val="List2"/>
            </w:pPr>
            <w:r w:rsidRPr="00A20BAB">
              <w:t>2.1.</w:t>
            </w:r>
            <w:r w:rsidRPr="00A20BAB">
              <w:tab/>
              <w:t>Individual element</w:t>
            </w:r>
            <w:r w:rsidRPr="00A20BAB">
              <w:t>s of judicial review legislation are evaluated and documented.</w:t>
            </w:r>
          </w:p>
          <w:p w:rsidR="00000000" w:rsidP="00A20BAB">
            <w:pPr>
              <w:pStyle w:val="List2"/>
              <w:rPr>
                <w:lang w:val="en-NZ"/>
              </w:rPr>
            </w:pPr>
            <w:r w:rsidRPr="00A20BAB">
              <w:t>2.2.</w:t>
            </w:r>
            <w:r w:rsidRPr="00A20BAB">
              <w:tab/>
              <w:t>Natural justice is identified and evaluated as it relates to decision making through the building control process.</w:t>
            </w:r>
          </w:p>
        </w:tc>
      </w:tr>
      <w:tr w:rsidTr="00352FF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A20BAB">
            <w:pPr>
              <w:pStyle w:val="List"/>
              <w:rPr>
                <w:lang w:val="en-NZ"/>
              </w:rPr>
            </w:pPr>
            <w:r w:rsidRPr="00A20BAB">
              <w:t>3.</w:t>
            </w:r>
            <w:r w:rsidRPr="00A20BAB">
              <w:tab/>
              <w:t>Analyse the procedures and benefits of enforcing the law.</w:t>
            </w:r>
          </w:p>
        </w:tc>
        <w:tc>
          <w:tcPr>
            <w:tcW w:w="5947" w:type="dxa"/>
            <w:tcBorders>
              <w:top w:val="nil"/>
              <w:left w:val="nil"/>
              <w:bottom w:val="nil"/>
              <w:right w:val="nil"/>
            </w:tcBorders>
            <w:tcMar>
              <w:top w:w="0" w:type="dxa"/>
              <w:left w:w="62" w:type="dxa"/>
              <w:bottom w:w="0" w:type="dxa"/>
              <w:right w:w="62" w:type="dxa"/>
            </w:tcMar>
          </w:tcPr>
          <w:p w:rsidR="00000000" w:rsidRPr="00A20BAB" w:rsidP="00A20BAB">
            <w:pPr>
              <w:pStyle w:val="List2"/>
            </w:pPr>
            <w:r w:rsidRPr="00A20BAB">
              <w:t>3.1.</w:t>
            </w:r>
            <w:r w:rsidRPr="00A20BAB">
              <w:tab/>
            </w:r>
            <w:r w:rsidRPr="00A20BAB">
              <w:t>Legislative benefits and examples from building control enforcement are investigated and documented.</w:t>
            </w:r>
          </w:p>
          <w:p w:rsidR="00000000" w:rsidRPr="00A20BAB" w:rsidP="00A20BAB">
            <w:pPr>
              <w:pStyle w:val="List2"/>
            </w:pPr>
            <w:r w:rsidRPr="00A20BAB">
              <w:t>3.2.</w:t>
            </w:r>
            <w:r w:rsidRPr="00A20BAB">
              <w:tab/>
              <w:t>Major regulatory enforcement strategies are identified and recorded.</w:t>
            </w:r>
          </w:p>
          <w:p w:rsidR="00000000" w:rsidRPr="00A20BAB" w:rsidP="00A20BAB">
            <w:pPr>
              <w:pStyle w:val="List2"/>
            </w:pPr>
            <w:r w:rsidRPr="00A20BAB">
              <w:t>3.3.</w:t>
            </w:r>
            <w:r w:rsidRPr="00A20BAB">
              <w:tab/>
              <w:t>Powers of entry are identified and analysed.</w:t>
            </w:r>
          </w:p>
          <w:p w:rsidR="00000000" w:rsidRPr="00A20BAB" w:rsidP="00A20BAB">
            <w:pPr>
              <w:pStyle w:val="List2"/>
            </w:pPr>
            <w:r w:rsidRPr="00A20BAB">
              <w:t>3.4.</w:t>
            </w:r>
            <w:r w:rsidRPr="00A20BAB">
              <w:tab/>
              <w:t>Warrants and legal conside</w:t>
            </w:r>
            <w:r w:rsidRPr="00A20BAB">
              <w:t>rations in obtaining a warrant are identified and documented.</w:t>
            </w:r>
          </w:p>
          <w:p w:rsidR="00000000" w:rsidRPr="00A20BAB" w:rsidP="00A20BAB">
            <w:pPr>
              <w:pStyle w:val="List2"/>
            </w:pPr>
            <w:r w:rsidRPr="00A20BAB">
              <w:t>3.5.</w:t>
            </w:r>
            <w:r w:rsidRPr="00A20BAB">
              <w:tab/>
              <w:t xml:space="preserve">Types of </w:t>
            </w:r>
            <w:r w:rsidRPr="00A20BAB">
              <w:rPr>
                <w:rStyle w:val="BoldandItalics"/>
              </w:rPr>
              <w:t>evidence</w:t>
            </w:r>
            <w:r w:rsidRPr="00A20BAB">
              <w:t xml:space="preserve"> and the gathering of evidence for the purposes of investigating and proving a breach of legislation are identified and documented. </w:t>
            </w:r>
          </w:p>
          <w:p w:rsidR="00000000" w:rsidP="00A20BAB">
            <w:pPr>
              <w:pStyle w:val="List2"/>
              <w:rPr>
                <w:lang w:val="en-NZ"/>
              </w:rPr>
            </w:pPr>
            <w:r w:rsidRPr="00A20BAB">
              <w:t>3.6.</w:t>
            </w:r>
            <w:r w:rsidRPr="00A20BAB">
              <w:tab/>
              <w:t>Offences are identified and the pr</w:t>
            </w:r>
            <w:r w:rsidRPr="00A20BAB">
              <w:t>ocess for drafting and issuing a notice is evaluated and documented.</w:t>
            </w:r>
          </w:p>
        </w:tc>
      </w:tr>
      <w:tr w:rsidTr="00352FF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A20BAB">
            <w:pPr>
              <w:pStyle w:val="List"/>
              <w:rPr>
                <w:lang w:val="en-NZ"/>
              </w:rPr>
            </w:pPr>
            <w:r w:rsidRPr="00A20BAB">
              <w:t>4.</w:t>
            </w:r>
            <w:r w:rsidRPr="00A20BAB">
              <w:tab/>
              <w:t>Analyse the impact of other legislation on state and territory building and development control legislation.</w:t>
            </w:r>
          </w:p>
        </w:tc>
        <w:tc>
          <w:tcPr>
            <w:tcW w:w="5947" w:type="dxa"/>
            <w:tcBorders>
              <w:top w:val="nil"/>
              <w:left w:val="nil"/>
              <w:bottom w:val="nil"/>
              <w:right w:val="nil"/>
            </w:tcBorders>
            <w:tcMar>
              <w:top w:w="0" w:type="dxa"/>
              <w:left w:w="62" w:type="dxa"/>
              <w:bottom w:w="0" w:type="dxa"/>
              <w:right w:w="62" w:type="dxa"/>
            </w:tcMar>
          </w:tcPr>
          <w:p w:rsidR="00000000" w:rsidRPr="00A20BAB" w:rsidP="00A20BAB">
            <w:pPr>
              <w:pStyle w:val="List2"/>
            </w:pPr>
            <w:r w:rsidRPr="00A20BAB">
              <w:t>4.1.</w:t>
            </w:r>
            <w:r w:rsidRPr="00A20BAB">
              <w:tab/>
              <w:t xml:space="preserve">Implications of </w:t>
            </w:r>
            <w:r w:rsidRPr="00A20BAB">
              <w:rPr>
                <w:rStyle w:val="BoldandItalics"/>
              </w:rPr>
              <w:t>federal legislation</w:t>
            </w:r>
            <w:r w:rsidRPr="00A20BAB">
              <w:t xml:space="preserve"> on state and territory building a</w:t>
            </w:r>
            <w:r w:rsidRPr="00A20BAB">
              <w:t xml:space="preserve">nd development control legislation are examined and documented. </w:t>
            </w:r>
          </w:p>
          <w:p w:rsidR="00000000" w:rsidP="00A20BAB">
            <w:pPr>
              <w:pStyle w:val="List2"/>
              <w:rPr>
                <w:lang w:val="en-NZ"/>
              </w:rPr>
            </w:pPr>
            <w:r w:rsidRPr="00A20BAB">
              <w:t>4.2.</w:t>
            </w:r>
            <w:r w:rsidRPr="00A20BAB">
              <w:tab/>
              <w:t xml:space="preserve">Implications of other </w:t>
            </w:r>
            <w:r w:rsidRPr="00A20BAB">
              <w:rPr>
                <w:rStyle w:val="BoldandItalics"/>
              </w:rPr>
              <w:t>state and territory legislation</w:t>
            </w:r>
            <w:r w:rsidRPr="00A20BAB">
              <w:t xml:space="preserve"> on building and development control legislation are examined and documented. </w:t>
            </w:r>
          </w:p>
        </w:tc>
      </w:tr>
      <w:tr w:rsidTr="00352FF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A20BAB">
            <w:pPr>
              <w:pStyle w:val="List"/>
              <w:rPr>
                <w:lang w:val="en-NZ"/>
              </w:rPr>
            </w:pPr>
            <w:r w:rsidRPr="00A20BAB">
              <w:t>5.</w:t>
            </w:r>
            <w:r w:rsidRPr="00A20BAB">
              <w:tab/>
              <w:t>Analyse the professional code of conduct and ethic</w:t>
            </w:r>
            <w:r w:rsidRPr="00A20BAB">
              <w:t>s applicable to building control.</w:t>
            </w:r>
          </w:p>
        </w:tc>
        <w:tc>
          <w:tcPr>
            <w:tcW w:w="5947" w:type="dxa"/>
            <w:tcBorders>
              <w:top w:val="nil"/>
              <w:left w:val="nil"/>
              <w:bottom w:val="nil"/>
              <w:right w:val="nil"/>
            </w:tcBorders>
            <w:tcMar>
              <w:top w:w="0" w:type="dxa"/>
              <w:left w:w="62" w:type="dxa"/>
              <w:bottom w:w="0" w:type="dxa"/>
              <w:right w:w="62" w:type="dxa"/>
            </w:tcMar>
          </w:tcPr>
          <w:p w:rsidR="00000000" w:rsidRPr="00A20BAB" w:rsidP="00A20BAB">
            <w:pPr>
              <w:pStyle w:val="List2"/>
            </w:pPr>
            <w:r w:rsidRPr="00A20BAB">
              <w:t>5.1.</w:t>
            </w:r>
            <w:r w:rsidRPr="00A20BAB">
              <w:tab/>
              <w:t>Concepts regarding conflict of interest as specified by relevant legislation are identified and recorded.</w:t>
            </w:r>
          </w:p>
          <w:p w:rsidR="00000000" w:rsidP="00A20BAB">
            <w:pPr>
              <w:pStyle w:val="List2"/>
              <w:rPr>
                <w:lang w:val="en-NZ"/>
              </w:rPr>
            </w:pPr>
            <w:r w:rsidRPr="00A20BAB">
              <w:t>5.2.</w:t>
            </w:r>
            <w:r w:rsidRPr="00A20BAB">
              <w:tab/>
              <w:t>Concepts regarding duty of care as it relates to common law are evaluated and documented.</w:t>
            </w:r>
          </w:p>
        </w:tc>
      </w:tr>
      <w:tr w:rsidTr="00352FF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A20BAB">
            <w:pPr>
              <w:pStyle w:val="List"/>
              <w:rPr>
                <w:lang w:val="en-NZ"/>
              </w:rPr>
            </w:pPr>
            <w:r w:rsidRPr="00A20BAB">
              <w:t>6.</w:t>
            </w:r>
            <w:r w:rsidRPr="00A20BAB">
              <w:tab/>
              <w:t xml:space="preserve">Analyse the </w:t>
            </w:r>
            <w:r w:rsidRPr="00A20BAB">
              <w:t xml:space="preserve">concepts of liability and responsibility of </w:t>
            </w:r>
            <w:r w:rsidRPr="00A20BAB">
              <w:t>building practitioners as detailed in legislation.</w:t>
            </w:r>
          </w:p>
        </w:tc>
        <w:tc>
          <w:tcPr>
            <w:tcW w:w="5947" w:type="dxa"/>
            <w:tcBorders>
              <w:top w:val="nil"/>
              <w:left w:val="nil"/>
              <w:bottom w:val="nil"/>
              <w:right w:val="nil"/>
            </w:tcBorders>
            <w:tcMar>
              <w:top w:w="0" w:type="dxa"/>
              <w:left w:w="62" w:type="dxa"/>
              <w:bottom w:w="0" w:type="dxa"/>
              <w:right w:w="62" w:type="dxa"/>
            </w:tcMar>
          </w:tcPr>
          <w:p w:rsidR="00000000" w:rsidRPr="00A20BAB" w:rsidP="00A20BAB">
            <w:pPr>
              <w:pStyle w:val="List2"/>
            </w:pPr>
            <w:r w:rsidRPr="00A20BAB">
              <w:t>6.1.</w:t>
            </w:r>
            <w:r w:rsidRPr="00A20BAB">
              <w:tab/>
              <w:t>Liability of building practitioners as specified by relevant legislation is evaluated and documented.</w:t>
            </w:r>
          </w:p>
          <w:p w:rsidR="00000000" w:rsidRPr="00A20BAB" w:rsidP="00A20BAB">
            <w:pPr>
              <w:pStyle w:val="List2"/>
            </w:pPr>
            <w:r w:rsidRPr="00A20BAB">
              <w:t>6.2.</w:t>
            </w:r>
            <w:r w:rsidRPr="00A20BAB">
              <w:tab/>
              <w:t>Responsibilities and statutory duties of building</w:t>
            </w:r>
            <w:r w:rsidRPr="00A20BAB">
              <w:t xml:space="preserve"> </w:t>
            </w:r>
            <w:r w:rsidRPr="00A20BAB">
              <w:t>practitioners as specified by relevant legislation are evaluated and documented.</w:t>
            </w:r>
          </w:p>
        </w:tc>
      </w:tr>
    </w:tbl>
    <w:p w:rsidR="00352FF8" w:rsidP="00A20BAB">
      <w:pPr>
        <w:pStyle w:val="BodyText"/>
      </w:pPr>
    </w:p>
    <w:p w:rsidR="00352FF8" w:rsidP="00A20BAB">
      <w:pPr>
        <w:pStyle w:val="BodyText"/>
      </w:pPr>
    </w:p>
    <w:p w:rsidR="00000000" w:rsidRPr="00A20BAB" w:rsidP="00A20BAB">
      <w:pPr>
        <w:pStyle w:val="Heading1"/>
      </w:pPr>
      <w:bookmarkStart w:id="9" w:name="O_258401"/>
      <w:bookmarkEnd w:id="9"/>
      <w:r w:rsidRPr="00A20BAB">
        <w:t>Required Skills and Knowledge</w:t>
      </w:r>
    </w:p>
    <w:tbl>
      <w:tblPr>
        <w:tblW w:w="0" w:type="auto"/>
        <w:tblLayout w:type="fixed"/>
        <w:tblCellMar>
          <w:left w:w="62" w:type="dxa"/>
          <w:right w:w="62" w:type="dxa"/>
        </w:tblCellMar>
        <w:tblLook w:val="0000"/>
      </w:tblPr>
      <w:tblGrid>
        <w:gridCol w:w="8522"/>
      </w:tblGrid>
      <w:tr w:rsidTr="00352FF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REQUIRED SKILLS AND KNOWLEDGE</w:t>
            </w:r>
          </w:p>
        </w:tc>
      </w:tr>
      <w:tr w:rsidTr="00352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t>This section describes the skills and knowledge required for this unit.</w:t>
            </w:r>
          </w:p>
        </w:tc>
      </w:tr>
      <w:tr w:rsidTr="00352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Required skills</w:t>
            </w:r>
          </w:p>
        </w:tc>
      </w:tr>
      <w:tr w:rsidTr="00352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Required skills for this unit are:</w:t>
            </w:r>
          </w:p>
          <w:p w:rsidR="00000000" w:rsidRPr="00A20BAB" w:rsidP="00A20BAB">
            <w:pPr>
              <w:pStyle w:val="ListBullet"/>
            </w:pPr>
            <w:r w:rsidRPr="00A20BAB">
              <w:t>ability to respond to change and contribute to workplace responsibilities, such as current work site environmental and sustainability frameworks or management systems</w:t>
            </w:r>
          </w:p>
          <w:p w:rsidR="00000000" w:rsidRPr="00A20BAB" w:rsidP="00A20BAB">
            <w:pPr>
              <w:pStyle w:val="ListBullet"/>
            </w:pPr>
            <w:r w:rsidRPr="00A20BAB">
              <w:t>communication skills to:</w:t>
            </w:r>
          </w:p>
          <w:p w:rsidR="00000000" w:rsidRPr="00A20BAB" w:rsidP="00A20BAB">
            <w:pPr>
              <w:pStyle w:val="ListBullet2"/>
            </w:pPr>
            <w:r w:rsidRPr="00A20BAB">
              <w:t>enable clear and direct communication, using questioning to identify and confirm requirements, share information, listen and understand</w:t>
            </w:r>
          </w:p>
          <w:p w:rsidR="00000000" w:rsidRPr="00A20BAB" w:rsidP="00A20BAB">
            <w:pPr>
              <w:pStyle w:val="ListBullet2"/>
            </w:pPr>
            <w:r w:rsidRPr="00A20BAB">
              <w:t>read and interpret:</w:t>
            </w:r>
          </w:p>
          <w:p w:rsidR="00000000" w:rsidRPr="00A20BAB" w:rsidP="00A20BAB">
            <w:pPr>
              <w:pStyle w:val="ListBullet3"/>
            </w:pPr>
            <w:r w:rsidRPr="00A20BAB">
              <w:t>enforcement strategies</w:t>
            </w:r>
          </w:p>
          <w:p w:rsidR="00000000" w:rsidRPr="00A20BAB" w:rsidP="00A20BAB">
            <w:pPr>
              <w:pStyle w:val="ListBullet3"/>
            </w:pPr>
            <w:r w:rsidRPr="00A20BAB">
              <w:t>legislation</w:t>
            </w:r>
          </w:p>
          <w:p w:rsidR="00000000" w:rsidRPr="00A20BAB" w:rsidP="00A20BAB">
            <w:pPr>
              <w:pStyle w:val="ListBullet3"/>
            </w:pPr>
            <w:r w:rsidRPr="00A20BAB">
              <w:t>reports</w:t>
            </w:r>
          </w:p>
          <w:p w:rsidR="00000000" w:rsidRPr="00A20BAB" w:rsidP="00A20BAB">
            <w:pPr>
              <w:pStyle w:val="ListBullet3"/>
            </w:pPr>
            <w:r w:rsidRPr="00A20BAB">
              <w:t>other relevant documentation</w:t>
            </w:r>
          </w:p>
          <w:p w:rsidR="00000000" w:rsidRPr="00A20BAB" w:rsidP="00A20BAB">
            <w:pPr>
              <w:pStyle w:val="ListBullet2"/>
            </w:pPr>
            <w:r w:rsidRPr="00A20BAB">
              <w:t>use and interpret non-verbal communication</w:t>
            </w:r>
          </w:p>
          <w:p w:rsidR="00000000" w:rsidRPr="00A20BAB" w:rsidP="00A20BAB">
            <w:pPr>
              <w:pStyle w:val="ListBullet2"/>
            </w:pPr>
            <w:r w:rsidRPr="00A20BAB">
              <w:t>use language and concepts appropriate to cultural differences</w:t>
            </w:r>
          </w:p>
          <w:p w:rsidR="00000000" w:rsidRPr="00A20BAB" w:rsidP="00A20BAB">
            <w:pPr>
              <w:pStyle w:val="ListBullet2"/>
            </w:pPr>
            <w:r w:rsidRPr="00A20BAB">
              <w:t>written skills to record and evaluate building control legislation to evaluation of own actions to make judgements about performance and necessary impr</w:t>
            </w:r>
            <w:r w:rsidRPr="00A20BAB">
              <w:t>ovements</w:t>
            </w:r>
          </w:p>
          <w:p w:rsidR="00000000" w:rsidRPr="00A20BAB" w:rsidP="00A20BAB">
            <w:pPr>
              <w:pStyle w:val="ListBullet"/>
            </w:pPr>
            <w:r w:rsidRPr="00A20BAB">
              <w:t>technological skills to:</w:t>
            </w:r>
          </w:p>
          <w:p w:rsidR="00000000" w:rsidRPr="00A20BAB" w:rsidP="00A20BAB">
            <w:pPr>
              <w:pStyle w:val="ListBullet2"/>
            </w:pPr>
            <w:r w:rsidRPr="00A20BAB">
              <w:t>complete documentation and calculations</w:t>
            </w:r>
          </w:p>
          <w:p w:rsidR="00000000" w:rsidP="00A20BAB">
            <w:pPr>
              <w:pStyle w:val="ListBullet2"/>
              <w:rPr>
                <w:lang w:val="en-NZ"/>
              </w:rPr>
            </w:pPr>
            <w:r w:rsidRPr="00A20BAB">
              <w:t>enable information gathering and analysis.</w:t>
            </w:r>
          </w:p>
        </w:tc>
      </w:tr>
      <w:tr w:rsidTr="00352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Required knowledge</w:t>
            </w:r>
          </w:p>
        </w:tc>
      </w:tr>
      <w:tr w:rsidTr="00352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Required knowledge for this unit is:</w:t>
            </w:r>
          </w:p>
          <w:p w:rsidR="00000000" w:rsidRPr="00A20BAB" w:rsidP="00A20BAB">
            <w:pPr>
              <w:pStyle w:val="ListBullet"/>
            </w:pPr>
            <w:r w:rsidRPr="00A20BAB">
              <w:t>acc</w:t>
            </w:r>
            <w:r w:rsidRPr="00A20BAB">
              <w:t>ess requirements for people with a disability and requirements of the Disability Discrimination Act (DDA) with regard to access</w:t>
            </w:r>
          </w:p>
          <w:p w:rsidR="00000000" w:rsidRPr="00A20BAB" w:rsidP="00A20BAB">
            <w:pPr>
              <w:pStyle w:val="ListBullet"/>
            </w:pPr>
            <w:r w:rsidRPr="00A20BAB">
              <w:t>applications of law and legal principles in building surveying</w:t>
            </w:r>
          </w:p>
          <w:p w:rsidR="00000000" w:rsidRPr="00A20BAB" w:rsidP="00A20BAB">
            <w:pPr>
              <w:pStyle w:val="ListBullet"/>
            </w:pPr>
            <w:r w:rsidRPr="00A20BAB">
              <w:t>Australian legal system</w:t>
            </w:r>
          </w:p>
          <w:p w:rsidR="00000000" w:rsidRPr="00A20BAB" w:rsidP="00A20BAB">
            <w:pPr>
              <w:pStyle w:val="ListBullet"/>
            </w:pPr>
            <w:r w:rsidRPr="00A20BAB">
              <w:t>building policy and legislation</w:t>
            </w:r>
          </w:p>
          <w:p w:rsidR="00000000" w:rsidRPr="00A20BAB" w:rsidP="00A20BAB">
            <w:pPr>
              <w:pStyle w:val="ListBullet"/>
            </w:pPr>
            <w:r w:rsidRPr="00A20BAB">
              <w:t>legal terminology, definitions, processes and procedures used in standard court operations</w:t>
            </w:r>
          </w:p>
          <w:p w:rsidR="00000000" w:rsidRPr="00A20BAB" w:rsidP="00A20BAB">
            <w:pPr>
              <w:pStyle w:val="ListBullet"/>
            </w:pPr>
            <w:r w:rsidRPr="00A20BAB">
              <w:t>processes for the administration and preparation of documentation</w:t>
            </w:r>
          </w:p>
          <w:p w:rsidR="00000000" w:rsidRPr="00A20BAB" w:rsidP="00A20BAB">
            <w:pPr>
              <w:pStyle w:val="ListBullet"/>
            </w:pPr>
            <w:r w:rsidRPr="00A20BAB">
              <w:t>relevant federal, state or territory legislation and local government policy and procedures</w:t>
            </w:r>
          </w:p>
          <w:p w:rsidR="00000000" w:rsidRPr="00A20BAB" w:rsidP="00A20BAB">
            <w:pPr>
              <w:pStyle w:val="ListBullet"/>
            </w:pPr>
            <w:r w:rsidRPr="00A20BAB">
              <w:t>researc</w:t>
            </w:r>
            <w:r w:rsidRPr="00A20BAB">
              <w:t>h processes and strategies.</w:t>
            </w:r>
          </w:p>
        </w:tc>
      </w:tr>
    </w:tbl>
    <w:p w:rsidR="00352FF8" w:rsidP="00A20BAB">
      <w:pPr>
        <w:pStyle w:val="BodyText"/>
      </w:pPr>
    </w:p>
    <w:p w:rsidR="00352FF8" w:rsidP="00A20BAB">
      <w:pPr>
        <w:pStyle w:val="BodyText"/>
      </w:pPr>
    </w:p>
    <w:p w:rsidR="00000000" w:rsidRPr="00A20BAB" w:rsidP="00A20BAB">
      <w:pPr>
        <w:pStyle w:val="AllowPageBreak"/>
      </w:pPr>
    </w:p>
    <w:p w:rsidR="00000000" w:rsidRPr="00A20BAB" w:rsidP="00A20BAB">
      <w:pPr>
        <w:pStyle w:val="Heading1"/>
      </w:pPr>
      <w:bookmarkStart w:id="10" w:name="O_242435"/>
      <w:bookmarkEnd w:id="10"/>
      <w:r w:rsidRPr="00A20BAB">
        <w:t>Evidence Guide</w:t>
      </w:r>
    </w:p>
    <w:tbl>
      <w:tblPr>
        <w:tblW w:w="0" w:type="auto"/>
        <w:tblLayout w:type="fixed"/>
        <w:tblCellMar>
          <w:left w:w="62" w:type="dxa"/>
          <w:right w:w="62" w:type="dxa"/>
        </w:tblCellMar>
        <w:tblLook w:val="0000"/>
      </w:tblPr>
      <w:tblGrid>
        <w:gridCol w:w="3513"/>
        <w:gridCol w:w="5009"/>
      </w:tblGrid>
      <w:tr w:rsidTr="00352FF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0BAB">
            <w:pPr>
              <w:pStyle w:val="BodyText"/>
              <w:rPr>
                <w:lang w:val="en-NZ"/>
              </w:rPr>
            </w:pPr>
            <w:r w:rsidRPr="00A20BAB">
              <w:rPr>
                <w:rStyle w:val="SpecialBold"/>
              </w:rPr>
              <w:t>EVIDENCE GUIDE</w:t>
            </w:r>
          </w:p>
        </w:tc>
      </w:tr>
      <w:tr w:rsidTr="00352FF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20BAB">
            <w:pPr>
              <w:pStyle w:val="BodyText"/>
              <w:rPr>
                <w:lang w:val="en-NZ"/>
              </w:rPr>
            </w:pPr>
            <w:r w:rsidRPr="00A20BAB">
              <w:t xml:space="preserve">The evidence guide provides advice on assessment and must be read in conjunction with the performance criteria, required skills and knowledge, </w:t>
            </w:r>
            <w:r w:rsidRPr="00A20BAB">
              <w:t>range statement and the Assessment Guidelines for the Training Package.</w:t>
            </w:r>
          </w:p>
        </w:tc>
      </w:tr>
      <w:tr w:rsidTr="00352FF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t xml:space="preserve">This unit of competency could be assessed in the workplace or a close simulation of the workplace environment, provided that simulated or project-based </w:t>
            </w:r>
            <w:r w:rsidRPr="00A20BAB">
              <w:t xml:space="preserve">assessment techniques fully replicate construction workplace conditions, materials, activities, responsibilities and procedures. </w:t>
            </w:r>
          </w:p>
        </w:tc>
      </w:tr>
      <w:tr w:rsidTr="00352FF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A person who demonstrates compet</w:t>
            </w:r>
            <w:r w:rsidRPr="00A20BAB">
              <w:t>ency in this unit must be able to provide evidence of the ability to:</w:t>
            </w:r>
          </w:p>
          <w:p w:rsidR="00000000" w:rsidRPr="00A20BAB" w:rsidP="00A20BAB">
            <w:pPr>
              <w:pStyle w:val="ListBullet"/>
            </w:pPr>
            <w:r w:rsidRPr="00A20BAB">
              <w:t>comply with OHS regulations applicable to workplace operations</w:t>
            </w:r>
          </w:p>
          <w:p w:rsidR="00000000" w:rsidRPr="00A20BAB" w:rsidP="00A20BAB">
            <w:pPr>
              <w:pStyle w:val="ListBullet"/>
            </w:pPr>
            <w:r w:rsidRPr="00A20BAB">
              <w:t>apply organisational management policies and procedures, including quality assurance requirements where applicable</w:t>
            </w:r>
          </w:p>
          <w:p w:rsidR="00000000" w:rsidRPr="00A20BAB" w:rsidP="00A20BAB">
            <w:pPr>
              <w:pStyle w:val="ListBullet"/>
            </w:pPr>
            <w:r w:rsidRPr="00A20BAB">
              <w:t>perform</w:t>
            </w:r>
            <w:r w:rsidRPr="00A20BAB">
              <w:t xml:space="preserve"> research, interpretation, analysis and reporting of findings for at least one administrative law case relating to building control activities, at least one federal legislation case impacting on building and development control legislation, at least one ot</w:t>
            </w:r>
            <w:r w:rsidRPr="00A20BAB">
              <w:t>her legislation case impacting on building and development control legislation, all in accordance with the professional code of conduct and ethics applicable to building control</w:t>
            </w:r>
          </w:p>
          <w:p w:rsidR="00000000" w:rsidP="00A20BAB">
            <w:pPr>
              <w:pStyle w:val="ListBullet"/>
              <w:rPr>
                <w:lang w:val="en-NZ"/>
              </w:rPr>
            </w:pPr>
            <w:r w:rsidRPr="00A20BAB">
              <w:t>provide reports to appropriate body/individual as determined by the project brief.</w:t>
            </w:r>
          </w:p>
        </w:tc>
      </w:tr>
      <w:tr w:rsidTr="00352FF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This competency is to be assessed using standard and authorised work practices, safety requirements and environmental const</w:t>
            </w:r>
            <w:r w:rsidRPr="00A20BAB">
              <w:t>raints.</w:t>
            </w:r>
          </w:p>
          <w:p w:rsidR="00000000" w:rsidRPr="00A20BAB" w:rsidP="00A20BAB">
            <w:pPr>
              <w:pStyle w:val="BodyText"/>
            </w:pPr>
            <w:r w:rsidRPr="00A20BAB">
              <w:t>Assessment of essential underpinning knowledge will usually be conducted in an off-site context.</w:t>
            </w:r>
          </w:p>
          <w:p w:rsidR="00000000" w:rsidRPr="00A20BAB" w:rsidP="00A20BAB">
            <w:pPr>
              <w:pStyle w:val="BodyText"/>
            </w:pPr>
            <w:r w:rsidRPr="00A20BAB">
              <w:t>Assessment is to comply with relevant regulatory or Australian standards' requirements.</w:t>
            </w:r>
          </w:p>
          <w:p w:rsidR="00000000" w:rsidRPr="00A20BAB" w:rsidP="00A20BAB">
            <w:pPr>
              <w:pStyle w:val="BodyText"/>
            </w:pPr>
            <w:r w:rsidRPr="00A20BAB">
              <w:t>Resource implications for assessment include:</w:t>
            </w:r>
          </w:p>
          <w:p w:rsidR="00000000" w:rsidRPr="00A20BAB" w:rsidP="00A20BAB">
            <w:pPr>
              <w:pStyle w:val="ListBullet"/>
            </w:pPr>
            <w:r w:rsidRPr="00A20BAB">
              <w:t>an induction pro</w:t>
            </w:r>
            <w:r w:rsidRPr="00A20BAB">
              <w:t>cedure and requirement</w:t>
            </w:r>
          </w:p>
          <w:p w:rsidR="00000000" w:rsidRPr="00A20BAB" w:rsidP="00A20BAB">
            <w:pPr>
              <w:pStyle w:val="ListBullet"/>
            </w:pPr>
            <w:r w:rsidRPr="00A20BAB">
              <w:t>realistic tasks or simulated tasks covering the mandatory task requirements</w:t>
            </w:r>
          </w:p>
          <w:p w:rsidR="00000000" w:rsidRPr="00A20BAB" w:rsidP="00A20BAB">
            <w:pPr>
              <w:pStyle w:val="ListBullet"/>
            </w:pPr>
            <w:r w:rsidRPr="00A20BAB">
              <w:t>relevant specifications and work instructions</w:t>
            </w:r>
          </w:p>
          <w:p w:rsidR="00000000" w:rsidRPr="00A20BAB" w:rsidP="00A20BAB">
            <w:pPr>
              <w:pStyle w:val="ListBullet"/>
            </w:pPr>
            <w:r w:rsidRPr="00A20BAB">
              <w:t>tools and equipment appropriate to applying safe work practices</w:t>
            </w:r>
          </w:p>
          <w:p w:rsidR="00000000" w:rsidRPr="00A20BAB" w:rsidP="00A20BAB">
            <w:pPr>
              <w:pStyle w:val="ListBullet"/>
            </w:pPr>
            <w:r w:rsidRPr="00A20BAB">
              <w:t>support materials appropriate to activity</w:t>
            </w:r>
          </w:p>
          <w:p w:rsidR="00000000" w:rsidRPr="00A20BAB" w:rsidP="00A20BAB">
            <w:pPr>
              <w:pStyle w:val="ListBullet"/>
            </w:pPr>
            <w:r w:rsidRPr="00A20BAB">
              <w:t>workp</w:t>
            </w:r>
            <w:r w:rsidRPr="00A20BAB">
              <w:t>lace instructions relating to safe work practices and addressing hazards and emergencies</w:t>
            </w:r>
          </w:p>
          <w:p w:rsidR="00000000" w:rsidRPr="00A20BAB" w:rsidP="00A20BAB">
            <w:pPr>
              <w:pStyle w:val="ListBullet"/>
            </w:pPr>
            <w:r w:rsidRPr="00A20BAB">
              <w:t>material safety data sheets</w:t>
            </w:r>
          </w:p>
          <w:p w:rsidR="00000000" w:rsidRPr="00A20BAB" w:rsidP="00A20BAB">
            <w:pPr>
              <w:pStyle w:val="ListBullet"/>
            </w:pPr>
            <w:r w:rsidRPr="00A20BAB">
              <w:t>research resources, including industry related systems information.</w:t>
            </w:r>
          </w:p>
          <w:p w:rsidR="00000000" w:rsidP="00A20BAB">
            <w:pPr>
              <w:pStyle w:val="BodyText"/>
              <w:rPr>
                <w:lang w:val="en-NZ"/>
              </w:rPr>
            </w:pPr>
            <w:r w:rsidRPr="00A20BAB">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352FF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Method of assessme</w:t>
            </w:r>
            <w:r w:rsidRPr="00A20BAB">
              <w:rPr>
                <w:rStyle w:val="SpecialBold"/>
              </w:rPr>
              <w:t>nt</w:t>
            </w:r>
          </w:p>
        </w:tc>
        <w:tc>
          <w:tcPr>
            <w:tcW w:w="5009"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Assessment methods must:</w:t>
            </w:r>
          </w:p>
          <w:p w:rsidR="00000000" w:rsidRPr="00A20BAB" w:rsidP="00A20BAB">
            <w:pPr>
              <w:pStyle w:val="ListBullet"/>
            </w:pPr>
            <w:r w:rsidRPr="00A20BAB">
              <w:t>satisfy the endorsed Assessment Guidelines of the Construction, Plumbing and Services Training Package</w:t>
            </w:r>
          </w:p>
          <w:p w:rsidR="00000000" w:rsidRPr="00A20BAB" w:rsidP="00A20BAB">
            <w:pPr>
              <w:pStyle w:val="ListBullet"/>
            </w:pPr>
            <w:r w:rsidRPr="00A20BAB">
              <w:t>include direct observation of tasks in real or simulated work conditions, with questioning to confirm the ability to consist</w:t>
            </w:r>
            <w:r w:rsidRPr="00A20BAB">
              <w:t>ently identify and correctly interpret the essential underpinning knowledge required for practical application</w:t>
            </w:r>
          </w:p>
          <w:p w:rsidR="00000000" w:rsidRPr="00A20BAB" w:rsidP="00A20BAB">
            <w:pPr>
              <w:pStyle w:val="ListBullet"/>
            </w:pPr>
            <w:r w:rsidRPr="00A20BAB">
              <w:t>reinforce the integration of employability skills with workplace tasks and job roles</w:t>
            </w:r>
          </w:p>
          <w:p w:rsidR="00000000" w:rsidRPr="00A20BAB" w:rsidP="00A20BAB">
            <w:pPr>
              <w:pStyle w:val="ListBullet"/>
            </w:pPr>
            <w:r w:rsidRPr="00A20BAB">
              <w:t>confirm that competency is verified and able to be transferr</w:t>
            </w:r>
            <w:r w:rsidRPr="00A20BAB">
              <w:t>ed to other circumstances and environments.</w:t>
            </w:r>
          </w:p>
          <w:p w:rsidR="00000000" w:rsidRPr="00A20BAB" w:rsidP="00A20BAB">
            <w:pPr>
              <w:pStyle w:val="BodyText"/>
            </w:pPr>
            <w:r w:rsidRPr="00A20BAB">
              <w:t>Validity and sufficiency of evidence requires that:</w:t>
            </w:r>
          </w:p>
          <w:p w:rsidR="00000000" w:rsidRPr="00A20BAB" w:rsidP="00A20BAB">
            <w:pPr>
              <w:pStyle w:val="ListBullet"/>
            </w:pPr>
            <w:r w:rsidRPr="00A20BAB">
              <w:t>competency will need to be demonstrated over a period of time reflecting the scope of the role and the practical requirements of the workplace</w:t>
            </w:r>
          </w:p>
          <w:p w:rsidR="00000000" w:rsidRPr="00A20BAB" w:rsidP="00A20BAB">
            <w:pPr>
              <w:pStyle w:val="ListBullet"/>
            </w:pPr>
            <w:r w:rsidRPr="00A20BAB">
              <w:t>where the assess</w:t>
            </w:r>
            <w:r w:rsidRPr="00A20BAB">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A20BAB">
              <w:t>the assessor has complete confidence in the person's demonstrated ability and applied knowledge</w:t>
            </w:r>
          </w:p>
          <w:p w:rsidR="00000000" w:rsidRPr="00A20BAB" w:rsidP="00A20BAB">
            <w:pPr>
              <w:pStyle w:val="ListBullet"/>
            </w:pPr>
            <w:r w:rsidRPr="00A20BAB">
              <w:t>all assessment that is part of a structured learning experience must include a combination of direct, indirect and supplementary evidence.</w:t>
            </w:r>
          </w:p>
          <w:p w:rsidR="00000000" w:rsidRPr="00A20BAB" w:rsidP="00A20BAB">
            <w:pPr>
              <w:pStyle w:val="BodyText"/>
            </w:pPr>
            <w:r w:rsidRPr="00A20BAB">
              <w:t xml:space="preserve">Assessment processes </w:t>
            </w:r>
            <w:r w:rsidRPr="00A20BAB">
              <w:t>and techniques should as far as is practical take into account the language, literacy and numeracy capacity of the candidate in relation to the competency being assessed.</w:t>
            </w:r>
          </w:p>
          <w:p w:rsidR="00000000" w:rsidRPr="00A20BAB" w:rsidP="00A20BAB">
            <w:pPr>
              <w:pStyle w:val="BodyText"/>
            </w:pPr>
            <w:r w:rsidRPr="00A20BAB">
              <w:t>Supplementary evidence of competency may be obtained from relevant authenticated docu</w:t>
            </w:r>
            <w:r w:rsidRPr="00A20BAB">
              <w:t xml:space="preserve">mentation from third parties, such as existing supervisors, team leaders or specialist training staff. </w:t>
            </w:r>
          </w:p>
        </w:tc>
      </w:tr>
    </w:tbl>
    <w:p w:rsidR="00352FF8" w:rsidP="00A20BAB">
      <w:pPr>
        <w:pStyle w:val="BodyText"/>
      </w:pPr>
    </w:p>
    <w:p w:rsidR="00352FF8" w:rsidP="00A20BAB">
      <w:pPr>
        <w:pStyle w:val="BodyText"/>
      </w:pPr>
    </w:p>
    <w:p w:rsidR="00000000" w:rsidRPr="00A20BAB" w:rsidP="00A20BAB">
      <w:pPr>
        <w:pStyle w:val="Heading1"/>
      </w:pPr>
      <w:bookmarkStart w:id="11" w:name="O_250418"/>
      <w:bookmarkEnd w:id="11"/>
      <w:r w:rsidRPr="00A20BAB">
        <w:t>Range Statement</w:t>
      </w:r>
    </w:p>
    <w:tbl>
      <w:tblPr>
        <w:tblW w:w="0" w:type="auto"/>
        <w:tblLayout w:type="fixed"/>
        <w:tblCellMar>
          <w:left w:w="62" w:type="dxa"/>
          <w:right w:w="62" w:type="dxa"/>
        </w:tblCellMar>
        <w:tblLook w:val="0000"/>
      </w:tblPr>
      <w:tblGrid>
        <w:gridCol w:w="3480"/>
        <w:gridCol w:w="5042"/>
      </w:tblGrid>
      <w:tr w:rsidTr="00352FF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0BAB">
            <w:pPr>
              <w:pStyle w:val="BodyText"/>
              <w:rPr>
                <w:lang w:val="en-NZ"/>
              </w:rPr>
            </w:pPr>
            <w:r w:rsidRPr="00A20BAB">
              <w:rPr>
                <w:rStyle w:val="SpecialBold"/>
              </w:rPr>
              <w:t>RANGE STATEMENT</w:t>
            </w:r>
          </w:p>
        </w:tc>
      </w:tr>
      <w:tr w:rsidTr="00352FF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20BAB">
            <w:pPr>
              <w:pStyle w:val="BodyText"/>
              <w:rPr>
                <w:lang w:val="en-NZ"/>
              </w:rPr>
            </w:pPr>
            <w:r w:rsidRPr="00A20BAB">
              <w:t>The range statement relates to the unit of competency as a</w:t>
            </w:r>
            <w:r w:rsidRPr="00A20BAB">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A20BAB">
              <w:t>depending on the work situation, needs of the candidate, accessibility of the item, and local industry and regional contexts) may also be included.</w:t>
            </w:r>
          </w:p>
        </w:tc>
      </w:tr>
      <w:tr w:rsidTr="00352FF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BoldandItalics"/>
              </w:rPr>
              <w:t>Australian common law</w:t>
            </w:r>
            <w:r w:rsidRPr="00A20BAB">
              <w:t xml:space="preserve"> includes:</w:t>
            </w:r>
          </w:p>
        </w:tc>
        <w:tc>
          <w:tcPr>
            <w:tcW w:w="5042" w:type="dxa"/>
            <w:tcBorders>
              <w:top w:val="nil"/>
              <w:left w:val="nil"/>
              <w:bottom w:val="nil"/>
              <w:right w:val="nil"/>
            </w:tcBorders>
            <w:tcMar>
              <w:top w:w="0" w:type="dxa"/>
              <w:left w:w="62" w:type="dxa"/>
              <w:bottom w:w="0" w:type="dxa"/>
              <w:right w:w="62" w:type="dxa"/>
            </w:tcMar>
          </w:tcPr>
          <w:p w:rsidR="00000000" w:rsidRPr="00A20BAB" w:rsidP="00A20BAB">
            <w:pPr>
              <w:pStyle w:val="ListBullet"/>
            </w:pPr>
            <w:r w:rsidRPr="00A20BAB">
              <w:t>professional code of ethics required for the assessment and inspection of buildings</w:t>
            </w:r>
          </w:p>
          <w:p w:rsidR="00000000" w:rsidP="00A20BAB">
            <w:pPr>
              <w:pStyle w:val="ListBullet"/>
              <w:rPr>
                <w:lang w:val="en-NZ"/>
              </w:rPr>
            </w:pPr>
            <w:r w:rsidRPr="00A20BAB">
              <w:t>system and laws applicable to building surveying.</w:t>
            </w:r>
          </w:p>
        </w:tc>
      </w:tr>
      <w:tr w:rsidTr="00352FF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BoldandItalics"/>
              </w:rPr>
              <w:t>Building control legislation</w:t>
            </w:r>
            <w:r w:rsidRPr="00A20BAB">
              <w:t xml:space="preserve"> includes:</w:t>
            </w:r>
          </w:p>
        </w:tc>
        <w:tc>
          <w:tcPr>
            <w:tcW w:w="5042" w:type="dxa"/>
            <w:tcBorders>
              <w:top w:val="nil"/>
              <w:left w:val="nil"/>
              <w:bottom w:val="nil"/>
              <w:right w:val="nil"/>
            </w:tcBorders>
            <w:tcMar>
              <w:top w:w="0" w:type="dxa"/>
              <w:left w:w="62" w:type="dxa"/>
              <w:bottom w:w="0" w:type="dxa"/>
              <w:right w:w="62" w:type="dxa"/>
            </w:tcMar>
          </w:tcPr>
          <w:p w:rsidR="00000000" w:rsidP="00A20BAB">
            <w:pPr>
              <w:pStyle w:val="ListBullet"/>
              <w:rPr>
                <w:lang w:val="en-NZ"/>
              </w:rPr>
            </w:pPr>
            <w:r w:rsidRPr="00A20BAB">
              <w:t>domestic scale buildings and structures.</w:t>
            </w:r>
          </w:p>
        </w:tc>
      </w:tr>
      <w:tr w:rsidTr="00352FF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BoldandItalics"/>
              </w:rPr>
              <w:t>Evidence</w:t>
            </w:r>
            <w:r w:rsidRPr="00A20BAB">
              <w:t xml:space="preserve"> includes:</w:t>
            </w:r>
          </w:p>
        </w:tc>
        <w:tc>
          <w:tcPr>
            <w:tcW w:w="5042" w:type="dxa"/>
            <w:tcBorders>
              <w:top w:val="nil"/>
              <w:left w:val="nil"/>
              <w:bottom w:val="nil"/>
              <w:right w:val="nil"/>
            </w:tcBorders>
            <w:tcMar>
              <w:top w:w="0" w:type="dxa"/>
              <w:left w:w="62" w:type="dxa"/>
              <w:bottom w:w="0" w:type="dxa"/>
              <w:right w:w="62" w:type="dxa"/>
            </w:tcMar>
          </w:tcPr>
          <w:p w:rsidR="00000000" w:rsidP="00A20BAB">
            <w:pPr>
              <w:pStyle w:val="ListBullet"/>
              <w:rPr>
                <w:lang w:val="en-NZ"/>
              </w:rPr>
            </w:pPr>
            <w:r w:rsidRPr="00A20BAB">
              <w:t>oral</w:t>
            </w:r>
            <w:r w:rsidRPr="00A20BAB">
              <w:t>, documented, real, direct, secondary, hearsay and admissible and inadmissible evidence.</w:t>
            </w:r>
          </w:p>
        </w:tc>
      </w:tr>
      <w:tr w:rsidTr="00352FF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BoldandItalics"/>
              </w:rPr>
              <w:t>Federal legislation</w:t>
            </w:r>
            <w:r w:rsidRPr="00A20BAB">
              <w:t xml:space="preserve"> includes:</w:t>
            </w:r>
          </w:p>
        </w:tc>
        <w:tc>
          <w:tcPr>
            <w:tcW w:w="5042" w:type="dxa"/>
            <w:tcBorders>
              <w:top w:val="nil"/>
              <w:left w:val="nil"/>
              <w:bottom w:val="nil"/>
              <w:right w:val="nil"/>
            </w:tcBorders>
            <w:tcMar>
              <w:top w:w="0" w:type="dxa"/>
              <w:left w:w="62" w:type="dxa"/>
              <w:bottom w:w="0" w:type="dxa"/>
              <w:right w:w="62" w:type="dxa"/>
            </w:tcMar>
          </w:tcPr>
          <w:p w:rsidR="00000000" w:rsidP="00A20BAB">
            <w:pPr>
              <w:pStyle w:val="ListBullet"/>
              <w:rPr>
                <w:lang w:val="en-NZ"/>
              </w:rPr>
            </w:pPr>
            <w:r w:rsidRPr="00A20BAB">
              <w:t>DDA.</w:t>
            </w:r>
          </w:p>
        </w:tc>
      </w:tr>
      <w:tr w:rsidTr="00352FF8">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BoldandItalics"/>
              </w:rPr>
              <w:t>State and territory legislation</w:t>
            </w:r>
            <w:r w:rsidRPr="00A20BAB">
              <w:t xml:space="preserve"> includes:</w:t>
            </w:r>
          </w:p>
        </w:tc>
        <w:tc>
          <w:tcPr>
            <w:tcW w:w="5042" w:type="dxa"/>
            <w:tcBorders>
              <w:top w:val="nil"/>
              <w:left w:val="nil"/>
              <w:bottom w:val="nil"/>
              <w:right w:val="nil"/>
            </w:tcBorders>
            <w:tcMar>
              <w:top w:w="0" w:type="dxa"/>
              <w:left w:w="62" w:type="dxa"/>
              <w:bottom w:w="0" w:type="dxa"/>
              <w:right w:w="62" w:type="dxa"/>
            </w:tcMar>
          </w:tcPr>
          <w:p w:rsidR="00000000" w:rsidRPr="00A20BAB" w:rsidP="00A20BAB">
            <w:pPr>
              <w:pStyle w:val="ListBullet"/>
            </w:pPr>
            <w:r w:rsidRPr="00A20BAB">
              <w:t>environmental health</w:t>
            </w:r>
          </w:p>
          <w:p w:rsidR="00000000" w:rsidRPr="00A20BAB" w:rsidP="00A20BAB">
            <w:pPr>
              <w:pStyle w:val="ListBullet"/>
            </w:pPr>
            <w:r w:rsidRPr="00A20BAB">
              <w:t>local government by-laws</w:t>
            </w:r>
          </w:p>
          <w:p w:rsidR="00000000" w:rsidRPr="00A20BAB" w:rsidP="00A20BAB">
            <w:pPr>
              <w:pStyle w:val="ListBullet"/>
            </w:pPr>
            <w:r w:rsidRPr="00A20BAB">
              <w:t>OHS</w:t>
            </w:r>
          </w:p>
          <w:p w:rsidR="00000000" w:rsidRPr="00A20BAB" w:rsidP="00A20BAB">
            <w:pPr>
              <w:pStyle w:val="ListBullet"/>
            </w:pPr>
            <w:r w:rsidRPr="00A20BAB">
              <w:t>planning.</w:t>
            </w:r>
          </w:p>
        </w:tc>
      </w:tr>
    </w:tbl>
    <w:p w:rsidR="00352FF8" w:rsidP="00A20BAB">
      <w:pPr>
        <w:pStyle w:val="BodyText"/>
      </w:pPr>
    </w:p>
    <w:p w:rsidR="00352FF8" w:rsidP="00A20BAB">
      <w:pPr>
        <w:pStyle w:val="BodyText"/>
      </w:pPr>
    </w:p>
    <w:p w:rsidR="00000000" w:rsidRPr="00A20BAB" w:rsidP="00A20BAB">
      <w:pPr>
        <w:pStyle w:val="Heading1"/>
      </w:pPr>
      <w:bookmarkStart w:id="12" w:name="O_198947"/>
      <w:bookmarkEnd w:id="12"/>
      <w:r w:rsidRPr="00A20BAB">
        <w:t>Unit Sector(s)</w:t>
      </w:r>
    </w:p>
    <w:tbl>
      <w:tblPr>
        <w:tblW w:w="0" w:type="auto"/>
        <w:tblLayout w:type="fixed"/>
        <w:tblCellMar>
          <w:left w:w="62" w:type="dxa"/>
          <w:right w:w="62" w:type="dxa"/>
        </w:tblCellMar>
        <w:tblLook w:val="0000"/>
      </w:tblPr>
      <w:tblGrid>
        <w:gridCol w:w="2604"/>
        <w:gridCol w:w="5918"/>
      </w:tblGrid>
      <w:tr w:rsidTr="00352FF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A20BAB" w:rsidP="00A20BAB">
            <w:pPr>
              <w:pStyle w:val="BodyText"/>
            </w:pPr>
            <w:r w:rsidRPr="00A20BAB">
              <w:t>Construction</w:t>
            </w:r>
          </w:p>
        </w:tc>
      </w:tr>
    </w:tbl>
    <w:p w:rsidR="00352FF8" w:rsidP="00A20BAB">
      <w:pPr>
        <w:pStyle w:val="BodyText"/>
      </w:pPr>
    </w:p>
    <w:p w:rsidR="00352FF8" w:rsidP="00A20BAB">
      <w:pPr>
        <w:pStyle w:val="BodyText"/>
      </w:pPr>
    </w:p>
    <w:p w:rsidR="00000000" w:rsidRPr="00A20BAB" w:rsidP="00A20BAB">
      <w:pPr>
        <w:pStyle w:val="Heading1"/>
      </w:pPr>
      <w:bookmarkStart w:id="13" w:name="O_198944"/>
      <w:bookmarkEnd w:id="13"/>
      <w:r w:rsidRPr="00A20BAB">
        <w:t>Co-requisite units</w:t>
      </w:r>
    </w:p>
    <w:tbl>
      <w:tblPr>
        <w:tblW w:w="0" w:type="auto"/>
        <w:tblLayout w:type="fixed"/>
        <w:tblCellMar>
          <w:left w:w="62" w:type="dxa"/>
          <w:right w:w="62" w:type="dxa"/>
        </w:tblCellMar>
        <w:tblLook w:val="0000"/>
      </w:tblPr>
      <w:tblGrid>
        <w:gridCol w:w="2620"/>
        <w:gridCol w:w="1340"/>
        <w:gridCol w:w="4562"/>
      </w:tblGrid>
      <w:tr w:rsidTr="00352FF8">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t>Nil</w:t>
            </w:r>
          </w:p>
        </w:tc>
      </w:tr>
      <w:tr w:rsidTr="00352FF8">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p>
        </w:tc>
      </w:tr>
      <w:tr w:rsidTr="00352FF8">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A20BAB" w:rsidP="00A20BAB">
            <w:pPr>
              <w:pStyle w:val="BodyText"/>
            </w:pPr>
          </w:p>
        </w:tc>
      </w:tr>
    </w:tbl>
    <w:p w:rsidR="00352FF8" w:rsidP="00A20BAB">
      <w:pPr>
        <w:pStyle w:val="BodyText"/>
      </w:pPr>
    </w:p>
    <w:p w:rsidR="00352FF8" w:rsidP="00A20BAB">
      <w:pPr>
        <w:pStyle w:val="BodyText"/>
      </w:pPr>
    </w:p>
    <w:p w:rsidR="00000000" w:rsidRPr="00A20BAB" w:rsidP="00A20BAB">
      <w:pPr>
        <w:pStyle w:val="Heading1"/>
      </w:pPr>
      <w:bookmarkStart w:id="14" w:name="O_198946"/>
      <w:bookmarkEnd w:id="14"/>
      <w:r w:rsidRPr="00A20BAB">
        <w:t>Functional area</w:t>
      </w:r>
    </w:p>
    <w:tbl>
      <w:tblPr>
        <w:tblW w:w="0" w:type="auto"/>
        <w:tblLayout w:type="fixed"/>
        <w:tblCellMar>
          <w:left w:w="62" w:type="dxa"/>
          <w:right w:w="62" w:type="dxa"/>
        </w:tblCellMar>
        <w:tblLook w:val="0000"/>
      </w:tblPr>
      <w:tblGrid>
        <w:gridCol w:w="2710"/>
        <w:gridCol w:w="5812"/>
      </w:tblGrid>
      <w:tr w:rsidTr="00352FF8">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A20BAB">
            <w:pPr>
              <w:pStyle w:val="BodyText"/>
              <w:rPr>
                <w:lang w:val="en-NZ"/>
              </w:rPr>
            </w:pPr>
            <w:r w:rsidRPr="00A20BAB">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A20BAB" w:rsidP="00A20BAB">
            <w:pPr>
              <w:pStyle w:val="BodyText"/>
            </w:pPr>
          </w:p>
        </w:tc>
      </w:tr>
    </w:tbl>
    <w:p w:rsidR="00352FF8" w:rsidP="00A20BAB">
      <w:pPr>
        <w:pStyle w:val="BodyText"/>
      </w:pPr>
    </w:p>
    <w:p w:rsidR="00352FF8" w:rsidP="00A20BAB">
      <w:pPr>
        <w:pStyle w:val="BodyText"/>
      </w:pPr>
    </w:p>
    <w:p w:rsidR="00000000" w:rsidRPr="00A20BAB" w:rsidP="00A20BAB"/>
    <w:sectPr w:rsidSect="00A20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FF8" w:rsidP="00352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F8" w:rsidP="00A20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52FF8" w:rsidP="00A20B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2FF8" w:rsidP="00A20B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FF8" w:rsidP="00352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F8" w:rsidP="00A20BAB">
    <w:pPr>
      <w:pStyle w:val="Header"/>
      <w:framePr w:wrap="around"/>
    </w:pPr>
    <w:r>
      <w:fldChar w:fldCharType="begin"/>
    </w:r>
    <w:r>
      <w:instrText xml:space="preserve"> TITLE   \* MERGEFORMAT </w:instrText>
    </w:r>
    <w:r>
      <w:fldChar w:fldCharType="separate"/>
    </w:r>
    <w:r>
      <w:t>CPCCSV5008A Apply building control legislation to building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2FF8" w:rsidP="00A20B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E6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E7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81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B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0BAB"/>
    <w:pPr>
      <w:spacing w:before="360" w:after="60"/>
      <w:outlineLvl w:val="0"/>
    </w:pPr>
    <w:rPr>
      <w:sz w:val="32"/>
    </w:rPr>
  </w:style>
  <w:style w:type="paragraph" w:styleId="Heading2">
    <w:name w:val="heading 2"/>
    <w:basedOn w:val="HeadingBase"/>
    <w:next w:val="BodyText"/>
    <w:link w:val="Heading2Char"/>
    <w:qFormat/>
    <w:rsid w:val="00A20BAB"/>
    <w:pPr>
      <w:keepLines/>
      <w:spacing w:before="240" w:after="120"/>
      <w:outlineLvl w:val="1"/>
    </w:pPr>
    <w:rPr>
      <w:sz w:val="28"/>
      <w:szCs w:val="40"/>
    </w:rPr>
  </w:style>
  <w:style w:type="paragraph" w:styleId="Heading3">
    <w:name w:val="heading 3"/>
    <w:basedOn w:val="HeadingBase"/>
    <w:next w:val="BodyText"/>
    <w:link w:val="Heading3Char"/>
    <w:qFormat/>
    <w:rsid w:val="00A20BAB"/>
    <w:pPr>
      <w:spacing w:before="180" w:after="120"/>
      <w:outlineLvl w:val="2"/>
    </w:pPr>
    <w:rPr>
      <w:spacing w:val="-10"/>
      <w:kern w:val="32"/>
    </w:rPr>
  </w:style>
  <w:style w:type="paragraph" w:styleId="Heading4">
    <w:name w:val="heading 4"/>
    <w:basedOn w:val="HeadingBase"/>
    <w:next w:val="BodyText"/>
    <w:link w:val="Heading4Char"/>
    <w:qFormat/>
    <w:rsid w:val="00A20BAB"/>
    <w:pPr>
      <w:spacing w:before="160" w:after="120"/>
      <w:outlineLvl w:val="3"/>
    </w:pPr>
    <w:rPr>
      <w:sz w:val="22"/>
    </w:rPr>
  </w:style>
  <w:style w:type="paragraph" w:styleId="Heading5">
    <w:name w:val="heading 5"/>
    <w:basedOn w:val="HeadingBase"/>
    <w:next w:val="Normal"/>
    <w:link w:val="Heading5Char"/>
    <w:qFormat/>
    <w:rsid w:val="00A20BAB"/>
    <w:pPr>
      <w:spacing w:before="80"/>
      <w:outlineLvl w:val="4"/>
    </w:pPr>
    <w:rPr>
      <w:color w:val="918585"/>
      <w:sz w:val="20"/>
    </w:rPr>
  </w:style>
  <w:style w:type="paragraph" w:styleId="Heading6">
    <w:name w:val="heading 6"/>
    <w:basedOn w:val="HeadingBase"/>
    <w:next w:val="Normal"/>
    <w:link w:val="Heading6Char"/>
    <w:qFormat/>
    <w:rsid w:val="00A20BAB"/>
    <w:pPr>
      <w:spacing w:before="60"/>
      <w:outlineLvl w:val="5"/>
    </w:pPr>
    <w:rPr>
      <w:color w:val="918585"/>
      <w:sz w:val="20"/>
    </w:rPr>
  </w:style>
  <w:style w:type="paragraph" w:styleId="Heading7">
    <w:name w:val="heading 7"/>
    <w:basedOn w:val="Normal"/>
    <w:next w:val="Normal"/>
    <w:link w:val="Heading7Char"/>
    <w:qFormat/>
    <w:rsid w:val="00A20BAB"/>
    <w:pPr>
      <w:ind w:left="720"/>
      <w:outlineLvl w:val="6"/>
    </w:pPr>
    <w:rPr>
      <w:i/>
    </w:rPr>
  </w:style>
  <w:style w:type="paragraph" w:styleId="Heading8">
    <w:name w:val="heading 8"/>
    <w:basedOn w:val="Normal"/>
    <w:next w:val="Normal"/>
    <w:link w:val="Heading8Char"/>
    <w:qFormat/>
    <w:rsid w:val="00A20BAB"/>
    <w:pPr>
      <w:ind w:left="720"/>
      <w:outlineLvl w:val="7"/>
    </w:pPr>
    <w:rPr>
      <w:i/>
    </w:rPr>
  </w:style>
  <w:style w:type="paragraph" w:styleId="Heading9">
    <w:name w:val="heading 9"/>
    <w:basedOn w:val="Normal"/>
    <w:next w:val="Normal"/>
    <w:link w:val="Heading9Char"/>
    <w:qFormat/>
    <w:rsid w:val="00A20BAB"/>
    <w:pPr>
      <w:ind w:left="720"/>
      <w:outlineLvl w:val="8"/>
    </w:pPr>
    <w:rPr>
      <w:i/>
    </w:rPr>
  </w:style>
  <w:style w:type="character" w:default="1" w:styleId="DefaultParagraphFont">
    <w:name w:val="Default Paragraph Font"/>
    <w:uiPriority w:val="1"/>
    <w:unhideWhenUsed/>
    <w:rsid w:val="00A20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BAB"/>
  </w:style>
  <w:style w:type="character" w:customStyle="1" w:styleId="Heading1Char">
    <w:name w:val="Heading 1 Char"/>
    <w:basedOn w:val="DefaultParagraphFont"/>
    <w:link w:val="Heading1"/>
    <w:rsid w:val="00A20BAB"/>
    <w:rPr>
      <w:rFonts w:ascii="Times New Roman" w:eastAsia="Times New Roman" w:hAnsi="Times New Roman" w:cs="Times New Roman"/>
      <w:b/>
      <w:sz w:val="32"/>
      <w:szCs w:val="20"/>
      <w:lang w:eastAsia="en-US"/>
    </w:rPr>
  </w:style>
  <w:style w:type="paragraph" w:styleId="BodyText">
    <w:name w:val="Body Text"/>
    <w:basedOn w:val="Normal"/>
    <w:link w:val="BodyTextChar"/>
    <w:rsid w:val="00A20B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BAB"/>
    <w:rPr>
      <w:rFonts w:ascii="Times New Roman" w:eastAsia="Times New Roman" w:hAnsi="Times New Roman" w:cs="Times New Roman"/>
      <w:sz w:val="24"/>
      <w:lang w:val="en-US" w:eastAsia="en-US"/>
    </w:rPr>
  </w:style>
  <w:style w:type="paragraph" w:styleId="Footer">
    <w:name w:val="footer"/>
    <w:basedOn w:val="Normal"/>
    <w:link w:val="FooterChar"/>
    <w:rsid w:val="00A20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BAB"/>
    <w:rPr>
      <w:rFonts w:ascii="Times New Roman" w:eastAsia="Times New Roman" w:hAnsi="Times New Roman" w:cs="Times New Roman"/>
      <w:sz w:val="16"/>
      <w:lang w:val="en-US" w:eastAsia="en-US"/>
    </w:rPr>
  </w:style>
  <w:style w:type="paragraph" w:styleId="List">
    <w:name w:val="List"/>
    <w:basedOn w:val="BodyText"/>
    <w:next w:val="BodyText"/>
    <w:rsid w:val="00A20BAB"/>
    <w:pPr>
      <w:tabs>
        <w:tab w:val="left" w:pos="340"/>
      </w:tabs>
      <w:spacing w:before="60" w:after="60"/>
      <w:ind w:left="340" w:hanging="340"/>
    </w:pPr>
  </w:style>
  <w:style w:type="paragraph" w:styleId="ListBullet">
    <w:name w:val="List Bullet"/>
    <w:basedOn w:val="List"/>
    <w:rsid w:val="00A20BAB"/>
    <w:pPr>
      <w:numPr>
        <w:numId w:val="14"/>
      </w:numPr>
      <w:tabs>
        <w:tab w:val="clear" w:pos="340"/>
      </w:tabs>
      <w:spacing w:before="40" w:after="40"/>
    </w:pPr>
  </w:style>
  <w:style w:type="character" w:customStyle="1" w:styleId="SpecialBold">
    <w:name w:val="Special Bold"/>
    <w:basedOn w:val="DefaultParagraphFont"/>
    <w:rsid w:val="00A20BAB"/>
    <w:rPr>
      <w:b/>
      <w:spacing w:val="0"/>
    </w:rPr>
  </w:style>
  <w:style w:type="paragraph" w:styleId="ListBullet2">
    <w:name w:val="List Bullet 2"/>
    <w:basedOn w:val="List2"/>
    <w:rsid w:val="00A20BAB"/>
    <w:pPr>
      <w:numPr>
        <w:numId w:val="15"/>
      </w:numPr>
      <w:tabs>
        <w:tab w:val="clear" w:pos="680"/>
      </w:tabs>
    </w:pPr>
  </w:style>
  <w:style w:type="paragraph" w:styleId="Header">
    <w:name w:val="header"/>
    <w:basedOn w:val="Normal"/>
    <w:link w:val="HeaderChar"/>
    <w:rsid w:val="00A20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B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0BAB"/>
    <w:pPr>
      <w:spacing w:before="240" w:after="120"/>
      <w:outlineLvl w:val="0"/>
    </w:pPr>
    <w:rPr>
      <w:rFonts w:ascii="Times New Roman" w:hAnsi="Times New Roman"/>
      <w:b/>
      <w:sz w:val="28"/>
    </w:rPr>
  </w:style>
  <w:style w:type="paragraph" w:customStyle="1" w:styleId="AllowPageBreak">
    <w:name w:val="AllowPageBreak"/>
    <w:rsid w:val="00A20B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0BAB"/>
    <w:pPr>
      <w:tabs>
        <w:tab w:val="left" w:pos="680"/>
      </w:tabs>
      <w:spacing w:before="60" w:after="60"/>
      <w:ind w:left="680" w:hanging="340"/>
    </w:pPr>
  </w:style>
  <w:style w:type="paragraph" w:styleId="ListBullet3">
    <w:name w:val="List Bullet 3"/>
    <w:basedOn w:val="List3"/>
    <w:rsid w:val="00A20BAB"/>
    <w:pPr>
      <w:numPr>
        <w:numId w:val="3"/>
      </w:numPr>
      <w:tabs>
        <w:tab w:val="clear" w:pos="1021"/>
      </w:tabs>
      <w:ind w:left="1037" w:hanging="357"/>
    </w:pPr>
  </w:style>
  <w:style w:type="character" w:customStyle="1" w:styleId="BoldandItalics">
    <w:name w:val="Bold and Italics"/>
    <w:qFormat/>
    <w:rsid w:val="00A20BAB"/>
    <w:rPr>
      <w:b/>
      <w:i/>
      <w:u w:val="none"/>
    </w:rPr>
  </w:style>
  <w:style w:type="character" w:customStyle="1" w:styleId="Heading2Char">
    <w:name w:val="Heading 2 Char"/>
    <w:basedOn w:val="DefaultParagraphFont"/>
    <w:link w:val="Heading2"/>
    <w:rsid w:val="00A20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B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0B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0BAB"/>
    <w:rPr>
      <w:rFonts w:ascii="Courier New" w:eastAsia="Times New Roman" w:hAnsi="Courier New" w:cs="Times New Roman"/>
      <w:i/>
      <w:szCs w:val="20"/>
      <w:lang w:val="en-US" w:eastAsia="en-US"/>
    </w:rPr>
  </w:style>
  <w:style w:type="paragraph" w:customStyle="1" w:styleId="HeadingBase">
    <w:name w:val="Heading Base"/>
    <w:rsid w:val="00A20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BAB"/>
    <w:pPr>
      <w:tabs>
        <w:tab w:val="right" w:leader="dot" w:pos="9072"/>
      </w:tabs>
      <w:ind w:left="567"/>
    </w:pPr>
    <w:rPr>
      <w:szCs w:val="22"/>
    </w:rPr>
  </w:style>
  <w:style w:type="paragraph" w:customStyle="1" w:styleId="TOCBase">
    <w:name w:val="TOC Base"/>
    <w:rsid w:val="00A20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BAB"/>
    <w:pPr>
      <w:tabs>
        <w:tab w:val="right" w:leader="dot" w:pos="9072"/>
      </w:tabs>
      <w:spacing w:before="40" w:after="40"/>
      <w:ind w:left="284"/>
    </w:pPr>
    <w:rPr>
      <w:rFonts w:ascii="Times New Roman" w:hAnsi="Times New Roman"/>
    </w:rPr>
  </w:style>
  <w:style w:type="paragraph" w:styleId="TOC1">
    <w:name w:val="toc 1"/>
    <w:basedOn w:val="TOCBase"/>
    <w:next w:val="Normal"/>
    <w:rsid w:val="00A20B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0BAB"/>
    <w:pPr>
      <w:spacing w:before="5040"/>
      <w:jc w:val="center"/>
    </w:pPr>
    <w:rPr>
      <w:sz w:val="48"/>
      <w:szCs w:val="72"/>
      <w:lang w:val="en-US"/>
    </w:rPr>
  </w:style>
  <w:style w:type="character" w:customStyle="1" w:styleId="TitleChar">
    <w:name w:val="Title Char"/>
    <w:basedOn w:val="DefaultParagraphFont"/>
    <w:link w:val="Title"/>
    <w:rsid w:val="00A20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BAB"/>
    <w:pPr>
      <w:tabs>
        <w:tab w:val="left" w:pos="3600"/>
        <w:tab w:val="left" w:pos="3958"/>
      </w:tabs>
    </w:pPr>
  </w:style>
  <w:style w:type="paragraph" w:customStyle="1" w:styleId="Note">
    <w:name w:val="Note"/>
    <w:basedOn w:val="BodyText"/>
    <w:rsid w:val="00A20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BAB"/>
    <w:pPr>
      <w:framePr w:wrap="auto" w:hAnchor="text" w:y="6049"/>
    </w:pPr>
    <w:rPr>
      <w:color w:val="000000"/>
      <w:sz w:val="40"/>
    </w:rPr>
  </w:style>
  <w:style w:type="paragraph" w:customStyle="1" w:styleId="TOCTitle">
    <w:name w:val="TOCTitle"/>
    <w:basedOn w:val="Heading1"/>
    <w:rsid w:val="00A20BAB"/>
    <w:pPr>
      <w:spacing w:after="240"/>
      <w:jc w:val="center"/>
      <w:outlineLvl w:val="9"/>
    </w:pPr>
    <w:rPr>
      <w:caps/>
    </w:rPr>
  </w:style>
  <w:style w:type="paragraph" w:customStyle="1" w:styleId="Version">
    <w:name w:val="Version"/>
    <w:rsid w:val="00A20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BAB"/>
    <w:pPr>
      <w:keepNext w:val="0"/>
      <w:tabs>
        <w:tab w:val="right" w:pos="4176"/>
      </w:tabs>
      <w:ind w:left="198" w:hanging="198"/>
    </w:pPr>
    <w:rPr>
      <w:rFonts w:ascii="Garamond" w:hAnsi="Garamond"/>
    </w:rPr>
  </w:style>
  <w:style w:type="paragraph" w:styleId="IndexHeading">
    <w:name w:val="index heading"/>
    <w:basedOn w:val="Normal"/>
    <w:next w:val="Index1"/>
    <w:semiHidden/>
    <w:rsid w:val="00A20BAB"/>
    <w:pPr>
      <w:spacing w:before="120" w:after="120"/>
    </w:pPr>
    <w:rPr>
      <w:rFonts w:ascii="Arial" w:hAnsi="Arial"/>
      <w:b/>
      <w:color w:val="918585"/>
      <w:sz w:val="24"/>
    </w:rPr>
  </w:style>
  <w:style w:type="paragraph" w:customStyle="1" w:styleId="Chapter">
    <w:name w:val="Chapter"/>
    <w:basedOn w:val="Normal"/>
    <w:rsid w:val="00A20BAB"/>
    <w:pPr>
      <w:spacing w:before="240"/>
    </w:pPr>
    <w:rPr>
      <w:rFonts w:ascii="Times New Roman" w:hAnsi="Times New Roman"/>
      <w:smallCaps/>
      <w:spacing w:val="80"/>
      <w:sz w:val="28"/>
    </w:rPr>
  </w:style>
  <w:style w:type="paragraph" w:customStyle="1" w:styleId="InChapter">
    <w:name w:val="InChapter"/>
    <w:basedOn w:val="Heading3"/>
    <w:rsid w:val="00A20BAB"/>
    <w:pPr>
      <w:spacing w:after="240"/>
      <w:outlineLvl w:val="9"/>
    </w:pPr>
    <w:rPr>
      <w:noProof/>
    </w:rPr>
  </w:style>
  <w:style w:type="paragraph" w:styleId="Index2">
    <w:name w:val="index 2"/>
    <w:basedOn w:val="Normal"/>
    <w:next w:val="Normal"/>
    <w:semiHidden/>
    <w:rsid w:val="00A20BAB"/>
    <w:pPr>
      <w:tabs>
        <w:tab w:val="right" w:pos="4176"/>
      </w:tabs>
      <w:ind w:left="568" w:hanging="284"/>
    </w:pPr>
    <w:rPr>
      <w:rFonts w:ascii="Garamond" w:hAnsi="Garamond"/>
    </w:rPr>
  </w:style>
  <w:style w:type="paragraph" w:customStyle="1" w:styleId="Byline">
    <w:name w:val="Byline"/>
    <w:rsid w:val="00A20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BAB"/>
    <w:pPr>
      <w:tabs>
        <w:tab w:val="clear" w:pos="3600"/>
        <w:tab w:val="clear" w:pos="3958"/>
      </w:tabs>
      <w:jc w:val="right"/>
    </w:pPr>
  </w:style>
  <w:style w:type="character" w:styleId="Emphasis">
    <w:name w:val="Emphasis"/>
    <w:basedOn w:val="DefaultParagraphFont"/>
    <w:qFormat/>
    <w:rsid w:val="00A20BAB"/>
    <w:rPr>
      <w:i/>
    </w:rPr>
  </w:style>
  <w:style w:type="paragraph" w:styleId="Caption">
    <w:name w:val="caption"/>
    <w:basedOn w:val="BodyText"/>
    <w:next w:val="Normal"/>
    <w:qFormat/>
    <w:rsid w:val="00A20BAB"/>
    <w:pPr>
      <w:framePr w:w="2268" w:hSpace="181" w:vSpace="181" w:wrap="around" w:vAnchor="text" w:hAnchor="page" w:x="1135" w:y="285" w:anchorLock="1"/>
    </w:pPr>
    <w:rPr>
      <w:i/>
    </w:rPr>
  </w:style>
  <w:style w:type="paragraph" w:customStyle="1" w:styleId="MiniTOCTitle">
    <w:name w:val="MiniTOCTitle"/>
    <w:basedOn w:val="Heading4"/>
    <w:rsid w:val="00A20BAB"/>
    <w:pPr>
      <w:spacing w:before="240"/>
      <w:outlineLvl w:val="9"/>
    </w:pPr>
    <w:rPr>
      <w:noProof/>
      <w:sz w:val="24"/>
    </w:rPr>
  </w:style>
  <w:style w:type="paragraph" w:customStyle="1" w:styleId="MiniTOCItem">
    <w:name w:val="MiniTOCItem"/>
    <w:basedOn w:val="ListBullet"/>
    <w:rsid w:val="00A20BAB"/>
    <w:pPr>
      <w:numPr>
        <w:numId w:val="0"/>
      </w:numPr>
      <w:tabs>
        <w:tab w:val="right" w:leader="dot" w:pos="6521"/>
      </w:tabs>
      <w:spacing w:before="0" w:after="0"/>
    </w:pPr>
  </w:style>
  <w:style w:type="paragraph" w:customStyle="1" w:styleId="TOFTitle">
    <w:name w:val="TOFTitle"/>
    <w:basedOn w:val="TOCTitle"/>
    <w:rsid w:val="00A20BAB"/>
  </w:style>
  <w:style w:type="paragraph" w:styleId="TableofFigures">
    <w:name w:val="table of figures"/>
    <w:basedOn w:val="Normal"/>
    <w:next w:val="Normal"/>
    <w:semiHidden/>
    <w:rsid w:val="00A20BAB"/>
    <w:pPr>
      <w:tabs>
        <w:tab w:val="right" w:leader="dot" w:pos="9072"/>
      </w:tabs>
      <w:ind w:left="970" w:hanging="403"/>
    </w:pPr>
    <w:rPr>
      <w:rFonts w:ascii="Times New Roman" w:hAnsi="Times New Roman"/>
      <w:b/>
    </w:rPr>
  </w:style>
  <w:style w:type="paragraph" w:styleId="ListNumber">
    <w:name w:val="List Number"/>
    <w:basedOn w:val="List"/>
    <w:rsid w:val="00A20BAB"/>
    <w:pPr>
      <w:numPr>
        <w:numId w:val="12"/>
      </w:numPr>
    </w:pPr>
  </w:style>
  <w:style w:type="character" w:customStyle="1" w:styleId="WingdingSymbols">
    <w:name w:val="Wingding Symbols"/>
    <w:rsid w:val="00A20BAB"/>
    <w:rPr>
      <w:rFonts w:ascii="Wingdings" w:hAnsi="Wingdings"/>
    </w:rPr>
  </w:style>
  <w:style w:type="paragraph" w:customStyle="1" w:styleId="TableHeading">
    <w:name w:val="Table Heading"/>
    <w:basedOn w:val="HeadingBase"/>
    <w:rsid w:val="00A20BAB"/>
    <w:pPr>
      <w:keepLines/>
      <w:pBdr>
        <w:bottom w:val="single" w:sz="6" w:space="1" w:color="918585"/>
      </w:pBdr>
      <w:spacing w:before="240"/>
    </w:pPr>
  </w:style>
  <w:style w:type="character" w:customStyle="1" w:styleId="HotSpot">
    <w:name w:val="HotSpot"/>
    <w:rsid w:val="00A20BAB"/>
    <w:rPr>
      <w:color w:val="0033CC"/>
      <w:u w:val="none"/>
    </w:rPr>
  </w:style>
  <w:style w:type="paragraph" w:customStyle="1" w:styleId="BodyTextRight">
    <w:name w:val="Body Text Right"/>
    <w:basedOn w:val="BodyText"/>
    <w:rsid w:val="00A20BAB"/>
    <w:pPr>
      <w:spacing w:before="0" w:after="0"/>
      <w:jc w:val="right"/>
    </w:pPr>
  </w:style>
  <w:style w:type="paragraph" w:styleId="Index3">
    <w:name w:val="index 3"/>
    <w:basedOn w:val="ListNumber2"/>
    <w:next w:val="Normal"/>
    <w:semiHidden/>
    <w:rsid w:val="00A20BAB"/>
    <w:pPr>
      <w:numPr>
        <w:numId w:val="0"/>
      </w:numPr>
      <w:tabs>
        <w:tab w:val="right" w:leader="dot" w:pos="4176"/>
      </w:tabs>
    </w:pPr>
  </w:style>
  <w:style w:type="paragraph" w:styleId="ListNumber2">
    <w:name w:val="List Number 2"/>
    <w:basedOn w:val="List2"/>
    <w:rsid w:val="00A20BAB"/>
    <w:pPr>
      <w:numPr>
        <w:numId w:val="11"/>
      </w:numPr>
      <w:tabs>
        <w:tab w:val="clear" w:pos="1060"/>
      </w:tabs>
    </w:pPr>
  </w:style>
  <w:style w:type="paragraph" w:customStyle="1" w:styleId="MarginNote">
    <w:name w:val="Margin Note"/>
    <w:basedOn w:val="BodyText"/>
    <w:rsid w:val="00A20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B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0BAB"/>
    <w:rPr>
      <w:sz w:val="32"/>
    </w:rPr>
  </w:style>
  <w:style w:type="paragraph" w:customStyle="1" w:styleId="HeadingProcedure">
    <w:name w:val="Heading Procedure"/>
    <w:basedOn w:val="HeadingBase"/>
    <w:next w:val="Normal"/>
    <w:rsid w:val="00A20BAB"/>
    <w:pPr>
      <w:tabs>
        <w:tab w:val="left" w:pos="0"/>
      </w:tabs>
      <w:spacing w:before="120" w:after="60"/>
    </w:pPr>
    <w:rPr>
      <w:i/>
      <w:color w:val="918585"/>
      <w:sz w:val="22"/>
    </w:rPr>
  </w:style>
  <w:style w:type="paragraph" w:customStyle="1" w:styleId="TableBodyText">
    <w:name w:val="Table Body Text"/>
    <w:basedOn w:val="BodyText"/>
    <w:rsid w:val="00A20BAB"/>
    <w:pPr>
      <w:spacing w:before="60" w:after="60"/>
    </w:pPr>
  </w:style>
  <w:style w:type="paragraph" w:styleId="ListContinue">
    <w:name w:val="List Continue"/>
    <w:basedOn w:val="List"/>
    <w:rsid w:val="00A20BAB"/>
    <w:pPr>
      <w:ind w:firstLine="0"/>
    </w:pPr>
  </w:style>
  <w:style w:type="paragraph" w:customStyle="1" w:styleId="ListNote">
    <w:name w:val="List Note"/>
    <w:basedOn w:val="List"/>
    <w:rsid w:val="00A20BAB"/>
    <w:pPr>
      <w:pBdr>
        <w:top w:val="single" w:sz="6" w:space="2" w:color="918585"/>
        <w:bottom w:val="single" w:sz="6" w:space="2" w:color="918585"/>
      </w:pBdr>
      <w:tabs>
        <w:tab w:val="left" w:pos="1021"/>
      </w:tabs>
      <w:ind w:firstLine="0"/>
    </w:pPr>
  </w:style>
  <w:style w:type="paragraph" w:customStyle="1" w:styleId="Warning">
    <w:name w:val="Warning"/>
    <w:basedOn w:val="BodyText"/>
    <w:rsid w:val="00A20BAB"/>
    <w:pPr>
      <w:shd w:val="clear" w:color="auto" w:fill="D9D9D9"/>
      <w:tabs>
        <w:tab w:val="left" w:pos="992"/>
      </w:tabs>
      <w:ind w:left="119" w:right="119"/>
    </w:pPr>
    <w:rPr>
      <w:sz w:val="20"/>
    </w:rPr>
  </w:style>
  <w:style w:type="paragraph" w:customStyle="1" w:styleId="MarginIcons">
    <w:name w:val="Margin Icons"/>
    <w:basedOn w:val="BodyText"/>
    <w:rsid w:val="00A20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BAB"/>
    <w:rPr>
      <w:rFonts w:ascii="Courier New" w:hAnsi="Courier New"/>
    </w:rPr>
  </w:style>
  <w:style w:type="paragraph" w:customStyle="1" w:styleId="NoteBullet">
    <w:name w:val="Note Bullet"/>
    <w:basedOn w:val="Note"/>
    <w:rsid w:val="00A20BAB"/>
    <w:pPr>
      <w:tabs>
        <w:tab w:val="clear" w:pos="680"/>
      </w:tabs>
      <w:spacing w:before="60" w:after="60"/>
    </w:pPr>
  </w:style>
  <w:style w:type="paragraph" w:customStyle="1" w:styleId="SubHeading2">
    <w:name w:val="SubHeading2"/>
    <w:basedOn w:val="HeadingBase"/>
    <w:rsid w:val="00A20BAB"/>
    <w:pPr>
      <w:spacing w:before="240" w:after="60"/>
    </w:pPr>
    <w:rPr>
      <w:sz w:val="20"/>
    </w:rPr>
  </w:style>
  <w:style w:type="paragraph" w:customStyle="1" w:styleId="SubHeading1">
    <w:name w:val="SubHeading1"/>
    <w:basedOn w:val="HeadingBase"/>
    <w:rsid w:val="00A20BAB"/>
    <w:pPr>
      <w:spacing w:before="240" w:after="60"/>
    </w:pPr>
    <w:rPr>
      <w:color w:val="918585"/>
      <w:sz w:val="22"/>
    </w:rPr>
  </w:style>
  <w:style w:type="paragraph" w:customStyle="1" w:styleId="SideHeading">
    <w:name w:val="Side Heading"/>
    <w:basedOn w:val="HeadingBase"/>
    <w:rsid w:val="00A20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BAB"/>
    <w:pPr>
      <w:numPr>
        <w:numId w:val="13"/>
      </w:numPr>
    </w:pPr>
  </w:style>
  <w:style w:type="paragraph" w:styleId="PlainText">
    <w:name w:val="Plain Text"/>
    <w:basedOn w:val="Normal"/>
    <w:link w:val="PlainTextChar"/>
    <w:rsid w:val="00A20BAB"/>
    <w:rPr>
      <w:sz w:val="20"/>
    </w:rPr>
  </w:style>
  <w:style w:type="character" w:customStyle="1" w:styleId="PlainTextChar">
    <w:name w:val="Plain Text Char"/>
    <w:basedOn w:val="DefaultParagraphFont"/>
    <w:link w:val="PlainText"/>
    <w:rsid w:val="00A20B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0BAB"/>
    <w:rPr>
      <w:b/>
      <w:smallCaps/>
    </w:rPr>
  </w:style>
  <w:style w:type="paragraph" w:customStyle="1" w:styleId="TableListNumber">
    <w:name w:val="Table List Number"/>
    <w:basedOn w:val="ListNumber"/>
    <w:rsid w:val="00A20BAB"/>
    <w:pPr>
      <w:numPr>
        <w:numId w:val="0"/>
      </w:numPr>
    </w:pPr>
  </w:style>
  <w:style w:type="paragraph" w:styleId="TOC4">
    <w:name w:val="toc 4"/>
    <w:basedOn w:val="TOCBase"/>
    <w:next w:val="Normal"/>
    <w:semiHidden/>
    <w:rsid w:val="00A20BAB"/>
    <w:pPr>
      <w:tabs>
        <w:tab w:val="right" w:leader="dot" w:pos="9071"/>
      </w:tabs>
      <w:ind w:left="1701"/>
    </w:pPr>
  </w:style>
  <w:style w:type="paragraph" w:customStyle="1" w:styleId="ListAlpha">
    <w:name w:val="List Alpha"/>
    <w:basedOn w:val="List"/>
    <w:rsid w:val="00A20BAB"/>
    <w:pPr>
      <w:numPr>
        <w:numId w:val="10"/>
      </w:numPr>
    </w:pPr>
  </w:style>
  <w:style w:type="paragraph" w:customStyle="1" w:styleId="ListAlpha2">
    <w:name w:val="List Alpha 2"/>
    <w:basedOn w:val="List2"/>
    <w:rsid w:val="00A20BAB"/>
    <w:pPr>
      <w:numPr>
        <w:numId w:val="9"/>
      </w:numPr>
    </w:pPr>
  </w:style>
  <w:style w:type="paragraph" w:styleId="List3">
    <w:name w:val="List 3"/>
    <w:basedOn w:val="BodyText"/>
    <w:rsid w:val="00A20BAB"/>
    <w:pPr>
      <w:tabs>
        <w:tab w:val="left" w:pos="1021"/>
      </w:tabs>
      <w:spacing w:before="60" w:after="60"/>
      <w:ind w:left="1020" w:hanging="340"/>
    </w:pPr>
  </w:style>
  <w:style w:type="paragraph" w:styleId="List4">
    <w:name w:val="List 4"/>
    <w:basedOn w:val="BodyText"/>
    <w:rsid w:val="00A20BAB"/>
    <w:pPr>
      <w:tabs>
        <w:tab w:val="left" w:pos="1361"/>
      </w:tabs>
      <w:spacing w:before="60" w:after="60"/>
      <w:ind w:left="1361" w:hanging="340"/>
    </w:pPr>
  </w:style>
  <w:style w:type="paragraph" w:styleId="List5">
    <w:name w:val="List 5"/>
    <w:basedOn w:val="BodyText"/>
    <w:rsid w:val="00A20BAB"/>
    <w:pPr>
      <w:tabs>
        <w:tab w:val="left" w:pos="1701"/>
      </w:tabs>
      <w:spacing w:before="60" w:after="60"/>
      <w:ind w:left="1701" w:hanging="340"/>
    </w:pPr>
  </w:style>
  <w:style w:type="paragraph" w:styleId="ListBullet4">
    <w:name w:val="List Bullet 4"/>
    <w:basedOn w:val="List4"/>
    <w:rsid w:val="00A20BAB"/>
    <w:pPr>
      <w:numPr>
        <w:numId w:val="4"/>
      </w:numPr>
    </w:pPr>
  </w:style>
  <w:style w:type="paragraph" w:styleId="ListBullet5">
    <w:name w:val="List Bullet 5"/>
    <w:basedOn w:val="List5"/>
    <w:rsid w:val="00A20BAB"/>
    <w:pPr>
      <w:numPr>
        <w:numId w:val="5"/>
      </w:numPr>
    </w:pPr>
  </w:style>
  <w:style w:type="paragraph" w:styleId="ListContinue2">
    <w:name w:val="List Continue 2"/>
    <w:basedOn w:val="List2"/>
    <w:rsid w:val="00A20BAB"/>
    <w:pPr>
      <w:ind w:firstLine="0"/>
    </w:pPr>
  </w:style>
  <w:style w:type="paragraph" w:styleId="ListContinue3">
    <w:name w:val="List Continue 3"/>
    <w:basedOn w:val="List3"/>
    <w:rsid w:val="00A20BAB"/>
    <w:pPr>
      <w:ind w:left="1021" w:firstLine="0"/>
    </w:pPr>
  </w:style>
  <w:style w:type="paragraph" w:styleId="ListContinue4">
    <w:name w:val="List Continue 4"/>
    <w:basedOn w:val="List4"/>
    <w:rsid w:val="00A20BAB"/>
    <w:pPr>
      <w:ind w:firstLine="0"/>
    </w:pPr>
  </w:style>
  <w:style w:type="paragraph" w:styleId="ListContinue5">
    <w:name w:val="List Continue 5"/>
    <w:basedOn w:val="List5"/>
    <w:rsid w:val="00A20BAB"/>
    <w:pPr>
      <w:ind w:firstLine="0"/>
    </w:pPr>
  </w:style>
  <w:style w:type="paragraph" w:styleId="ListNumber3">
    <w:name w:val="List Number 3"/>
    <w:basedOn w:val="List3"/>
    <w:rsid w:val="00A20BAB"/>
    <w:pPr>
      <w:numPr>
        <w:numId w:val="6"/>
      </w:numPr>
    </w:pPr>
  </w:style>
  <w:style w:type="paragraph" w:styleId="ListNumber4">
    <w:name w:val="List Number 4"/>
    <w:basedOn w:val="List4"/>
    <w:rsid w:val="00A20BAB"/>
    <w:pPr>
      <w:numPr>
        <w:numId w:val="7"/>
      </w:numPr>
    </w:pPr>
  </w:style>
  <w:style w:type="paragraph" w:styleId="ListNumber5">
    <w:name w:val="List Number 5"/>
    <w:basedOn w:val="List5"/>
    <w:rsid w:val="00A20BAB"/>
    <w:pPr>
      <w:numPr>
        <w:numId w:val="8"/>
      </w:numPr>
    </w:pPr>
  </w:style>
  <w:style w:type="paragraph" w:styleId="BlockText">
    <w:name w:val="Block Text"/>
    <w:basedOn w:val="Normal"/>
    <w:rsid w:val="00A20BAB"/>
    <w:pPr>
      <w:spacing w:after="120"/>
      <w:ind w:left="1440" w:right="1440"/>
    </w:pPr>
  </w:style>
  <w:style w:type="character" w:customStyle="1" w:styleId="Subscript">
    <w:name w:val="Subscript"/>
    <w:basedOn w:val="DefaultParagraphFont"/>
    <w:rsid w:val="00A20BAB"/>
    <w:rPr>
      <w:sz w:val="16"/>
      <w:vertAlign w:val="subscript"/>
    </w:rPr>
  </w:style>
  <w:style w:type="character" w:customStyle="1" w:styleId="Superscript">
    <w:name w:val="Superscript"/>
    <w:basedOn w:val="DefaultParagraphFont"/>
    <w:rsid w:val="00A20BAB"/>
    <w:rPr>
      <w:sz w:val="16"/>
      <w:vertAlign w:val="superscript"/>
    </w:rPr>
  </w:style>
  <w:style w:type="character" w:customStyle="1" w:styleId="Symbols">
    <w:name w:val="Symbols"/>
    <w:basedOn w:val="DefaultParagraphFont"/>
    <w:rsid w:val="00A20BAB"/>
    <w:rPr>
      <w:rFonts w:ascii="Symbol" w:hAnsi="Symbol"/>
    </w:rPr>
  </w:style>
  <w:style w:type="character" w:customStyle="1" w:styleId="MenuOptions">
    <w:name w:val="Menu Options"/>
    <w:basedOn w:val="DefaultParagraphFont"/>
    <w:rsid w:val="00A20BAB"/>
    <w:rPr>
      <w:rFonts w:ascii="Arial Narrow" w:hAnsi="Arial Narrow"/>
      <w:smallCaps/>
    </w:rPr>
  </w:style>
  <w:style w:type="character" w:customStyle="1" w:styleId="Buttons">
    <w:name w:val="Buttons"/>
    <w:basedOn w:val="DefaultParagraphFont"/>
    <w:rsid w:val="00A20BAB"/>
    <w:rPr>
      <w:b/>
    </w:rPr>
  </w:style>
  <w:style w:type="character" w:customStyle="1" w:styleId="Underlined">
    <w:name w:val="Underlined"/>
    <w:basedOn w:val="DefaultParagraphFont"/>
    <w:rsid w:val="00A20BAB"/>
    <w:rPr>
      <w:u w:val="single"/>
    </w:rPr>
  </w:style>
  <w:style w:type="paragraph" w:customStyle="1" w:styleId="TableBodyTextRight">
    <w:name w:val="Table Body Text Right"/>
    <w:basedOn w:val="TableBodyText"/>
    <w:rsid w:val="00A20BAB"/>
    <w:pPr>
      <w:widowControl w:val="0"/>
      <w:autoSpaceDE w:val="0"/>
      <w:autoSpaceDN w:val="0"/>
      <w:adjustRightInd w:val="0"/>
      <w:jc w:val="right"/>
    </w:pPr>
    <w:rPr>
      <w:rFonts w:cs="Arial"/>
      <w:szCs w:val="18"/>
    </w:rPr>
  </w:style>
  <w:style w:type="paragraph" w:customStyle="1" w:styleId="CopyrightText">
    <w:name w:val="Copyright Text"/>
    <w:basedOn w:val="BodyText"/>
    <w:rsid w:val="00A20BAB"/>
    <w:rPr>
      <w:sz w:val="18"/>
    </w:rPr>
  </w:style>
  <w:style w:type="paragraph" w:customStyle="1" w:styleId="BodySmallRight">
    <w:name w:val="Body Small Right"/>
    <w:basedOn w:val="BodyTextRight"/>
    <w:rsid w:val="00A20BAB"/>
    <w:rPr>
      <w:sz w:val="18"/>
      <w:szCs w:val="18"/>
    </w:rPr>
  </w:style>
  <w:style w:type="paragraph" w:customStyle="1" w:styleId="MarginEdition">
    <w:name w:val="Margin Edition"/>
    <w:basedOn w:val="MarginNote"/>
    <w:rsid w:val="00A20BAB"/>
    <w:pPr>
      <w:spacing w:before="0" w:after="0"/>
    </w:pPr>
    <w:rPr>
      <w:rFonts w:ascii="Times New Roman" w:hAnsi="Times New Roman"/>
      <w:color w:val="999999"/>
    </w:rPr>
  </w:style>
  <w:style w:type="paragraph" w:customStyle="1" w:styleId="Spacer">
    <w:name w:val="Spacer"/>
    <w:basedOn w:val="Normal"/>
    <w:rsid w:val="00A20BAB"/>
    <w:rPr>
      <w:sz w:val="2"/>
      <w:szCs w:val="2"/>
    </w:rPr>
  </w:style>
  <w:style w:type="character" w:customStyle="1" w:styleId="Small">
    <w:name w:val="Small"/>
    <w:basedOn w:val="DefaultParagraphFont"/>
    <w:rsid w:val="00A20BAB"/>
    <w:rPr>
      <w:sz w:val="16"/>
    </w:rPr>
  </w:style>
  <w:style w:type="paragraph" w:customStyle="1" w:styleId="WideTable">
    <w:name w:val="Wide Table"/>
    <w:basedOn w:val="Normal"/>
    <w:rsid w:val="00A20BAB"/>
    <w:pPr>
      <w:ind w:left="-1418"/>
    </w:pPr>
    <w:rPr>
      <w:sz w:val="2"/>
      <w:szCs w:val="2"/>
    </w:rPr>
  </w:style>
  <w:style w:type="character" w:styleId="PageNumber">
    <w:name w:val="page number"/>
    <w:basedOn w:val="DefaultParagraphFont"/>
    <w:rsid w:val="00A20BAB"/>
  </w:style>
  <w:style w:type="paragraph" w:styleId="Quote">
    <w:name w:val="Quote"/>
    <w:basedOn w:val="Heading1"/>
    <w:link w:val="QuoteChar"/>
    <w:qFormat/>
    <w:rsid w:val="00A20BAB"/>
    <w:rPr>
      <w:b w:val="0"/>
      <w:sz w:val="72"/>
      <w:szCs w:val="72"/>
      <w:lang w:val="en-NZ"/>
    </w:rPr>
  </w:style>
  <w:style w:type="character" w:customStyle="1" w:styleId="QuoteChar">
    <w:name w:val="Quote Char"/>
    <w:basedOn w:val="DefaultParagraphFont"/>
    <w:link w:val="Quote"/>
    <w:rsid w:val="00A20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BAB"/>
    <w:pPr>
      <w:pageBreakBefore/>
    </w:pPr>
  </w:style>
  <w:style w:type="paragraph" w:customStyle="1" w:styleId="Border">
    <w:name w:val="Border"/>
    <w:basedOn w:val="Normal"/>
    <w:qFormat/>
    <w:rsid w:val="00A20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BAB"/>
    <w:rPr>
      <w:b/>
      <w:bCs/>
      <w:i/>
      <w:iCs/>
      <w:color w:val="auto"/>
    </w:rPr>
  </w:style>
  <w:style w:type="paragraph" w:styleId="IntenseQuote">
    <w:name w:val="Intense Quote"/>
    <w:basedOn w:val="Normal"/>
    <w:next w:val="Normal"/>
    <w:link w:val="IntenseQuoteChar"/>
    <w:uiPriority w:val="30"/>
    <w:qFormat/>
    <w:rsid w:val="00A20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B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0BAB"/>
    <w:rPr>
      <w:smallCaps/>
      <w:color w:val="auto"/>
      <w:u w:val="single"/>
    </w:rPr>
  </w:style>
  <w:style w:type="character" w:styleId="IntenseReference">
    <w:name w:val="Intense Reference"/>
    <w:basedOn w:val="DefaultParagraphFont"/>
    <w:uiPriority w:val="32"/>
    <w:qFormat/>
    <w:rsid w:val="00A20BAB"/>
    <w:rPr>
      <w:b/>
      <w:bCs/>
      <w:smallCaps/>
      <w:color w:val="auto"/>
      <w:spacing w:val="5"/>
      <w:u w:val="single"/>
    </w:rPr>
  </w:style>
  <w:style w:type="paragraph" w:customStyle="1" w:styleId="2ColumnHeading">
    <w:name w:val="2Column Heading"/>
    <w:basedOn w:val="BodyText"/>
    <w:qFormat/>
    <w:rsid w:val="00A20BAB"/>
    <w:pPr>
      <w:spacing w:after="60"/>
      <w:ind w:left="-2268"/>
    </w:pPr>
    <w:rPr>
      <w:b/>
    </w:rPr>
  </w:style>
  <w:style w:type="paragraph" w:customStyle="1" w:styleId="Heading1TOC">
    <w:name w:val="Heading1 TOC"/>
    <w:basedOn w:val="Normal"/>
    <w:qFormat/>
    <w:rsid w:val="00A20BAB"/>
    <w:pPr>
      <w:spacing w:before="240" w:after="120"/>
    </w:pPr>
    <w:rPr>
      <w:rFonts w:ascii="Times New Roman" w:hAnsi="Times New Roman"/>
      <w:b/>
      <w:sz w:val="32"/>
    </w:rPr>
  </w:style>
  <w:style w:type="paragraph" w:customStyle="1" w:styleId="Heading2TOC">
    <w:name w:val="Heading2 TOC"/>
    <w:basedOn w:val="Normal"/>
    <w:qFormat/>
    <w:rsid w:val="00A20BAB"/>
    <w:pPr>
      <w:spacing w:before="240" w:after="60"/>
    </w:pPr>
    <w:rPr>
      <w:rFonts w:ascii="Times New Roman" w:hAnsi="Times New Roman"/>
      <w:b/>
      <w:sz w:val="28"/>
    </w:rPr>
  </w:style>
  <w:style w:type="character" w:customStyle="1" w:styleId="Underline">
    <w:name w:val="Underline"/>
    <w:basedOn w:val="DefaultParagraphFont"/>
    <w:qFormat/>
    <w:rsid w:val="00A20BAB"/>
    <w:rPr>
      <w:u w:val="single"/>
    </w:rPr>
  </w:style>
  <w:style w:type="paragraph" w:styleId="BalloonText">
    <w:name w:val="Balloon Text"/>
    <w:basedOn w:val="Normal"/>
    <w:link w:val="BalloonTextChar"/>
    <w:rsid w:val="00A20BAB"/>
    <w:rPr>
      <w:rFonts w:ascii="Tahoma" w:hAnsi="Tahoma" w:cs="Tahoma"/>
      <w:sz w:val="16"/>
      <w:szCs w:val="16"/>
    </w:rPr>
  </w:style>
  <w:style w:type="character" w:customStyle="1" w:styleId="BalloonTextChar">
    <w:name w:val="Balloon Text Char"/>
    <w:basedOn w:val="DefaultParagraphFont"/>
    <w:link w:val="BalloonText"/>
    <w:rsid w:val="00A20B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0B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B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1480</Words>
  <Characters>9458</Characters>
  <Application>Microsoft Office Word</Application>
  <DocSecurity>0</DocSecurity>
  <Lines>338</Lines>
  <Paragraphs>140</Paragraphs>
  <ScaleCrop>false</ScaleCrop>
  <Company>Author-it Software Corporation Ltd.</Company>
  <LinksUpToDate>false</LinksUpToDate>
  <CharactersWithSpaces>10856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CPCCSV5008A Apply building control legislation to building surveying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2012-05-26T05:40:00Z</dcterms:created>
  <dcterms:modified xsi:type="dcterms:W3CDTF">2012-05-26T05:40:00Z</dcterms:modified>
</cp:coreProperties>
</file>