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2D8" w:rsidP="00E632D8">
      <w:pPr>
        <w:pStyle w:val="Title"/>
      </w:pPr>
      <w:bookmarkStart w:id="0" w:name="_GoBack"/>
      <w:bookmarkEnd w:id="0"/>
      <w:r>
        <w:fldChar w:fldCharType="begin"/>
      </w:r>
      <w:r>
        <w:instrText xml:space="preserve"> TITLE   \* MERGEFORMAT </w:instrText>
      </w:r>
      <w:r>
        <w:fldChar w:fldCharType="separate"/>
      </w:r>
      <w:r>
        <w:t>CPCCSV5005A Apply footing and geomechanical design principles to domestic scale buildings</w:t>
      </w:r>
      <w:r>
        <w:fldChar w:fldCharType="end"/>
      </w:r>
    </w:p>
    <w:p w:rsidR="00E632D8" w:rsidP="00E632D8">
      <w:pPr>
        <w:pStyle w:val="Version"/>
        <w:sectPr w:rsidSect="00E17D46">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D46" w:rsidP="00E17D46">
      <w:pPr>
        <w:pStyle w:val="SuperHeading"/>
      </w:pPr>
      <w:r w:rsidRPr="00E17D46">
        <w:t>CPCCSV5005A Apply footing and geomechanical design principles to domestic scale buildings</w:t>
      </w:r>
    </w:p>
    <w:p w:rsidR="00000000" w:rsidRPr="00E17D46" w:rsidP="00E17D46">
      <w:pPr>
        <w:pStyle w:val="Heading1"/>
      </w:pPr>
      <w:bookmarkStart w:id="1" w:name="O_269735"/>
      <w:bookmarkEnd w:id="1"/>
      <w:r w:rsidRPr="00E17D46">
        <w:t>Modification History</w:t>
      </w:r>
    </w:p>
    <w:p w:rsidR="00000000" w:rsidRPr="00E17D46" w:rsidP="00E17D46">
      <w:pPr>
        <w:pStyle w:val="BodyText"/>
      </w:pPr>
      <w:r w:rsidRPr="00E17D46">
        <w:t>Not Applicable</w:t>
      </w:r>
    </w:p>
    <w:p w:rsidR="00000000" w:rsidRPr="00E17D46" w:rsidP="00E17D46">
      <w:pPr>
        <w:pStyle w:val="AllowPageBreak"/>
      </w:pPr>
    </w:p>
    <w:p w:rsidR="00000000" w:rsidRPr="00E17D46" w:rsidP="00E17D46">
      <w:pPr>
        <w:pStyle w:val="Heading1"/>
      </w:pPr>
      <w:bookmarkStart w:id="2" w:name="O_198920"/>
      <w:bookmarkEnd w:id="2"/>
      <w:r w:rsidRPr="00E17D46">
        <w:t>Unit De</w:t>
      </w:r>
      <w:r w:rsidRPr="00E17D46">
        <w:t>scriptor</w:t>
      </w:r>
    </w:p>
    <w:tbl>
      <w:tblPr>
        <w:tblW w:w="0" w:type="auto"/>
        <w:tblLayout w:type="fixed"/>
        <w:tblCellMar>
          <w:left w:w="62" w:type="dxa"/>
          <w:right w:w="62" w:type="dxa"/>
        </w:tblCellMar>
        <w:tblLook w:val="0000"/>
      </w:tblPr>
      <w:tblGrid>
        <w:gridCol w:w="2639"/>
        <w:gridCol w:w="5883"/>
      </w:tblGrid>
      <w:tr w:rsidTr="00E632D8">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E17D46" w:rsidP="00E17D46">
            <w:pPr>
              <w:pStyle w:val="BodyText"/>
            </w:pPr>
            <w:r w:rsidRPr="00E17D46">
              <w:t xml:space="preserve">This unit of competency specifies the outcomes required to apply footing and geomechanical design principles to domestic scale buildings or those of a similar loading, construction and size, such as small industrial, commercial or </w:t>
            </w:r>
            <w:r w:rsidRPr="00E17D46">
              <w:t>public buildings.</w:t>
            </w:r>
          </w:p>
          <w:p w:rsidR="00000000" w:rsidRPr="00E17D46" w:rsidP="00E17D46">
            <w:pPr>
              <w:pStyle w:val="BodyText"/>
            </w:pPr>
            <w:r w:rsidRPr="00E17D46">
              <w:t>It includes the evaluation and distribution of soil types, and identification of appropriate footing systems and maintenance requirements for foundation components of the project.</w:t>
            </w:r>
          </w:p>
        </w:tc>
      </w:tr>
    </w:tbl>
    <w:p w:rsidR="00E632D8" w:rsidP="00E17D46">
      <w:pPr>
        <w:pStyle w:val="BodyText"/>
      </w:pPr>
    </w:p>
    <w:p w:rsidR="00E632D8" w:rsidP="00E17D46">
      <w:pPr>
        <w:pStyle w:val="BodyText"/>
      </w:pPr>
    </w:p>
    <w:p w:rsidR="00000000" w:rsidRPr="00E17D46" w:rsidP="00E17D46">
      <w:pPr>
        <w:pStyle w:val="Heading1"/>
      </w:pPr>
      <w:bookmarkStart w:id="3" w:name="O_198924"/>
      <w:bookmarkEnd w:id="3"/>
      <w:r w:rsidRPr="00E17D46">
        <w:t>Application of the Unit</w:t>
      </w:r>
    </w:p>
    <w:tbl>
      <w:tblPr>
        <w:tblW w:w="0" w:type="auto"/>
        <w:tblLayout w:type="fixed"/>
        <w:tblCellMar>
          <w:left w:w="62" w:type="dxa"/>
          <w:right w:w="62" w:type="dxa"/>
        </w:tblCellMar>
        <w:tblLook w:val="0000"/>
      </w:tblPr>
      <w:tblGrid>
        <w:gridCol w:w="2707"/>
        <w:gridCol w:w="5815"/>
      </w:tblGrid>
      <w:tr w:rsidTr="00E632D8">
        <w:tblPrEx>
          <w:tblW w:w="0" w:type="auto"/>
          <w:tblLayout w:type="fixed"/>
          <w:tblCellMar>
            <w:left w:w="62" w:type="dxa"/>
            <w:right w:w="62" w:type="dxa"/>
          </w:tblCellMar>
          <w:tblLook w:val="0000"/>
        </w:tblPrEx>
        <w:trPr>
          <w:tblHeader/>
        </w:trPr>
        <w:tc>
          <w:tcPr>
            <w:tcW w:w="2707"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SpecialBold"/>
              </w:rPr>
              <w:t>Application of the unit</w:t>
            </w:r>
          </w:p>
        </w:tc>
        <w:tc>
          <w:tcPr>
            <w:tcW w:w="5815" w:type="dxa"/>
            <w:tcBorders>
              <w:top w:val="nil"/>
              <w:left w:val="nil"/>
              <w:bottom w:val="nil"/>
              <w:right w:val="nil"/>
            </w:tcBorders>
            <w:tcMar>
              <w:top w:w="0" w:type="dxa"/>
              <w:left w:w="62" w:type="dxa"/>
              <w:bottom w:w="0" w:type="dxa"/>
              <w:right w:w="62" w:type="dxa"/>
            </w:tcMar>
          </w:tcPr>
          <w:p w:rsidR="00000000" w:rsidRPr="00E17D46" w:rsidP="00E17D46">
            <w:pPr>
              <w:pStyle w:val="BodyText"/>
            </w:pPr>
            <w:r w:rsidRPr="00E17D46">
              <w:t>This unit of competency supports the attainment of the understanding and skills to apply footing and geomechanical design principles to domestic scale buildings within the context of relevant legislation, the Building Code of Austra</w:t>
            </w:r>
            <w:r w:rsidRPr="00E17D46">
              <w:t xml:space="preserve">lia (BCA) and Australian standards. </w:t>
            </w:r>
          </w:p>
        </w:tc>
      </w:tr>
    </w:tbl>
    <w:p w:rsidR="00E632D8" w:rsidP="00E17D46">
      <w:pPr>
        <w:pStyle w:val="BodyText"/>
      </w:pPr>
    </w:p>
    <w:p w:rsidR="00E632D8" w:rsidP="00E17D46">
      <w:pPr>
        <w:pStyle w:val="BodyText"/>
      </w:pPr>
    </w:p>
    <w:p w:rsidR="00000000" w:rsidRPr="00E17D46" w:rsidP="00E17D46">
      <w:pPr>
        <w:pStyle w:val="Heading1"/>
      </w:pPr>
      <w:bookmarkStart w:id="4" w:name="O_277995"/>
      <w:bookmarkEnd w:id="4"/>
      <w:r w:rsidRPr="00E17D46">
        <w:t>Licensing/Regulatory Information</w:t>
      </w:r>
    </w:p>
    <w:p w:rsidR="00000000" w:rsidRPr="00E17D46" w:rsidP="00E17D46">
      <w:pPr>
        <w:pStyle w:val="BodyText"/>
      </w:pPr>
      <w:r w:rsidRPr="00E17D46">
        <w:t>Not Applicable</w:t>
      </w:r>
    </w:p>
    <w:p w:rsidR="00000000" w:rsidRPr="00E17D46" w:rsidP="00E17D46">
      <w:pPr>
        <w:pStyle w:val="AllowPageBreak"/>
      </w:pPr>
    </w:p>
    <w:p w:rsidR="00000000" w:rsidRPr="00E17D46" w:rsidP="00E17D46">
      <w:pPr>
        <w:pStyle w:val="Heading1"/>
      </w:pPr>
      <w:bookmarkStart w:id="5" w:name="O_198922"/>
      <w:bookmarkEnd w:id="5"/>
      <w:r w:rsidRPr="00E17D46">
        <w:t>Pre-Requisites</w:t>
      </w:r>
    </w:p>
    <w:tbl>
      <w:tblPr>
        <w:tblW w:w="0" w:type="auto"/>
        <w:tblLayout w:type="fixed"/>
        <w:tblCellMar>
          <w:left w:w="62" w:type="dxa"/>
          <w:right w:w="62" w:type="dxa"/>
        </w:tblCellMar>
        <w:tblLook w:val="0000"/>
      </w:tblPr>
      <w:tblGrid>
        <w:gridCol w:w="2717"/>
        <w:gridCol w:w="1322"/>
        <w:gridCol w:w="4483"/>
      </w:tblGrid>
      <w:tr w:rsidTr="00E632D8">
        <w:tblPrEx>
          <w:tblW w:w="0" w:type="auto"/>
          <w:tblLayout w:type="fixed"/>
          <w:tblCellMar>
            <w:left w:w="62" w:type="dxa"/>
            <w:right w:w="62" w:type="dxa"/>
          </w:tblCellMar>
          <w:tblLook w:val="0000"/>
        </w:tblPrEx>
        <w:trPr>
          <w:tblHeader/>
        </w:trPr>
        <w:tc>
          <w:tcPr>
            <w:tcW w:w="2717"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SpecialBold"/>
              </w:rPr>
              <w:t>Prerequisite units</w:t>
            </w:r>
          </w:p>
        </w:tc>
        <w:tc>
          <w:tcPr>
            <w:tcW w:w="5805" w:type="dxa"/>
            <w:gridSpan w:val="2"/>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t>Nil</w:t>
            </w:r>
          </w:p>
        </w:tc>
      </w:tr>
      <w:tr w:rsidTr="00E632D8">
        <w:tblPrEx>
          <w:tblW w:w="0" w:type="auto"/>
          <w:tblLayout w:type="fixed"/>
          <w:tblCellMar>
            <w:left w:w="62" w:type="dxa"/>
            <w:right w:w="62" w:type="dxa"/>
          </w:tblCellMar>
          <w:tblLook w:val="0000"/>
        </w:tblPrEx>
        <w:tc>
          <w:tcPr>
            <w:tcW w:w="2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3"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p>
        </w:tc>
      </w:tr>
      <w:tr w:rsidTr="00E632D8">
        <w:tblPrEx>
          <w:tblW w:w="0" w:type="auto"/>
          <w:tblLayout w:type="fixed"/>
          <w:tblCellMar>
            <w:left w:w="62" w:type="dxa"/>
            <w:right w:w="62" w:type="dxa"/>
          </w:tblCellMar>
          <w:tblLook w:val="0000"/>
        </w:tblPrEx>
        <w:tc>
          <w:tcPr>
            <w:tcW w:w="2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3" w:type="dxa"/>
            <w:tcBorders>
              <w:top w:val="nil"/>
              <w:left w:val="nil"/>
              <w:bottom w:val="nil"/>
              <w:right w:val="nil"/>
            </w:tcBorders>
            <w:tcMar>
              <w:top w:w="0" w:type="dxa"/>
              <w:left w:w="62" w:type="dxa"/>
              <w:bottom w:w="0" w:type="dxa"/>
              <w:right w:w="62" w:type="dxa"/>
            </w:tcMar>
          </w:tcPr>
          <w:p w:rsidR="00000000" w:rsidRPr="00E17D46" w:rsidP="00E17D46">
            <w:pPr>
              <w:pStyle w:val="BodyText"/>
            </w:pPr>
          </w:p>
        </w:tc>
      </w:tr>
    </w:tbl>
    <w:p w:rsidR="00E632D8" w:rsidP="00E17D46">
      <w:pPr>
        <w:pStyle w:val="BodyText"/>
      </w:pPr>
    </w:p>
    <w:p w:rsidR="00E632D8" w:rsidP="00E17D46">
      <w:pPr>
        <w:pStyle w:val="BodyText"/>
      </w:pPr>
    </w:p>
    <w:p w:rsidR="00000000" w:rsidRPr="00E17D46" w:rsidP="00E17D46">
      <w:pPr>
        <w:pStyle w:val="Heading1"/>
      </w:pPr>
      <w:bookmarkStart w:id="6" w:name="O_198921"/>
      <w:bookmarkEnd w:id="6"/>
      <w:r w:rsidRPr="00E17D46">
        <w:t>Employability Skills Information</w:t>
      </w:r>
    </w:p>
    <w:tbl>
      <w:tblPr>
        <w:tblW w:w="0" w:type="auto"/>
        <w:tblLayout w:type="fixed"/>
        <w:tblCellMar>
          <w:left w:w="62" w:type="dxa"/>
          <w:right w:w="62" w:type="dxa"/>
        </w:tblCellMar>
        <w:tblLook w:val="0000"/>
      </w:tblPr>
      <w:tblGrid>
        <w:gridCol w:w="2743"/>
        <w:gridCol w:w="5779"/>
      </w:tblGrid>
      <w:tr w:rsidTr="00E632D8">
        <w:tblPrEx>
          <w:tblW w:w="0" w:type="auto"/>
          <w:tblLayout w:type="fixed"/>
          <w:tblCellMar>
            <w:left w:w="62" w:type="dxa"/>
            <w:right w:w="62" w:type="dxa"/>
          </w:tblCellMar>
          <w:tblLook w:val="0000"/>
        </w:tblPrEx>
        <w:trPr>
          <w:tblHeader/>
        </w:trPr>
        <w:tc>
          <w:tcPr>
            <w:tcW w:w="2743"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SpecialBold"/>
              </w:rPr>
              <w:t>Employability skills</w:t>
            </w:r>
          </w:p>
        </w:tc>
        <w:tc>
          <w:tcPr>
            <w:tcW w:w="5779" w:type="dxa"/>
            <w:tcBorders>
              <w:top w:val="nil"/>
              <w:left w:val="nil"/>
              <w:bottom w:val="nil"/>
              <w:right w:val="nil"/>
            </w:tcBorders>
            <w:tcMar>
              <w:top w:w="0" w:type="dxa"/>
              <w:left w:w="62" w:type="dxa"/>
              <w:bottom w:w="0" w:type="dxa"/>
              <w:right w:w="62" w:type="dxa"/>
            </w:tcMar>
          </w:tcPr>
          <w:p w:rsidR="00000000" w:rsidRPr="00E17D46" w:rsidP="00E17D46">
            <w:pPr>
              <w:pStyle w:val="BodyText"/>
            </w:pPr>
            <w:r w:rsidRPr="00E17D46">
              <w:t>This unit contains employability skills.</w:t>
            </w:r>
          </w:p>
        </w:tc>
      </w:tr>
    </w:tbl>
    <w:p w:rsidR="00E632D8" w:rsidP="00E17D46">
      <w:pPr>
        <w:pStyle w:val="BodyText"/>
      </w:pPr>
    </w:p>
    <w:p w:rsidR="00E632D8" w:rsidP="00E17D46">
      <w:pPr>
        <w:pStyle w:val="BodyText"/>
      </w:pPr>
    </w:p>
    <w:p w:rsidR="00000000" w:rsidRPr="00E17D46" w:rsidP="00E17D46">
      <w:pPr>
        <w:pStyle w:val="Heading1"/>
      </w:pPr>
      <w:bookmarkStart w:id="7" w:name="O_287781"/>
      <w:bookmarkEnd w:id="7"/>
      <w:r w:rsidRPr="00E17D46">
        <w:t>Elements and Performance Criteria Pre-Content</w:t>
      </w:r>
    </w:p>
    <w:tbl>
      <w:tblPr>
        <w:tblW w:w="0" w:type="auto"/>
        <w:tblLayout w:type="fixed"/>
        <w:tblCellMar>
          <w:left w:w="62" w:type="dxa"/>
          <w:right w:w="62" w:type="dxa"/>
        </w:tblCellMar>
        <w:tblLook w:val="0000"/>
      </w:tblPr>
      <w:tblGrid>
        <w:gridCol w:w="2579"/>
        <w:gridCol w:w="5943"/>
      </w:tblGrid>
      <w:tr w:rsidTr="00E632D8">
        <w:tblPrEx>
          <w:tblW w:w="0" w:type="auto"/>
          <w:tblLayout w:type="fixed"/>
          <w:tblCellMar>
            <w:left w:w="62" w:type="dxa"/>
            <w:right w:w="62" w:type="dxa"/>
          </w:tblCellMar>
          <w:tblLook w:val="0000"/>
        </w:tblPrEx>
        <w:tc>
          <w:tcPr>
            <w:tcW w:w="2579" w:type="dxa"/>
            <w:tcBorders>
              <w:top w:val="single" w:sz="6" w:space="0" w:color="auto"/>
              <w:left w:val="nil"/>
              <w:bottom w:val="nil"/>
              <w:right w:val="nil"/>
            </w:tcBorders>
            <w:tcMar>
              <w:top w:w="0" w:type="dxa"/>
              <w:left w:w="62" w:type="dxa"/>
              <w:bottom w:w="0" w:type="dxa"/>
              <w:right w:w="62" w:type="dxa"/>
            </w:tcMar>
          </w:tcPr>
          <w:p w:rsidR="00000000" w:rsidP="00E17D46">
            <w:pPr>
              <w:pStyle w:val="BodyText"/>
              <w:rPr>
                <w:lang w:val="en-NZ"/>
              </w:rPr>
            </w:pPr>
            <w:r w:rsidRPr="00E17D46">
              <w:t>Elements describe the essential outcomes of a unit of competency.</w:t>
            </w:r>
          </w:p>
        </w:tc>
        <w:tc>
          <w:tcPr>
            <w:tcW w:w="5943" w:type="dxa"/>
            <w:tcBorders>
              <w:top w:val="single" w:sz="6" w:space="0" w:color="auto"/>
              <w:left w:val="nil"/>
              <w:bottom w:val="nil"/>
              <w:right w:val="nil"/>
            </w:tcBorders>
            <w:tcMar>
              <w:top w:w="0" w:type="dxa"/>
              <w:left w:w="62" w:type="dxa"/>
              <w:bottom w:w="0" w:type="dxa"/>
              <w:right w:w="62" w:type="dxa"/>
            </w:tcMar>
          </w:tcPr>
          <w:p w:rsidR="00000000" w:rsidRPr="00E17D46" w:rsidP="00E17D46">
            <w:pPr>
              <w:pStyle w:val="BodyText"/>
            </w:pPr>
            <w:r w:rsidRPr="00E17D46">
              <w:t xml:space="preserve">Performance criteria describe the performance needed to demonstrate achievement of </w:t>
            </w:r>
            <w:r w:rsidRPr="00E17D46">
              <w:t>the element. Where bold italicised text is used, further information is detailed in the required skills and knowledge section and the range statement. Assessment of performance is to be consistent with the evidence guide.</w:t>
            </w:r>
          </w:p>
        </w:tc>
      </w:tr>
    </w:tbl>
    <w:p w:rsidR="00000000" w:rsidRPr="00E17D46" w:rsidP="00E17D46">
      <w:pPr>
        <w:pStyle w:val="BodyText"/>
      </w:pPr>
    </w:p>
    <w:p w:rsidR="00000000" w:rsidRPr="00E17D46" w:rsidP="00E17D46">
      <w:pPr>
        <w:pStyle w:val="AllowPageBreak"/>
      </w:pPr>
    </w:p>
    <w:p w:rsidR="00000000" w:rsidRPr="00E17D46" w:rsidP="00E17D46">
      <w:pPr>
        <w:pStyle w:val="Heading1"/>
      </w:pPr>
      <w:bookmarkStart w:id="8" w:name="O_234448"/>
      <w:bookmarkEnd w:id="8"/>
      <w:r w:rsidRPr="00E17D46">
        <w:t>Elements and Performance Criteria</w:t>
      </w:r>
    </w:p>
    <w:tbl>
      <w:tblPr>
        <w:tblW w:w="0" w:type="auto"/>
        <w:tblLayout w:type="fixed"/>
        <w:tblCellMar>
          <w:left w:w="62" w:type="dxa"/>
          <w:right w:w="62" w:type="dxa"/>
        </w:tblCellMar>
        <w:tblLook w:val="0000"/>
      </w:tblPr>
      <w:tblGrid>
        <w:gridCol w:w="2579"/>
        <w:gridCol w:w="5943"/>
      </w:tblGrid>
      <w:tr w:rsidTr="00E632D8">
        <w:tblPrEx>
          <w:tblW w:w="0" w:type="auto"/>
          <w:tblLayout w:type="fixed"/>
          <w:tblCellMar>
            <w:left w:w="62" w:type="dxa"/>
            <w:right w:w="62" w:type="dxa"/>
          </w:tblCellMar>
          <w:tblLook w:val="0000"/>
        </w:tblPrEx>
        <w:trPr>
          <w:tblHeader/>
        </w:trPr>
        <w:tc>
          <w:tcPr>
            <w:tcW w:w="2579" w:type="dxa"/>
            <w:tcBorders>
              <w:top w:val="nil"/>
              <w:left w:val="nil"/>
              <w:bottom w:val="single" w:sz="6" w:space="0" w:color="auto"/>
              <w:right w:val="nil"/>
            </w:tcBorders>
            <w:tcMar>
              <w:top w:w="0" w:type="dxa"/>
              <w:left w:w="62" w:type="dxa"/>
              <w:bottom w:w="0" w:type="dxa"/>
              <w:right w:w="62" w:type="dxa"/>
            </w:tcMar>
          </w:tcPr>
          <w:p w:rsidR="00000000" w:rsidRPr="00E17D46" w:rsidP="00E17D46">
            <w:pPr>
              <w:pStyle w:val="BodyText"/>
            </w:pPr>
            <w:r w:rsidRPr="00E17D46">
              <w:rPr>
                <w:rStyle w:val="SpecialBold"/>
              </w:rPr>
              <w:t>ELEMENT</w:t>
            </w:r>
          </w:p>
        </w:tc>
        <w:tc>
          <w:tcPr>
            <w:tcW w:w="5943" w:type="dxa"/>
            <w:tcBorders>
              <w:top w:val="nil"/>
              <w:left w:val="nil"/>
              <w:bottom w:val="single" w:sz="6" w:space="0" w:color="auto"/>
              <w:right w:val="nil"/>
            </w:tcBorders>
            <w:tcMar>
              <w:top w:w="0" w:type="dxa"/>
              <w:left w:w="62" w:type="dxa"/>
              <w:bottom w:w="0" w:type="dxa"/>
              <w:right w:w="62" w:type="dxa"/>
            </w:tcMar>
          </w:tcPr>
          <w:p w:rsidR="00000000" w:rsidP="00E17D46">
            <w:pPr>
              <w:pStyle w:val="BodyText"/>
              <w:rPr>
                <w:lang w:val="en-NZ"/>
              </w:rPr>
            </w:pPr>
            <w:r w:rsidRPr="00E17D46">
              <w:rPr>
                <w:rStyle w:val="SpecialBold"/>
              </w:rPr>
              <w:t>PERFORMANCE CRITERIA</w:t>
            </w:r>
          </w:p>
        </w:tc>
      </w:tr>
      <w:tr w:rsidTr="00E632D8">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17D46">
            <w:pPr>
              <w:pStyle w:val="List"/>
              <w:rPr>
                <w:lang w:val="en-NZ"/>
              </w:rPr>
            </w:pPr>
            <w:r w:rsidRPr="00E17D46">
              <w:t>1.</w:t>
            </w:r>
            <w:r w:rsidRPr="00E17D46">
              <w:tab/>
              <w:t>Evaluate geological formation of rocks and their subsequent weathering to form various soil types.</w:t>
            </w:r>
          </w:p>
        </w:tc>
        <w:tc>
          <w:tcPr>
            <w:tcW w:w="5943" w:type="dxa"/>
            <w:tcBorders>
              <w:top w:val="nil"/>
              <w:left w:val="nil"/>
              <w:bottom w:val="nil"/>
              <w:right w:val="nil"/>
            </w:tcBorders>
            <w:tcMar>
              <w:top w:w="0" w:type="dxa"/>
              <w:left w:w="62" w:type="dxa"/>
              <w:bottom w:w="0" w:type="dxa"/>
              <w:right w:w="62" w:type="dxa"/>
            </w:tcMar>
          </w:tcPr>
          <w:p w:rsidR="00000000" w:rsidRPr="00E17D46" w:rsidP="00E17D46">
            <w:pPr>
              <w:pStyle w:val="List2"/>
            </w:pPr>
            <w:r w:rsidRPr="00E17D46">
              <w:t>1.1.</w:t>
            </w:r>
            <w:r w:rsidRPr="00E17D46">
              <w:tab/>
              <w:t>Formation of igneous, sedimentary and metamorphic rocks is identified and documented.</w:t>
            </w:r>
          </w:p>
          <w:p w:rsidR="00000000" w:rsidP="00E17D46">
            <w:pPr>
              <w:pStyle w:val="List2"/>
              <w:rPr>
                <w:lang w:val="en-NZ"/>
              </w:rPr>
            </w:pPr>
            <w:r w:rsidRPr="00E17D46">
              <w:t>1.2.</w:t>
            </w:r>
            <w:r w:rsidRPr="00E17D46">
              <w:tab/>
              <w:t>Mode of transportation, deposition and formation of sands, gravels and clays are identified and documented.</w:t>
            </w:r>
          </w:p>
        </w:tc>
      </w:tr>
      <w:tr w:rsidTr="00E632D8">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17D46">
            <w:pPr>
              <w:pStyle w:val="List"/>
              <w:rPr>
                <w:lang w:val="en-NZ"/>
              </w:rPr>
            </w:pPr>
            <w:r w:rsidRPr="00E17D46">
              <w:t>2.</w:t>
            </w:r>
            <w:r w:rsidRPr="00E17D46">
              <w:tab/>
              <w:t>Read and evaluate both topographical and geological maps.</w:t>
            </w:r>
          </w:p>
        </w:tc>
        <w:tc>
          <w:tcPr>
            <w:tcW w:w="5943" w:type="dxa"/>
            <w:tcBorders>
              <w:top w:val="nil"/>
              <w:left w:val="nil"/>
              <w:bottom w:val="nil"/>
              <w:right w:val="nil"/>
            </w:tcBorders>
            <w:tcMar>
              <w:top w:w="0" w:type="dxa"/>
              <w:left w:w="62" w:type="dxa"/>
              <w:bottom w:w="0" w:type="dxa"/>
              <w:right w:w="62" w:type="dxa"/>
            </w:tcMar>
          </w:tcPr>
          <w:p w:rsidR="00000000" w:rsidRPr="00E17D46" w:rsidP="00E17D46">
            <w:pPr>
              <w:pStyle w:val="List2"/>
            </w:pPr>
            <w:r w:rsidRPr="00E17D46">
              <w:t>2.1.</w:t>
            </w:r>
            <w:r w:rsidRPr="00E17D46">
              <w:tab/>
              <w:t>Topographical and geological maps are interpreted without error.</w:t>
            </w:r>
          </w:p>
          <w:p w:rsidR="00000000" w:rsidRPr="00E17D46" w:rsidP="00E17D46">
            <w:pPr>
              <w:pStyle w:val="List2"/>
            </w:pPr>
            <w:r w:rsidRPr="00E17D46">
              <w:t>2.2.</w:t>
            </w:r>
            <w:r w:rsidRPr="00E17D46">
              <w:tab/>
              <w:t xml:space="preserve">Maps </w:t>
            </w:r>
            <w:r w:rsidRPr="00E17D46">
              <w:t>of both types are interpreted by drawing sections indicating features.</w:t>
            </w:r>
          </w:p>
          <w:p w:rsidR="00000000" w:rsidP="00E17D46">
            <w:pPr>
              <w:pStyle w:val="List2"/>
              <w:rPr>
                <w:lang w:val="en-NZ"/>
              </w:rPr>
            </w:pPr>
            <w:r w:rsidRPr="00E17D46">
              <w:t>2.3.</w:t>
            </w:r>
            <w:r w:rsidRPr="00E17D46">
              <w:tab/>
              <w:t>Retaining structures and systems suitable for various situations are identified.</w:t>
            </w:r>
          </w:p>
        </w:tc>
      </w:tr>
      <w:tr w:rsidTr="00E632D8">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17D46">
            <w:pPr>
              <w:pStyle w:val="List"/>
              <w:rPr>
                <w:lang w:val="en-NZ"/>
              </w:rPr>
            </w:pPr>
            <w:r w:rsidRPr="00E17D46">
              <w:t>3.</w:t>
            </w:r>
            <w:r w:rsidRPr="00E17D46">
              <w:tab/>
              <w:t>Identify soil types and their behaviour.</w:t>
            </w:r>
          </w:p>
        </w:tc>
        <w:tc>
          <w:tcPr>
            <w:tcW w:w="5943" w:type="dxa"/>
            <w:tcBorders>
              <w:top w:val="nil"/>
              <w:left w:val="nil"/>
              <w:bottom w:val="nil"/>
              <w:right w:val="nil"/>
            </w:tcBorders>
            <w:tcMar>
              <w:top w:w="0" w:type="dxa"/>
              <w:left w:w="62" w:type="dxa"/>
              <w:bottom w:w="0" w:type="dxa"/>
              <w:right w:w="62" w:type="dxa"/>
            </w:tcMar>
          </w:tcPr>
          <w:p w:rsidR="00000000" w:rsidRPr="00E17D46" w:rsidP="00E17D46">
            <w:pPr>
              <w:pStyle w:val="List2"/>
            </w:pPr>
            <w:r w:rsidRPr="00E17D46">
              <w:t>3.1.</w:t>
            </w:r>
            <w:r w:rsidRPr="00E17D46">
              <w:tab/>
            </w:r>
            <w:r w:rsidRPr="00E17D46">
              <w:t>Cohesive and granular soils are identified from hand specimens without error.</w:t>
            </w:r>
          </w:p>
          <w:p w:rsidR="00000000" w:rsidRPr="00E17D46" w:rsidP="00E17D46">
            <w:pPr>
              <w:pStyle w:val="List2"/>
            </w:pPr>
            <w:r w:rsidRPr="00E17D46">
              <w:t>3.2.</w:t>
            </w:r>
            <w:r w:rsidRPr="00E17D46">
              <w:tab/>
            </w:r>
            <w:r w:rsidRPr="00E17D46">
              <w:rPr>
                <w:rStyle w:val="BoldandItalics"/>
              </w:rPr>
              <w:t>Soil types</w:t>
            </w:r>
            <w:r w:rsidRPr="00E17D46">
              <w:t xml:space="preserve"> and </w:t>
            </w:r>
            <w:r w:rsidRPr="00E17D46">
              <w:rPr>
                <w:rStyle w:val="BoldandItalics"/>
              </w:rPr>
              <w:t>soil properties</w:t>
            </w:r>
            <w:r w:rsidRPr="00E17D46">
              <w:t xml:space="preserve"> are identified and calculated with reference to standards, codes and industry literature. </w:t>
            </w:r>
          </w:p>
          <w:p w:rsidR="00000000" w:rsidP="00E17D46">
            <w:pPr>
              <w:pStyle w:val="List2"/>
              <w:rPr>
                <w:lang w:val="en-NZ"/>
              </w:rPr>
            </w:pPr>
            <w:r w:rsidRPr="00E17D46">
              <w:t>3.3.</w:t>
            </w:r>
            <w:r w:rsidRPr="00E17D46">
              <w:tab/>
              <w:t xml:space="preserve">Effects of depth on overburden and pore water </w:t>
            </w:r>
            <w:r w:rsidRPr="00E17D46">
              <w:t>pressure are estimated.</w:t>
            </w:r>
          </w:p>
        </w:tc>
      </w:tr>
      <w:tr w:rsidTr="00E632D8">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17D46">
            <w:pPr>
              <w:pStyle w:val="List"/>
              <w:rPr>
                <w:lang w:val="en-NZ"/>
              </w:rPr>
            </w:pPr>
            <w:r w:rsidRPr="00E17D46">
              <w:t>4.</w:t>
            </w:r>
            <w:r w:rsidRPr="00E17D46">
              <w:tab/>
              <w:t>Determine suitability of foundation soils to support various types of structures.</w:t>
            </w:r>
          </w:p>
        </w:tc>
        <w:tc>
          <w:tcPr>
            <w:tcW w:w="5943" w:type="dxa"/>
            <w:tcBorders>
              <w:top w:val="nil"/>
              <w:left w:val="nil"/>
              <w:bottom w:val="nil"/>
              <w:right w:val="nil"/>
            </w:tcBorders>
            <w:tcMar>
              <w:top w:w="0" w:type="dxa"/>
              <w:left w:w="62" w:type="dxa"/>
              <w:bottom w:w="0" w:type="dxa"/>
              <w:right w:w="62" w:type="dxa"/>
            </w:tcMar>
          </w:tcPr>
          <w:p w:rsidR="00000000" w:rsidRPr="00E17D46" w:rsidP="00E17D46">
            <w:pPr>
              <w:pStyle w:val="List2"/>
            </w:pPr>
            <w:r w:rsidRPr="00E17D46">
              <w:t>4.1.</w:t>
            </w:r>
            <w:r w:rsidRPr="00E17D46">
              <w:tab/>
              <w:t>Meaning of total and differential settlement of a building is interpreted without error.</w:t>
            </w:r>
          </w:p>
          <w:p w:rsidR="00000000" w:rsidRPr="00E17D46" w:rsidP="00E17D46">
            <w:pPr>
              <w:pStyle w:val="List2"/>
            </w:pPr>
            <w:r w:rsidRPr="00E17D46">
              <w:t>4.2.</w:t>
            </w:r>
            <w:r w:rsidRPr="00E17D46">
              <w:tab/>
              <w:t>Factors influencing settlement and the ultimate</w:t>
            </w:r>
            <w:r w:rsidRPr="00E17D46">
              <w:t xml:space="preserve"> bearing capacity of the ground are interpreted.</w:t>
            </w:r>
          </w:p>
          <w:p w:rsidR="00000000" w:rsidP="00E17D46">
            <w:pPr>
              <w:pStyle w:val="List2"/>
              <w:rPr>
                <w:lang w:val="en-NZ"/>
              </w:rPr>
            </w:pPr>
            <w:r w:rsidRPr="00E17D46">
              <w:t>4.3.</w:t>
            </w:r>
            <w:r w:rsidRPr="00E17D46">
              <w:tab/>
              <w:t xml:space="preserve">Total and net pressure on foundation soils due to the load of a structure is calculated to determine suitable </w:t>
            </w:r>
            <w:r w:rsidRPr="00E17D46">
              <w:rPr>
                <w:rStyle w:val="BoldandItalics"/>
              </w:rPr>
              <w:t>foundation systems</w:t>
            </w:r>
            <w:r w:rsidRPr="00E17D46">
              <w:t xml:space="preserve">. </w:t>
            </w:r>
          </w:p>
        </w:tc>
      </w:tr>
      <w:tr w:rsidTr="00E632D8">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17D46">
            <w:pPr>
              <w:pStyle w:val="List"/>
              <w:rPr>
                <w:lang w:val="en-NZ"/>
              </w:rPr>
            </w:pPr>
            <w:r w:rsidRPr="00E17D46">
              <w:t>5.</w:t>
            </w:r>
            <w:r w:rsidRPr="00E17D46">
              <w:tab/>
              <w:t>Identify and apply the various methods and applications of soil tes</w:t>
            </w:r>
            <w:r w:rsidRPr="00E17D46">
              <w:t>ting.</w:t>
            </w:r>
          </w:p>
        </w:tc>
        <w:tc>
          <w:tcPr>
            <w:tcW w:w="5943" w:type="dxa"/>
            <w:tcBorders>
              <w:top w:val="nil"/>
              <w:left w:val="nil"/>
              <w:bottom w:val="nil"/>
              <w:right w:val="nil"/>
            </w:tcBorders>
            <w:tcMar>
              <w:top w:w="0" w:type="dxa"/>
              <w:left w:w="62" w:type="dxa"/>
              <w:bottom w:w="0" w:type="dxa"/>
              <w:right w:w="62" w:type="dxa"/>
            </w:tcMar>
          </w:tcPr>
          <w:p w:rsidR="00000000" w:rsidRPr="00E17D46" w:rsidP="00E17D46">
            <w:pPr>
              <w:pStyle w:val="List2"/>
            </w:pPr>
            <w:r w:rsidRPr="00E17D46">
              <w:t>5.1.</w:t>
            </w:r>
            <w:r w:rsidRPr="00E17D46">
              <w:tab/>
              <w:t>Australian standard laboratory testing of permeability, strength, consolidation and point load tests (for rocks) is identified and interpreted.</w:t>
            </w:r>
          </w:p>
          <w:p w:rsidR="00000000" w:rsidRPr="00E17D46" w:rsidP="00E17D46">
            <w:pPr>
              <w:pStyle w:val="List2"/>
            </w:pPr>
            <w:r w:rsidRPr="00E17D46">
              <w:t>5.2.</w:t>
            </w:r>
            <w:r w:rsidRPr="00E17D46">
              <w:tab/>
              <w:t>Australian standard for carrying out sub-soil investigations and in situ testing is identified a</w:t>
            </w:r>
            <w:r w:rsidRPr="00E17D46">
              <w:t>nd interpreted.</w:t>
            </w:r>
          </w:p>
          <w:p w:rsidR="00000000" w:rsidP="00E17D46">
            <w:pPr>
              <w:pStyle w:val="List2"/>
              <w:rPr>
                <w:lang w:val="en-NZ"/>
              </w:rPr>
            </w:pPr>
            <w:r w:rsidRPr="00E17D46">
              <w:t>5.3.</w:t>
            </w:r>
            <w:r w:rsidRPr="00E17D46">
              <w:tab/>
              <w:t>Soil testing methods are selected and applied or accessed through competent agencies.</w:t>
            </w:r>
          </w:p>
        </w:tc>
      </w:tr>
      <w:tr w:rsidTr="00E632D8">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17D46">
            <w:pPr>
              <w:pStyle w:val="List"/>
              <w:rPr>
                <w:lang w:val="en-NZ"/>
              </w:rPr>
            </w:pPr>
            <w:r w:rsidRPr="00E17D46">
              <w:t>6.</w:t>
            </w:r>
            <w:r w:rsidRPr="00E17D46">
              <w:tab/>
              <w:t>Determine footing systems for the site conditions and building type.</w:t>
            </w:r>
          </w:p>
        </w:tc>
        <w:tc>
          <w:tcPr>
            <w:tcW w:w="5943" w:type="dxa"/>
            <w:tcBorders>
              <w:top w:val="nil"/>
              <w:left w:val="nil"/>
              <w:bottom w:val="nil"/>
              <w:right w:val="nil"/>
            </w:tcBorders>
            <w:tcMar>
              <w:top w:w="0" w:type="dxa"/>
              <w:left w:w="62" w:type="dxa"/>
              <w:bottom w:w="0" w:type="dxa"/>
              <w:right w:w="62" w:type="dxa"/>
            </w:tcMar>
          </w:tcPr>
          <w:p w:rsidR="00000000" w:rsidRPr="00E17D46" w:rsidP="00E17D46">
            <w:pPr>
              <w:pStyle w:val="List2"/>
            </w:pPr>
            <w:r w:rsidRPr="00E17D46">
              <w:t>6.1.</w:t>
            </w:r>
            <w:r w:rsidRPr="00E17D46">
              <w:tab/>
              <w:t>Mechanism of soil shrinkage and swelling is interpreted.</w:t>
            </w:r>
          </w:p>
          <w:p w:rsidR="00000000" w:rsidRPr="00E17D46" w:rsidP="00E17D46">
            <w:pPr>
              <w:pStyle w:val="List2"/>
            </w:pPr>
            <w:r w:rsidRPr="00E17D46">
              <w:t>6.2.</w:t>
            </w:r>
            <w:r w:rsidRPr="00E17D46">
              <w:tab/>
              <w:t>Site clas</w:t>
            </w:r>
            <w:r w:rsidRPr="00E17D46">
              <w:t>sification for the design and construction of a footing system for a single storey dwelling is in accordance with the BCA.</w:t>
            </w:r>
          </w:p>
          <w:p w:rsidR="00000000" w:rsidP="00E17D46">
            <w:pPr>
              <w:pStyle w:val="List2"/>
              <w:rPr>
                <w:lang w:val="en-NZ"/>
              </w:rPr>
            </w:pPr>
            <w:r w:rsidRPr="00E17D46">
              <w:t>6.3.</w:t>
            </w:r>
            <w:r w:rsidRPr="00E17D46">
              <w:tab/>
            </w:r>
            <w:r w:rsidRPr="00E17D46">
              <w:rPr>
                <w:rStyle w:val="BoldandItalics"/>
              </w:rPr>
              <w:t>Application of footings and geomechanical principles</w:t>
            </w:r>
            <w:r w:rsidRPr="00E17D46">
              <w:t xml:space="preserve"> for the footing system for a domestic scale building is determined in accor</w:t>
            </w:r>
            <w:r w:rsidRPr="00E17D46">
              <w:t xml:space="preserve">dance with BCA and </w:t>
            </w:r>
            <w:r w:rsidRPr="00E17D46">
              <w:rPr>
                <w:rStyle w:val="BoldandItalics"/>
              </w:rPr>
              <w:t>adherence to legislative requirements</w:t>
            </w:r>
            <w:r w:rsidRPr="00E17D46">
              <w:t xml:space="preserve">. </w:t>
            </w:r>
          </w:p>
        </w:tc>
      </w:tr>
      <w:tr w:rsidTr="00E632D8">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17D46">
            <w:pPr>
              <w:pStyle w:val="List"/>
              <w:rPr>
                <w:lang w:val="en-NZ"/>
              </w:rPr>
            </w:pPr>
            <w:r w:rsidRPr="00E17D46">
              <w:t>7.</w:t>
            </w:r>
            <w:r w:rsidRPr="00E17D46">
              <w:tab/>
              <w:t>Determine site maintenance requirements necessary to minimise long-term damage to the structure.</w:t>
            </w:r>
          </w:p>
        </w:tc>
        <w:tc>
          <w:tcPr>
            <w:tcW w:w="5943" w:type="dxa"/>
            <w:tcBorders>
              <w:top w:val="nil"/>
              <w:left w:val="nil"/>
              <w:bottom w:val="nil"/>
              <w:right w:val="nil"/>
            </w:tcBorders>
            <w:tcMar>
              <w:top w:w="0" w:type="dxa"/>
              <w:left w:w="62" w:type="dxa"/>
              <w:bottom w:w="0" w:type="dxa"/>
              <w:right w:w="62" w:type="dxa"/>
            </w:tcMar>
          </w:tcPr>
          <w:p w:rsidR="00000000" w:rsidRPr="00E17D46" w:rsidP="00E17D46">
            <w:pPr>
              <w:pStyle w:val="List2"/>
            </w:pPr>
            <w:r w:rsidRPr="00E17D46">
              <w:t>7.1.</w:t>
            </w:r>
            <w:r w:rsidRPr="00E17D46">
              <w:tab/>
              <w:t xml:space="preserve">Influence of moisture content changes in clay soils on </w:t>
            </w:r>
            <w:r w:rsidRPr="00E17D46">
              <w:rPr>
                <w:rStyle w:val="BoldandItalics"/>
              </w:rPr>
              <w:t>maintenance requirements</w:t>
            </w:r>
            <w:r w:rsidRPr="00E17D46">
              <w:t xml:space="preserve"> is determined. </w:t>
            </w:r>
          </w:p>
          <w:p w:rsidR="00000000" w:rsidRPr="00E17D46" w:rsidP="00E17D46">
            <w:pPr>
              <w:pStyle w:val="List2"/>
            </w:pPr>
            <w:r w:rsidRPr="00E17D46">
              <w:t>7.2.</w:t>
            </w:r>
            <w:r w:rsidRPr="00E17D46">
              <w:tab/>
              <w:t>Minimisation strategies for long-term damage to a structure with respect to the soil conditions found on a particular site where active clays are located are recommended.</w:t>
            </w:r>
          </w:p>
        </w:tc>
      </w:tr>
    </w:tbl>
    <w:p w:rsidR="00E632D8" w:rsidP="00E17D46">
      <w:pPr>
        <w:pStyle w:val="BodyText"/>
      </w:pPr>
    </w:p>
    <w:p w:rsidR="00E632D8" w:rsidP="00E17D46">
      <w:pPr>
        <w:pStyle w:val="BodyText"/>
      </w:pPr>
    </w:p>
    <w:p w:rsidR="00000000" w:rsidRPr="00E17D46" w:rsidP="00E17D46">
      <w:pPr>
        <w:pStyle w:val="Heading1"/>
      </w:pPr>
      <w:bookmarkStart w:id="9" w:name="O_258398"/>
      <w:bookmarkEnd w:id="9"/>
      <w:r w:rsidRPr="00E17D46">
        <w:t>Required Skills and Knowledge</w:t>
      </w:r>
    </w:p>
    <w:tbl>
      <w:tblPr>
        <w:tblW w:w="0" w:type="auto"/>
        <w:tblLayout w:type="fixed"/>
        <w:tblCellMar>
          <w:left w:w="62" w:type="dxa"/>
          <w:right w:w="62" w:type="dxa"/>
        </w:tblCellMar>
        <w:tblLook w:val="0000"/>
      </w:tblPr>
      <w:tblGrid>
        <w:gridCol w:w="8522"/>
      </w:tblGrid>
      <w:tr w:rsidTr="00E632D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SpecialBold"/>
              </w:rPr>
              <w:t>REQUIRED SKILLS AND KNOWLEDGE</w:t>
            </w:r>
          </w:p>
        </w:tc>
      </w:tr>
      <w:tr w:rsidTr="00E632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t>This section describes the skills and knowledge required for this unit.</w:t>
            </w:r>
          </w:p>
        </w:tc>
      </w:tr>
      <w:tr w:rsidTr="00E632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SpecialBold"/>
              </w:rPr>
              <w:t>Required skills</w:t>
            </w:r>
          </w:p>
        </w:tc>
      </w:tr>
      <w:tr w:rsidTr="00E632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7D46" w:rsidP="00E17D46">
            <w:pPr>
              <w:pStyle w:val="BodyText"/>
            </w:pPr>
            <w:r w:rsidRPr="00E17D46">
              <w:t>Required skills for this unit are:</w:t>
            </w:r>
          </w:p>
          <w:p w:rsidR="00000000" w:rsidRPr="00E17D46" w:rsidP="00E17D46">
            <w:pPr>
              <w:pStyle w:val="ListBullet"/>
            </w:pPr>
            <w:r w:rsidRPr="00E17D46">
              <w:t>ability to respond to change and contribute to workplace responsibilit</w:t>
            </w:r>
            <w:r w:rsidRPr="00E17D46">
              <w:t>ies, such as current work site environmental and sustainability frameworks or management systems</w:t>
            </w:r>
          </w:p>
          <w:p w:rsidR="00000000" w:rsidRPr="00E17D46" w:rsidP="00E17D46">
            <w:pPr>
              <w:pStyle w:val="ListBullet"/>
            </w:pPr>
            <w:r w:rsidRPr="00E17D46">
              <w:t>communication skills to:</w:t>
            </w:r>
          </w:p>
          <w:p w:rsidR="00000000" w:rsidRPr="00E17D46" w:rsidP="00E17D46">
            <w:pPr>
              <w:pStyle w:val="ListBullet2"/>
            </w:pPr>
            <w:r w:rsidRPr="00E17D46">
              <w:t xml:space="preserve">enable clear and direct communication, using questioning to identify and confirm requirements, </w:t>
            </w:r>
            <w:r w:rsidRPr="00E17D46">
              <w:t>share information, listen and understand</w:t>
            </w:r>
          </w:p>
          <w:p w:rsidR="00000000" w:rsidRPr="00E17D46" w:rsidP="00E17D46">
            <w:pPr>
              <w:pStyle w:val="ListBullet2"/>
            </w:pPr>
            <w:r w:rsidRPr="00E17D46">
              <w:t>written skills to report evaluations</w:t>
            </w:r>
          </w:p>
          <w:p w:rsidR="00000000" w:rsidRPr="00E17D46" w:rsidP="00E17D46">
            <w:pPr>
              <w:pStyle w:val="ListBullet2"/>
            </w:pPr>
            <w:r w:rsidRPr="00E17D46">
              <w:t>read and interpret:</w:t>
            </w:r>
          </w:p>
          <w:p w:rsidR="00000000" w:rsidRPr="00E17D46" w:rsidP="00E17D46">
            <w:pPr>
              <w:pStyle w:val="ListBullet3"/>
            </w:pPr>
            <w:r w:rsidRPr="00E17D46">
              <w:t>BCA</w:t>
            </w:r>
          </w:p>
          <w:p w:rsidR="00000000" w:rsidRPr="00E17D46" w:rsidP="00E17D46">
            <w:pPr>
              <w:pStyle w:val="ListBullet3"/>
            </w:pPr>
            <w:r w:rsidRPr="00E17D46">
              <w:t>legislation</w:t>
            </w:r>
          </w:p>
          <w:p w:rsidR="00000000" w:rsidRPr="00E17D46" w:rsidP="00E17D46">
            <w:pPr>
              <w:pStyle w:val="ListBullet3"/>
            </w:pPr>
            <w:r w:rsidRPr="00E17D46">
              <w:t>reports</w:t>
            </w:r>
          </w:p>
          <w:p w:rsidR="00000000" w:rsidRPr="00E17D46" w:rsidP="00E17D46">
            <w:pPr>
              <w:pStyle w:val="ListBullet3"/>
            </w:pPr>
            <w:r w:rsidRPr="00E17D46">
              <w:t>specifications</w:t>
            </w:r>
          </w:p>
          <w:p w:rsidR="00000000" w:rsidRPr="00E17D46" w:rsidP="00E17D46">
            <w:pPr>
              <w:pStyle w:val="ListBullet3"/>
            </w:pPr>
            <w:r w:rsidRPr="00E17D46">
              <w:t>working drawings</w:t>
            </w:r>
          </w:p>
          <w:p w:rsidR="00000000" w:rsidRPr="00E17D46" w:rsidP="00E17D46">
            <w:pPr>
              <w:pStyle w:val="ListBullet2"/>
            </w:pPr>
            <w:r w:rsidRPr="00E17D46">
              <w:t>use language and concepts appropriate to cultural differences</w:t>
            </w:r>
          </w:p>
          <w:p w:rsidR="00000000" w:rsidRPr="00E17D46" w:rsidP="00E17D46">
            <w:pPr>
              <w:pStyle w:val="ListBullet2"/>
            </w:pPr>
            <w:r w:rsidRPr="00E17D46">
              <w:t>use and interpret non-verbal communication</w:t>
            </w:r>
          </w:p>
          <w:p w:rsidR="00000000" w:rsidRPr="00E17D46" w:rsidP="00E17D46">
            <w:pPr>
              <w:pStyle w:val="ListBullet"/>
            </w:pPr>
            <w:r w:rsidRPr="00E17D46">
              <w:t>numeracy skills to interpret complex mathematical information</w:t>
            </w:r>
          </w:p>
          <w:p w:rsidR="00000000" w:rsidRPr="00E17D46" w:rsidP="00E17D46">
            <w:pPr>
              <w:pStyle w:val="ListBullet"/>
            </w:pPr>
            <w:r w:rsidRPr="00E17D46">
              <w:t>planning and organisational skills to collect, organise and analyse information</w:t>
            </w:r>
          </w:p>
          <w:p w:rsidR="00000000" w:rsidRPr="00E17D46" w:rsidP="00E17D46">
            <w:pPr>
              <w:pStyle w:val="ListBullet"/>
            </w:pPr>
            <w:r w:rsidRPr="00E17D46">
              <w:t>problem solving skills to carry out tests and calculations and to use a</w:t>
            </w:r>
            <w:r w:rsidRPr="00E17D46">
              <w:t>nd apply data for decision making</w:t>
            </w:r>
          </w:p>
          <w:p w:rsidR="00000000" w:rsidRPr="00E17D46" w:rsidP="00E17D46">
            <w:pPr>
              <w:pStyle w:val="ListBullet"/>
            </w:pPr>
            <w:r w:rsidRPr="00E17D46">
              <w:t>technological skills to:</w:t>
            </w:r>
          </w:p>
          <w:p w:rsidR="00000000" w:rsidRPr="00E17D46" w:rsidP="00E17D46">
            <w:pPr>
              <w:pStyle w:val="ListBullet2"/>
            </w:pPr>
            <w:r w:rsidRPr="00E17D46">
              <w:t>complete documentation and calculations</w:t>
            </w:r>
          </w:p>
          <w:p w:rsidR="00000000" w:rsidP="00E17D46">
            <w:pPr>
              <w:pStyle w:val="ListBullet2"/>
              <w:rPr>
                <w:lang w:val="en-NZ"/>
              </w:rPr>
            </w:pPr>
            <w:r w:rsidRPr="00E17D46">
              <w:t>enable information gathering and analysis.</w:t>
            </w:r>
          </w:p>
        </w:tc>
      </w:tr>
      <w:tr w:rsidTr="00E632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SpecialBold"/>
              </w:rPr>
              <w:t>Required knowledge</w:t>
            </w:r>
          </w:p>
        </w:tc>
      </w:tr>
      <w:tr w:rsidTr="00E632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7D46" w:rsidP="00E17D46">
            <w:pPr>
              <w:pStyle w:val="BodyText"/>
            </w:pPr>
            <w:r w:rsidRPr="00E17D46">
              <w:t>Required knowledge for this unit is:</w:t>
            </w:r>
          </w:p>
          <w:p w:rsidR="00000000" w:rsidRPr="00E17D46" w:rsidP="00E17D46">
            <w:pPr>
              <w:pStyle w:val="ListBullet"/>
            </w:pPr>
            <w:r w:rsidRPr="00E17D46">
              <w:t>behaviour of structural members undergoing stress, strain, compression, bending or combined actions</w:t>
            </w:r>
          </w:p>
          <w:p w:rsidR="00000000" w:rsidRPr="00E17D46" w:rsidP="00E17D46">
            <w:pPr>
              <w:pStyle w:val="ListBullet"/>
            </w:pPr>
            <w:r w:rsidRPr="00E17D46">
              <w:t>design principles and concepts for footings</w:t>
            </w:r>
          </w:p>
          <w:p w:rsidR="00000000" w:rsidRPr="00E17D46" w:rsidP="00E17D46">
            <w:pPr>
              <w:pStyle w:val="ListBullet"/>
            </w:pPr>
            <w:r w:rsidRPr="00E17D46">
              <w:t>geomechanical engineering principles</w:t>
            </w:r>
          </w:p>
          <w:p w:rsidR="00000000" w:rsidRPr="00E17D46" w:rsidP="00E17D46">
            <w:pPr>
              <w:pStyle w:val="ListBullet"/>
            </w:pPr>
            <w:r w:rsidRPr="00E17D46">
              <w:t>nature of materials and effect on performance</w:t>
            </w:r>
          </w:p>
          <w:p w:rsidR="00000000" w:rsidRPr="00E17D46" w:rsidP="00E17D46">
            <w:pPr>
              <w:pStyle w:val="ListBullet"/>
            </w:pPr>
            <w:r w:rsidRPr="00E17D46">
              <w:t xml:space="preserve">nature of soil mechanics and </w:t>
            </w:r>
            <w:r w:rsidRPr="00E17D46">
              <w:t>effect of performance in problem soils</w:t>
            </w:r>
          </w:p>
          <w:p w:rsidR="00000000" w:rsidRPr="00E17D46" w:rsidP="00E17D46">
            <w:pPr>
              <w:pStyle w:val="ListBullet"/>
            </w:pPr>
            <w:r w:rsidRPr="00E17D46">
              <w:t>processes for the interpretation of working drawings and specifications</w:t>
            </w:r>
          </w:p>
          <w:p w:rsidR="00000000" w:rsidRPr="00E17D46" w:rsidP="00E17D46">
            <w:pPr>
              <w:pStyle w:val="ListBullet"/>
            </w:pPr>
            <w:r w:rsidRPr="00E17D46">
              <w:t>processes for the preparation of documentation</w:t>
            </w:r>
          </w:p>
          <w:p w:rsidR="00000000" w:rsidRPr="00E17D46" w:rsidP="00E17D46">
            <w:pPr>
              <w:pStyle w:val="ListBullet"/>
            </w:pPr>
            <w:r w:rsidRPr="00E17D46">
              <w:t>relevant federal, state or territory legislation and local government policy and procedures</w:t>
            </w:r>
          </w:p>
          <w:p w:rsidR="00000000" w:rsidRPr="00E17D46" w:rsidP="00E17D46">
            <w:pPr>
              <w:pStyle w:val="ListBullet"/>
            </w:pPr>
            <w:r w:rsidRPr="00E17D46">
              <w:t>resear</w:t>
            </w:r>
            <w:r w:rsidRPr="00E17D46">
              <w:t>ch methods</w:t>
            </w:r>
          </w:p>
          <w:p w:rsidR="00000000" w:rsidRPr="00E17D46" w:rsidP="00E17D46">
            <w:pPr>
              <w:pStyle w:val="ListBullet"/>
            </w:pPr>
            <w:r w:rsidRPr="00E17D46">
              <w:t>structural design principles in buildings.</w:t>
            </w:r>
          </w:p>
        </w:tc>
      </w:tr>
    </w:tbl>
    <w:p w:rsidR="00E632D8" w:rsidP="00E17D46">
      <w:pPr>
        <w:pStyle w:val="BodyText"/>
      </w:pPr>
    </w:p>
    <w:p w:rsidR="00E632D8" w:rsidP="00E17D46">
      <w:pPr>
        <w:pStyle w:val="BodyText"/>
      </w:pPr>
    </w:p>
    <w:p w:rsidR="00000000" w:rsidRPr="00E17D46" w:rsidP="00E17D46">
      <w:pPr>
        <w:pStyle w:val="AllowPageBreak"/>
      </w:pPr>
    </w:p>
    <w:p w:rsidR="00000000" w:rsidRPr="00E17D46" w:rsidP="00E17D46">
      <w:pPr>
        <w:pStyle w:val="Heading1"/>
      </w:pPr>
      <w:bookmarkStart w:id="10" w:name="O_242432"/>
      <w:bookmarkEnd w:id="10"/>
      <w:r w:rsidRPr="00E17D46">
        <w:t>Evidence Guide</w:t>
      </w:r>
    </w:p>
    <w:tbl>
      <w:tblPr>
        <w:tblW w:w="0" w:type="auto"/>
        <w:tblLayout w:type="fixed"/>
        <w:tblCellMar>
          <w:left w:w="62" w:type="dxa"/>
          <w:right w:w="62" w:type="dxa"/>
        </w:tblCellMar>
        <w:tblLook w:val="0000"/>
      </w:tblPr>
      <w:tblGrid>
        <w:gridCol w:w="3513"/>
        <w:gridCol w:w="5009"/>
      </w:tblGrid>
      <w:tr w:rsidTr="00E632D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17D46">
            <w:pPr>
              <w:pStyle w:val="BodyText"/>
              <w:rPr>
                <w:lang w:val="en-NZ"/>
              </w:rPr>
            </w:pPr>
            <w:r w:rsidRPr="00E17D46">
              <w:rPr>
                <w:rStyle w:val="SpecialBold"/>
              </w:rPr>
              <w:t>EVIDENCE GUIDE</w:t>
            </w:r>
          </w:p>
        </w:tc>
      </w:tr>
      <w:tr w:rsidTr="00E632D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17D46">
            <w:pPr>
              <w:pStyle w:val="BodyText"/>
              <w:rPr>
                <w:lang w:val="en-NZ"/>
              </w:rPr>
            </w:pPr>
            <w:r w:rsidRPr="00E17D46">
              <w:t>The evidence guide provides advice on assessment and must be read in conjunction with the performance criteria, required skills and knowledge, range statement and the Assessment Guidelines for the Training Package.</w:t>
            </w:r>
          </w:p>
        </w:tc>
      </w:tr>
      <w:tr w:rsidTr="00E632D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t>This unit of competency could be assessed in the workplace or a close simulation of the workplace environment, provided that simulated or project-based assessment techniques fully replicate construction workplace conditions, materials, activities, responsi</w:t>
            </w:r>
            <w:r w:rsidRPr="00E17D46">
              <w:t xml:space="preserve">bilities and procedures. </w:t>
            </w:r>
          </w:p>
        </w:tc>
      </w:tr>
      <w:tr w:rsidTr="00E632D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E17D46" w:rsidP="00E17D46">
            <w:pPr>
              <w:pStyle w:val="BodyText"/>
            </w:pPr>
            <w:r w:rsidRPr="00E17D46">
              <w:t>A person who demonstrates competency in this unit must be able to provide evidence of the ability to:</w:t>
            </w:r>
          </w:p>
          <w:p w:rsidR="00000000" w:rsidRPr="00E17D46" w:rsidP="00E17D46">
            <w:pPr>
              <w:pStyle w:val="ListBullet"/>
            </w:pPr>
            <w:r w:rsidRPr="00E17D46">
              <w:t>comply with OHS regulations applic</w:t>
            </w:r>
            <w:r w:rsidRPr="00E17D46">
              <w:t>able to workplace operations</w:t>
            </w:r>
          </w:p>
          <w:p w:rsidR="00000000" w:rsidRPr="00E17D46" w:rsidP="00E17D46">
            <w:pPr>
              <w:pStyle w:val="ListBullet"/>
            </w:pPr>
            <w:r w:rsidRPr="00E17D46">
              <w:t>apply organisational management policies and procedures, including quality assurance requirements where applicable</w:t>
            </w:r>
          </w:p>
          <w:p w:rsidR="00000000" w:rsidRPr="00E17D46" w:rsidP="00E17D46">
            <w:pPr>
              <w:pStyle w:val="ListBullet"/>
            </w:pPr>
            <w:r w:rsidRPr="00E17D46">
              <w:t>assess the footing requirements for at least one domestic scale building project or equivalent, which includes a</w:t>
            </w:r>
            <w:r w:rsidRPr="00E17D46">
              <w:t>dvice on positioning and sizing</w:t>
            </w:r>
          </w:p>
          <w:p w:rsidR="00000000" w:rsidRPr="00E17D46" w:rsidP="00E17D46">
            <w:pPr>
              <w:pStyle w:val="ListBullet"/>
            </w:pPr>
            <w:r w:rsidRPr="00E17D46">
              <w:t>analyse and report on the soil types and properties of at least two domestic scale building projects or equivalent</w:t>
            </w:r>
          </w:p>
          <w:p w:rsidR="00000000" w:rsidP="00E17D46">
            <w:pPr>
              <w:pStyle w:val="ListBullet"/>
              <w:rPr>
                <w:lang w:val="en-NZ"/>
              </w:rPr>
            </w:pPr>
            <w:r w:rsidRPr="00E17D46">
              <w:t>provide reports to appropriate body/individual as determined by the project brief.</w:t>
            </w:r>
          </w:p>
        </w:tc>
      </w:tr>
      <w:tr w:rsidTr="00E632D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E17D46" w:rsidP="00E17D46">
            <w:pPr>
              <w:pStyle w:val="BodyText"/>
            </w:pPr>
            <w:r w:rsidRPr="00E17D46">
              <w:t>This competency is to be assessed using standard and authorised work practices, safety requirements and environmental constraints.</w:t>
            </w:r>
          </w:p>
          <w:p w:rsidR="00000000" w:rsidRPr="00E17D46" w:rsidP="00E17D46">
            <w:pPr>
              <w:pStyle w:val="BodyText"/>
            </w:pPr>
            <w:r w:rsidRPr="00E17D46">
              <w:t xml:space="preserve">Assessment of essential underpinning knowledge will usually be conducted in </w:t>
            </w:r>
            <w:r w:rsidRPr="00E17D46">
              <w:t>an off-site context.</w:t>
            </w:r>
          </w:p>
          <w:p w:rsidR="00000000" w:rsidRPr="00E17D46" w:rsidP="00E17D46">
            <w:pPr>
              <w:pStyle w:val="BodyText"/>
            </w:pPr>
            <w:r w:rsidRPr="00E17D46">
              <w:t>Assessment is to comply with relevant regulatory or Australian standards' requirements.</w:t>
            </w:r>
          </w:p>
          <w:p w:rsidR="00000000" w:rsidRPr="00E17D46" w:rsidP="00E17D46">
            <w:pPr>
              <w:pStyle w:val="BodyText"/>
            </w:pPr>
            <w:r w:rsidRPr="00E17D46">
              <w:t>Resource implications for assessment include:</w:t>
            </w:r>
          </w:p>
          <w:p w:rsidR="00000000" w:rsidRPr="00E17D46" w:rsidP="00E17D46">
            <w:pPr>
              <w:pStyle w:val="ListBullet"/>
            </w:pPr>
            <w:r w:rsidRPr="00E17D46">
              <w:t>an induction procedure and requirement</w:t>
            </w:r>
          </w:p>
          <w:p w:rsidR="00000000" w:rsidRPr="00E17D46" w:rsidP="00E17D46">
            <w:pPr>
              <w:pStyle w:val="ListBullet"/>
            </w:pPr>
            <w:r w:rsidRPr="00E17D46">
              <w:t>realistic tasks or simulated tasks covering the mandatory task</w:t>
            </w:r>
            <w:r w:rsidRPr="00E17D46">
              <w:t xml:space="preserve"> requirements</w:t>
            </w:r>
          </w:p>
          <w:p w:rsidR="00000000" w:rsidRPr="00E17D46" w:rsidP="00E17D46">
            <w:pPr>
              <w:pStyle w:val="ListBullet"/>
            </w:pPr>
            <w:r w:rsidRPr="00E17D46">
              <w:t>relevant specifications and work instructions</w:t>
            </w:r>
          </w:p>
          <w:p w:rsidR="00000000" w:rsidRPr="00E17D46" w:rsidP="00E17D46">
            <w:pPr>
              <w:pStyle w:val="ListBullet"/>
            </w:pPr>
            <w:r w:rsidRPr="00E17D46">
              <w:t>tools and equipment appropriate to applying safe work practices</w:t>
            </w:r>
          </w:p>
          <w:p w:rsidR="00000000" w:rsidRPr="00E17D46" w:rsidP="00E17D46">
            <w:pPr>
              <w:pStyle w:val="ListBullet"/>
            </w:pPr>
            <w:r w:rsidRPr="00E17D46">
              <w:t>support materials appropriate to activity</w:t>
            </w:r>
          </w:p>
          <w:p w:rsidR="00000000" w:rsidRPr="00E17D46" w:rsidP="00E17D46">
            <w:pPr>
              <w:pStyle w:val="ListBullet"/>
            </w:pPr>
            <w:r w:rsidRPr="00E17D46">
              <w:t>workplace instructions relating to safe work practices and addressing hazards and emergenc</w:t>
            </w:r>
            <w:r w:rsidRPr="00E17D46">
              <w:t>ies</w:t>
            </w:r>
          </w:p>
          <w:p w:rsidR="00000000" w:rsidRPr="00E17D46" w:rsidP="00E17D46">
            <w:pPr>
              <w:pStyle w:val="ListBullet"/>
            </w:pPr>
            <w:r w:rsidRPr="00E17D46">
              <w:t>material safety data sheets</w:t>
            </w:r>
          </w:p>
          <w:p w:rsidR="00000000" w:rsidRPr="00E17D46" w:rsidP="00E17D46">
            <w:pPr>
              <w:pStyle w:val="ListBullet"/>
            </w:pPr>
            <w:r w:rsidRPr="00E17D46">
              <w:t>research resources, including industry related systems information.</w:t>
            </w:r>
          </w:p>
          <w:p w:rsidR="00000000" w:rsidP="00E17D46">
            <w:pPr>
              <w:pStyle w:val="BodyText"/>
              <w:rPr>
                <w:lang w:val="en-NZ"/>
              </w:rPr>
            </w:pPr>
            <w:r w:rsidRPr="00E17D46">
              <w:t>Reasonable adjustments for people with disabilities must be made to assessment processes where required. This could include access to modified equipment and</w:t>
            </w:r>
            <w:r w:rsidRPr="00E17D46">
              <w:t xml:space="preserve"> other physical resources, and the provision of appropriate assessment support. </w:t>
            </w:r>
          </w:p>
        </w:tc>
      </w:tr>
      <w:tr w:rsidTr="00E632D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E17D46" w:rsidP="00E17D46">
            <w:pPr>
              <w:pStyle w:val="BodyText"/>
            </w:pPr>
            <w:r w:rsidRPr="00E17D46">
              <w:t>Assessment methods must:</w:t>
            </w:r>
          </w:p>
          <w:p w:rsidR="00000000" w:rsidRPr="00E17D46" w:rsidP="00E17D46">
            <w:pPr>
              <w:pStyle w:val="ListBullet"/>
            </w:pPr>
            <w:r w:rsidRPr="00E17D46">
              <w:t>satisfy the endorsed Assessment Guidelines of the Construction, Plumbing and Services Training Package</w:t>
            </w:r>
          </w:p>
          <w:p w:rsidR="00000000" w:rsidRPr="00E17D46" w:rsidP="00E17D46">
            <w:pPr>
              <w:pStyle w:val="ListBullet"/>
            </w:pPr>
            <w:r w:rsidRPr="00E17D46">
              <w:t>include direct observatio</w:t>
            </w:r>
            <w:r w:rsidRPr="00E17D46">
              <w:t>n of tasks in real or simulated work conditions, with questioning to confirm the ability to consistently identify and correctly interpret the essential underpinning knowledge required for practical application</w:t>
            </w:r>
          </w:p>
          <w:p w:rsidR="00000000" w:rsidRPr="00E17D46" w:rsidP="00E17D46">
            <w:pPr>
              <w:pStyle w:val="ListBullet"/>
            </w:pPr>
            <w:r w:rsidRPr="00E17D46">
              <w:t>reinforce the integratio</w:t>
            </w:r>
            <w:r w:rsidRPr="00E17D46">
              <w:t>n of employability skills with workplace tasks and job roles</w:t>
            </w:r>
          </w:p>
          <w:p w:rsidR="00000000" w:rsidRPr="00E17D46" w:rsidP="00E17D46">
            <w:pPr>
              <w:pStyle w:val="ListBullet"/>
            </w:pPr>
            <w:r w:rsidRPr="00E17D46">
              <w:t>confirm that competency is verified and able to be transferred to other circumstances and environments.</w:t>
            </w:r>
          </w:p>
          <w:p w:rsidR="00000000" w:rsidRPr="00E17D46" w:rsidP="00E17D46">
            <w:pPr>
              <w:pStyle w:val="BodyText"/>
            </w:pPr>
            <w:r w:rsidRPr="00E17D46">
              <w:t>Validity and sufficiency of evidence requires that:</w:t>
            </w:r>
          </w:p>
          <w:p w:rsidR="00000000" w:rsidRPr="00E17D46" w:rsidP="00E17D46">
            <w:pPr>
              <w:pStyle w:val="ListBullet"/>
            </w:pPr>
            <w:r w:rsidRPr="00E17D46">
              <w:t>competency will need to be demonstrated</w:t>
            </w:r>
            <w:r w:rsidRPr="00E17D46">
              <w:t xml:space="preserve"> over a period of time reflecting the scope of the role and the practical requirements of the workplace</w:t>
            </w:r>
          </w:p>
          <w:p w:rsidR="00000000" w:rsidRPr="00E17D46" w:rsidP="00E17D46">
            <w:pPr>
              <w:pStyle w:val="ListBullet"/>
            </w:pPr>
            <w:r w:rsidRPr="00E17D46">
              <w:t>where the assessment is part of a structured learning experience the evidence collected must relate to a number of performances assessed at different po</w:t>
            </w:r>
            <w:r w:rsidRPr="00E17D46">
              <w:t>ints in time and separated by further learning and practice, with a decision on competency only taken at the point when the assessor has complete confidence in the person's demonstrated ability and applied knowledge</w:t>
            </w:r>
          </w:p>
          <w:p w:rsidR="00000000" w:rsidRPr="00E17D46" w:rsidP="00E17D46">
            <w:pPr>
              <w:pStyle w:val="ListBullet"/>
            </w:pPr>
            <w:r w:rsidRPr="00E17D46">
              <w:t>all assessment that is part of a structu</w:t>
            </w:r>
            <w:r w:rsidRPr="00E17D46">
              <w:t>red learning experience must include a combination of direct, indirect and supplementary evidence.</w:t>
            </w:r>
          </w:p>
          <w:p w:rsidR="00000000" w:rsidRPr="00E17D46" w:rsidP="00E17D46">
            <w:pPr>
              <w:pStyle w:val="BodyText"/>
            </w:pPr>
            <w:r w:rsidRPr="00E17D46">
              <w:t>Assessment processes and techniques should as far as is practical take into account the language, literacy and numeracy capacity of the candidate in relation</w:t>
            </w:r>
            <w:r w:rsidRPr="00E17D46">
              <w:t xml:space="preserve"> to the competency being assessed.</w:t>
            </w:r>
          </w:p>
          <w:p w:rsidR="00000000" w:rsidRPr="00E17D46" w:rsidP="00E17D46">
            <w:pPr>
              <w:pStyle w:val="BodyText"/>
            </w:pPr>
            <w:r w:rsidRPr="00E17D46">
              <w:t xml:space="preserve">Supplementary evidence of competency may be obtained from relevant authenticated documentation from third parties, such as existing supervisors, team leaders or specialist training staff. </w:t>
            </w:r>
          </w:p>
        </w:tc>
      </w:tr>
    </w:tbl>
    <w:p w:rsidR="00E632D8" w:rsidP="00E17D46">
      <w:pPr>
        <w:pStyle w:val="BodyText"/>
      </w:pPr>
    </w:p>
    <w:p w:rsidR="00E632D8" w:rsidP="00E17D46">
      <w:pPr>
        <w:pStyle w:val="BodyText"/>
      </w:pPr>
    </w:p>
    <w:p w:rsidR="00000000" w:rsidRPr="00E17D46" w:rsidP="00E17D46">
      <w:pPr>
        <w:pStyle w:val="Heading1"/>
      </w:pPr>
      <w:bookmarkStart w:id="11" w:name="O_250415"/>
      <w:bookmarkEnd w:id="11"/>
      <w:r w:rsidRPr="00E17D46">
        <w:t>Range Sta</w:t>
      </w:r>
      <w:r w:rsidRPr="00E17D46">
        <w:t>tement</w:t>
      </w:r>
    </w:p>
    <w:tbl>
      <w:tblPr>
        <w:tblW w:w="0" w:type="auto"/>
        <w:tblLayout w:type="fixed"/>
        <w:tblCellMar>
          <w:left w:w="62" w:type="dxa"/>
          <w:right w:w="62" w:type="dxa"/>
        </w:tblCellMar>
        <w:tblLook w:val="0000"/>
      </w:tblPr>
      <w:tblGrid>
        <w:gridCol w:w="3531"/>
        <w:gridCol w:w="4991"/>
      </w:tblGrid>
      <w:tr w:rsidTr="00E632D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17D46">
            <w:pPr>
              <w:pStyle w:val="BodyText"/>
              <w:rPr>
                <w:lang w:val="en-NZ"/>
              </w:rPr>
            </w:pPr>
            <w:r w:rsidRPr="00E17D46">
              <w:rPr>
                <w:rStyle w:val="SpecialBold"/>
              </w:rPr>
              <w:t>RANGE STATEMENT</w:t>
            </w:r>
          </w:p>
        </w:tc>
      </w:tr>
      <w:tr w:rsidTr="00E632D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17D46">
            <w:pPr>
              <w:pStyle w:val="BodyText"/>
              <w:rPr>
                <w:lang w:val="en-NZ"/>
              </w:rPr>
            </w:pPr>
            <w:r w:rsidRPr="00E17D46">
              <w:t xml:space="preserve">The range statement relates to the unit of competency as a whole. It allows for different work environments and situations that may affect </w:t>
            </w:r>
            <w:r w:rsidRPr="00E17D46">
              <w:t>performance. Bold italicised wording, if used in the performance criteria, is detailed below. Essential operating conditions that may be present with training and assessment (depending on the work situation, needs of the candidate, accessibility of the ite</w:t>
            </w:r>
            <w:r w:rsidRPr="00E17D46">
              <w:t>m, and local industry and regional contexts) may also be included.</w:t>
            </w:r>
          </w:p>
        </w:tc>
      </w:tr>
      <w:tr w:rsidTr="00E632D8">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BoldandItalics"/>
              </w:rPr>
              <w:t>Soil types</w:t>
            </w:r>
            <w:r w:rsidRPr="00E17D46">
              <w:t xml:space="preserve"> include:</w:t>
            </w:r>
          </w:p>
        </w:tc>
        <w:tc>
          <w:tcPr>
            <w:tcW w:w="4991" w:type="dxa"/>
            <w:tcBorders>
              <w:top w:val="nil"/>
              <w:left w:val="nil"/>
              <w:bottom w:val="nil"/>
              <w:right w:val="nil"/>
            </w:tcBorders>
            <w:tcMar>
              <w:top w:w="0" w:type="dxa"/>
              <w:left w:w="62" w:type="dxa"/>
              <w:bottom w:w="0" w:type="dxa"/>
              <w:right w:w="62" w:type="dxa"/>
            </w:tcMar>
          </w:tcPr>
          <w:p w:rsidR="00000000" w:rsidRPr="00E17D46" w:rsidP="00E17D46">
            <w:pPr>
              <w:pStyle w:val="ListBullet"/>
            </w:pPr>
            <w:r w:rsidRPr="00E17D46">
              <w:t>clay soils and rock</w:t>
            </w:r>
          </w:p>
          <w:p w:rsidR="00000000" w:rsidP="00E17D46">
            <w:pPr>
              <w:pStyle w:val="ListBullet"/>
              <w:rPr>
                <w:lang w:val="en-NZ"/>
              </w:rPr>
            </w:pPr>
            <w:r w:rsidRPr="00E17D46">
              <w:t>saturated granular soils.</w:t>
            </w:r>
          </w:p>
        </w:tc>
      </w:tr>
      <w:tr w:rsidTr="00E632D8">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BoldandItalics"/>
              </w:rPr>
              <w:t>Soil properties</w:t>
            </w:r>
            <w:r w:rsidRPr="00E17D46">
              <w:t xml:space="preserve"> include:</w:t>
            </w:r>
          </w:p>
        </w:tc>
        <w:tc>
          <w:tcPr>
            <w:tcW w:w="4991" w:type="dxa"/>
            <w:tcBorders>
              <w:top w:val="nil"/>
              <w:left w:val="nil"/>
              <w:bottom w:val="nil"/>
              <w:right w:val="nil"/>
            </w:tcBorders>
            <w:tcMar>
              <w:top w:w="0" w:type="dxa"/>
              <w:left w:w="62" w:type="dxa"/>
              <w:bottom w:w="0" w:type="dxa"/>
              <w:right w:w="62" w:type="dxa"/>
            </w:tcMar>
          </w:tcPr>
          <w:p w:rsidR="00000000" w:rsidRPr="00E17D46" w:rsidP="00E17D46">
            <w:pPr>
              <w:pStyle w:val="ListBullet"/>
            </w:pPr>
            <w:r w:rsidRPr="00E17D46">
              <w:t>bulk density</w:t>
            </w:r>
          </w:p>
          <w:p w:rsidR="00000000" w:rsidRPr="00E17D46" w:rsidP="00E17D46">
            <w:pPr>
              <w:pStyle w:val="ListBullet"/>
            </w:pPr>
            <w:r w:rsidRPr="00E17D46">
              <w:t>degree of saturation</w:t>
            </w:r>
          </w:p>
          <w:p w:rsidR="00000000" w:rsidRPr="00E17D46" w:rsidP="00E17D46">
            <w:pPr>
              <w:pStyle w:val="ListBullet"/>
            </w:pPr>
            <w:r w:rsidRPr="00E17D46">
              <w:t>dry density</w:t>
            </w:r>
          </w:p>
          <w:p w:rsidR="00000000" w:rsidRPr="00E17D46" w:rsidP="00E17D46">
            <w:pPr>
              <w:pStyle w:val="ListBullet"/>
            </w:pPr>
            <w:r w:rsidRPr="00E17D46">
              <w:t>moisture content</w:t>
            </w:r>
          </w:p>
          <w:p w:rsidR="00000000" w:rsidRPr="00E17D46" w:rsidP="00E17D46">
            <w:pPr>
              <w:pStyle w:val="ListBullet"/>
            </w:pPr>
            <w:r w:rsidRPr="00E17D46">
              <w:t>porosity</w:t>
            </w:r>
          </w:p>
          <w:p w:rsidR="00000000" w:rsidP="00E17D46">
            <w:pPr>
              <w:pStyle w:val="ListBullet"/>
              <w:rPr>
                <w:lang w:val="en-NZ"/>
              </w:rPr>
            </w:pPr>
            <w:r w:rsidRPr="00E17D46">
              <w:t>void ratio.</w:t>
            </w:r>
          </w:p>
        </w:tc>
      </w:tr>
      <w:tr w:rsidTr="00E632D8">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BoldandItalics"/>
              </w:rPr>
              <w:t>Foundation systems</w:t>
            </w:r>
            <w:r w:rsidRPr="00E17D46">
              <w:t xml:space="preserve"> must be suitable for:</w:t>
            </w:r>
          </w:p>
        </w:tc>
        <w:tc>
          <w:tcPr>
            <w:tcW w:w="4991" w:type="dxa"/>
            <w:tcBorders>
              <w:top w:val="nil"/>
              <w:left w:val="nil"/>
              <w:bottom w:val="nil"/>
              <w:right w:val="nil"/>
            </w:tcBorders>
            <w:tcMar>
              <w:top w:w="0" w:type="dxa"/>
              <w:left w:w="62" w:type="dxa"/>
              <w:bottom w:w="0" w:type="dxa"/>
              <w:right w:w="62" w:type="dxa"/>
            </w:tcMar>
          </w:tcPr>
          <w:p w:rsidR="00000000" w:rsidRPr="00E17D46" w:rsidP="00E17D46">
            <w:pPr>
              <w:pStyle w:val="ListBullet"/>
            </w:pPr>
            <w:r w:rsidRPr="00E17D46">
              <w:t>building type</w:t>
            </w:r>
          </w:p>
          <w:p w:rsidR="00000000" w:rsidP="00E17D46">
            <w:pPr>
              <w:pStyle w:val="ListBullet"/>
              <w:rPr>
                <w:lang w:val="en-NZ"/>
              </w:rPr>
            </w:pPr>
            <w:r w:rsidRPr="00E17D46">
              <w:t>site conditions.</w:t>
            </w:r>
          </w:p>
        </w:tc>
      </w:tr>
      <w:tr w:rsidTr="00E632D8">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BoldandItalics"/>
              </w:rPr>
              <w:t>Application of footings and geomechanical principles</w:t>
            </w:r>
            <w:r w:rsidRPr="00E17D46">
              <w:t xml:space="preserve"> includes:</w:t>
            </w:r>
          </w:p>
        </w:tc>
        <w:tc>
          <w:tcPr>
            <w:tcW w:w="4991" w:type="dxa"/>
            <w:tcBorders>
              <w:top w:val="nil"/>
              <w:left w:val="nil"/>
              <w:bottom w:val="nil"/>
              <w:right w:val="nil"/>
            </w:tcBorders>
            <w:tcMar>
              <w:top w:w="0" w:type="dxa"/>
              <w:left w:w="62" w:type="dxa"/>
              <w:bottom w:w="0" w:type="dxa"/>
              <w:right w:w="62" w:type="dxa"/>
            </w:tcMar>
          </w:tcPr>
          <w:p w:rsidR="00000000" w:rsidRPr="00E17D46" w:rsidP="00E17D46">
            <w:pPr>
              <w:pStyle w:val="ListBullet"/>
            </w:pPr>
            <w:r w:rsidRPr="00E17D46">
              <w:t>assessment of geomechanical and footing design for domestic scale buildings</w:t>
            </w:r>
          </w:p>
          <w:p w:rsidR="00000000" w:rsidP="00E17D46">
            <w:pPr>
              <w:pStyle w:val="ListBullet"/>
              <w:rPr>
                <w:lang w:val="en-NZ"/>
              </w:rPr>
            </w:pPr>
            <w:r w:rsidRPr="00E17D46">
              <w:t>identification of the nature, composition, c</w:t>
            </w:r>
            <w:r w:rsidRPr="00E17D46">
              <w:t>lassification and distribution of soil type.</w:t>
            </w:r>
          </w:p>
        </w:tc>
      </w:tr>
      <w:tr w:rsidTr="00E632D8">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BoldandItalics"/>
              </w:rPr>
              <w:t>Adherence to legislative requirements</w:t>
            </w:r>
            <w:r w:rsidRPr="00E17D46">
              <w:t xml:space="preserve"> is limited to:</w:t>
            </w:r>
          </w:p>
        </w:tc>
        <w:tc>
          <w:tcPr>
            <w:tcW w:w="4991" w:type="dxa"/>
            <w:tcBorders>
              <w:top w:val="nil"/>
              <w:left w:val="nil"/>
              <w:bottom w:val="nil"/>
              <w:right w:val="nil"/>
            </w:tcBorders>
            <w:tcMar>
              <w:top w:w="0" w:type="dxa"/>
              <w:left w:w="62" w:type="dxa"/>
              <w:bottom w:w="0" w:type="dxa"/>
              <w:right w:w="62" w:type="dxa"/>
            </w:tcMar>
          </w:tcPr>
          <w:p w:rsidR="00000000" w:rsidP="00E17D46">
            <w:pPr>
              <w:pStyle w:val="ListBullet"/>
              <w:rPr>
                <w:lang w:val="en-NZ"/>
              </w:rPr>
            </w:pPr>
            <w:r w:rsidRPr="00E17D46">
              <w:t>domestic scale buildings (similar in characteristics to those of residential dwellings in terms of loading, construction and size and may include small indus</w:t>
            </w:r>
            <w:r w:rsidRPr="00E17D46">
              <w:t>trial, commercial and public buildings).</w:t>
            </w:r>
          </w:p>
        </w:tc>
      </w:tr>
      <w:tr w:rsidTr="00E632D8">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BoldandItalics"/>
              </w:rPr>
              <w:t>Maintenance requirements</w:t>
            </w:r>
            <w:r w:rsidRPr="00E17D46">
              <w:t xml:space="preserve"> include:</w:t>
            </w:r>
          </w:p>
        </w:tc>
        <w:tc>
          <w:tcPr>
            <w:tcW w:w="4991" w:type="dxa"/>
            <w:tcBorders>
              <w:top w:val="nil"/>
              <w:left w:val="nil"/>
              <w:bottom w:val="nil"/>
              <w:right w:val="nil"/>
            </w:tcBorders>
            <w:tcMar>
              <w:top w:w="0" w:type="dxa"/>
              <w:left w:w="62" w:type="dxa"/>
              <w:bottom w:w="0" w:type="dxa"/>
              <w:right w:w="62" w:type="dxa"/>
            </w:tcMar>
          </w:tcPr>
          <w:p w:rsidR="00000000" w:rsidRPr="00E17D46" w:rsidP="00E17D46">
            <w:pPr>
              <w:pStyle w:val="ListBullet"/>
            </w:pPr>
            <w:r w:rsidRPr="00E17D46">
              <w:t>identification of surface water, ground water and tree root systems.</w:t>
            </w:r>
          </w:p>
        </w:tc>
      </w:tr>
    </w:tbl>
    <w:p w:rsidR="00E632D8" w:rsidP="00E17D46">
      <w:pPr>
        <w:pStyle w:val="BodyText"/>
      </w:pPr>
    </w:p>
    <w:p w:rsidR="00E632D8" w:rsidP="00E17D46">
      <w:pPr>
        <w:pStyle w:val="BodyText"/>
      </w:pPr>
    </w:p>
    <w:p w:rsidR="00000000" w:rsidRPr="00E17D46" w:rsidP="00E17D46">
      <w:pPr>
        <w:pStyle w:val="Heading1"/>
      </w:pPr>
      <w:bookmarkStart w:id="12" w:name="O_198926"/>
      <w:bookmarkEnd w:id="12"/>
      <w:r w:rsidRPr="00E17D46">
        <w:t>Unit Sector(s)</w:t>
      </w:r>
    </w:p>
    <w:tbl>
      <w:tblPr>
        <w:tblW w:w="0" w:type="auto"/>
        <w:tblLayout w:type="fixed"/>
        <w:tblCellMar>
          <w:left w:w="62" w:type="dxa"/>
          <w:right w:w="62" w:type="dxa"/>
        </w:tblCellMar>
        <w:tblLook w:val="0000"/>
      </w:tblPr>
      <w:tblGrid>
        <w:gridCol w:w="2603"/>
        <w:gridCol w:w="5919"/>
      </w:tblGrid>
      <w:tr w:rsidTr="00E632D8">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E17D46" w:rsidP="00E17D46">
            <w:pPr>
              <w:pStyle w:val="BodyText"/>
            </w:pPr>
            <w:r w:rsidRPr="00E17D46">
              <w:t>Construction</w:t>
            </w:r>
          </w:p>
        </w:tc>
      </w:tr>
    </w:tbl>
    <w:p w:rsidR="00E632D8" w:rsidP="00E17D46">
      <w:pPr>
        <w:pStyle w:val="BodyText"/>
      </w:pPr>
    </w:p>
    <w:p w:rsidR="00E632D8" w:rsidP="00E17D46">
      <w:pPr>
        <w:pStyle w:val="BodyText"/>
      </w:pPr>
    </w:p>
    <w:p w:rsidR="00000000" w:rsidRPr="00E17D46" w:rsidP="00E17D46">
      <w:pPr>
        <w:pStyle w:val="Heading1"/>
      </w:pPr>
      <w:bookmarkStart w:id="13" w:name="O_198923"/>
      <w:bookmarkEnd w:id="13"/>
      <w:r w:rsidRPr="00E17D46">
        <w:t>Co-requisite units</w:t>
      </w:r>
    </w:p>
    <w:tbl>
      <w:tblPr>
        <w:tblW w:w="0" w:type="auto"/>
        <w:tblLayout w:type="fixed"/>
        <w:tblCellMar>
          <w:left w:w="62" w:type="dxa"/>
          <w:right w:w="62" w:type="dxa"/>
        </w:tblCellMar>
        <w:tblLook w:val="0000"/>
      </w:tblPr>
      <w:tblGrid>
        <w:gridCol w:w="2619"/>
        <w:gridCol w:w="1340"/>
        <w:gridCol w:w="4563"/>
      </w:tblGrid>
      <w:tr w:rsidTr="00E632D8">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SpecialBold"/>
              </w:rPr>
              <w:t>Co-requisite units</w:t>
            </w:r>
          </w:p>
        </w:tc>
        <w:tc>
          <w:tcPr>
            <w:tcW w:w="5903" w:type="dxa"/>
            <w:gridSpan w:val="2"/>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t>Nil</w:t>
            </w:r>
          </w:p>
        </w:tc>
      </w:tr>
      <w:tr w:rsidTr="00E632D8">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3"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p>
        </w:tc>
      </w:tr>
      <w:tr w:rsidTr="00E632D8">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3" w:type="dxa"/>
            <w:tcBorders>
              <w:top w:val="nil"/>
              <w:left w:val="nil"/>
              <w:bottom w:val="nil"/>
              <w:right w:val="nil"/>
            </w:tcBorders>
            <w:tcMar>
              <w:top w:w="0" w:type="dxa"/>
              <w:left w:w="62" w:type="dxa"/>
              <w:bottom w:w="0" w:type="dxa"/>
              <w:right w:w="62" w:type="dxa"/>
            </w:tcMar>
          </w:tcPr>
          <w:p w:rsidR="00000000" w:rsidRPr="00E17D46" w:rsidP="00E17D46">
            <w:pPr>
              <w:pStyle w:val="BodyText"/>
            </w:pPr>
          </w:p>
        </w:tc>
      </w:tr>
    </w:tbl>
    <w:p w:rsidR="00E632D8" w:rsidP="00E17D46">
      <w:pPr>
        <w:pStyle w:val="BodyText"/>
      </w:pPr>
    </w:p>
    <w:p w:rsidR="00E632D8" w:rsidP="00E17D46">
      <w:pPr>
        <w:pStyle w:val="BodyText"/>
      </w:pPr>
    </w:p>
    <w:p w:rsidR="00000000" w:rsidRPr="00E17D46" w:rsidP="00E17D46">
      <w:pPr>
        <w:pStyle w:val="Heading1"/>
      </w:pPr>
      <w:bookmarkStart w:id="14" w:name="O_198925"/>
      <w:bookmarkEnd w:id="14"/>
      <w:r w:rsidRPr="00E17D46">
        <w:t>Functional area</w:t>
      </w:r>
    </w:p>
    <w:tbl>
      <w:tblPr>
        <w:tblW w:w="0" w:type="auto"/>
        <w:tblLayout w:type="fixed"/>
        <w:tblCellMar>
          <w:left w:w="62" w:type="dxa"/>
          <w:right w:w="62" w:type="dxa"/>
        </w:tblCellMar>
        <w:tblLook w:val="0000"/>
      </w:tblPr>
      <w:tblGrid>
        <w:gridCol w:w="2709"/>
        <w:gridCol w:w="5813"/>
      </w:tblGrid>
      <w:tr w:rsidTr="00E632D8">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E17D46">
            <w:pPr>
              <w:pStyle w:val="BodyText"/>
              <w:rPr>
                <w:lang w:val="en-NZ"/>
              </w:rPr>
            </w:pPr>
            <w:r w:rsidRPr="00E17D46">
              <w:rPr>
                <w:rStyle w:val="SpecialBold"/>
              </w:rPr>
              <w:t>Functional area</w:t>
            </w:r>
          </w:p>
        </w:tc>
        <w:tc>
          <w:tcPr>
            <w:tcW w:w="5813" w:type="dxa"/>
            <w:tcBorders>
              <w:top w:val="nil"/>
              <w:left w:val="nil"/>
              <w:bottom w:val="nil"/>
              <w:right w:val="nil"/>
            </w:tcBorders>
            <w:tcMar>
              <w:top w:w="0" w:type="dxa"/>
              <w:left w:w="62" w:type="dxa"/>
              <w:bottom w:w="0" w:type="dxa"/>
              <w:right w:w="62" w:type="dxa"/>
            </w:tcMar>
          </w:tcPr>
          <w:p w:rsidR="00000000" w:rsidRPr="00E17D46" w:rsidP="00E17D46">
            <w:pPr>
              <w:pStyle w:val="BodyText"/>
            </w:pPr>
          </w:p>
        </w:tc>
      </w:tr>
    </w:tbl>
    <w:p w:rsidR="00E632D8" w:rsidP="00E17D46">
      <w:pPr>
        <w:pStyle w:val="BodyText"/>
      </w:pPr>
    </w:p>
    <w:p w:rsidR="00E632D8" w:rsidP="00E17D46">
      <w:pPr>
        <w:pStyle w:val="BodyText"/>
      </w:pPr>
    </w:p>
    <w:p w:rsidR="00000000" w:rsidRPr="00E17D46" w:rsidP="00E17D46"/>
    <w:sectPr w:rsidSect="00E17D46">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2D8" w:rsidP="00E17D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632D8" w:rsidP="00E17D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632D8" w:rsidP="00E17D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D46" w:rsidRPr="00E632D8" w:rsidP="00E632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2D8" w:rsidRPr="002D2AF8" w:rsidP="00E17D46">
    <w:pPr>
      <w:pStyle w:val="Header"/>
      <w:framePr w:wrap="around"/>
    </w:pPr>
    <w:r>
      <w:fldChar w:fldCharType="begin"/>
    </w:r>
    <w:r>
      <w:instrText xml:space="preserve"> TITLE   \* MERGEFORMAT </w:instrText>
    </w:r>
    <w:r>
      <w:fldChar w:fldCharType="separate"/>
    </w:r>
    <w:r>
      <w:t>CPCCSV5005A Apply footing and geomechanical design principles to domestic scale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632D8" w:rsidP="00E17D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846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B666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5A1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D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D46"/>
    <w:pPr>
      <w:spacing w:before="360" w:after="60"/>
      <w:outlineLvl w:val="0"/>
    </w:pPr>
    <w:rPr>
      <w:sz w:val="32"/>
    </w:rPr>
  </w:style>
  <w:style w:type="paragraph" w:styleId="Heading2">
    <w:name w:val="heading 2"/>
    <w:basedOn w:val="HeadingBase"/>
    <w:next w:val="BodyText"/>
    <w:link w:val="Heading2Char"/>
    <w:qFormat/>
    <w:rsid w:val="00E17D46"/>
    <w:pPr>
      <w:keepLines/>
      <w:spacing w:before="240" w:after="120"/>
      <w:outlineLvl w:val="1"/>
    </w:pPr>
    <w:rPr>
      <w:sz w:val="28"/>
      <w:szCs w:val="40"/>
    </w:rPr>
  </w:style>
  <w:style w:type="paragraph" w:styleId="Heading3">
    <w:name w:val="heading 3"/>
    <w:basedOn w:val="HeadingBase"/>
    <w:next w:val="BodyText"/>
    <w:link w:val="Heading3Char"/>
    <w:qFormat/>
    <w:rsid w:val="00E17D46"/>
    <w:pPr>
      <w:spacing w:before="180" w:after="120"/>
      <w:outlineLvl w:val="2"/>
    </w:pPr>
    <w:rPr>
      <w:spacing w:val="-10"/>
      <w:kern w:val="32"/>
    </w:rPr>
  </w:style>
  <w:style w:type="paragraph" w:styleId="Heading4">
    <w:name w:val="heading 4"/>
    <w:basedOn w:val="HeadingBase"/>
    <w:next w:val="BodyText"/>
    <w:link w:val="Heading4Char"/>
    <w:qFormat/>
    <w:rsid w:val="00E17D46"/>
    <w:pPr>
      <w:spacing w:before="160" w:after="120"/>
      <w:outlineLvl w:val="3"/>
    </w:pPr>
    <w:rPr>
      <w:sz w:val="22"/>
    </w:rPr>
  </w:style>
  <w:style w:type="paragraph" w:styleId="Heading5">
    <w:name w:val="heading 5"/>
    <w:basedOn w:val="HeadingBase"/>
    <w:next w:val="Normal"/>
    <w:link w:val="Heading5Char"/>
    <w:qFormat/>
    <w:rsid w:val="00E17D46"/>
    <w:pPr>
      <w:spacing w:before="80"/>
      <w:outlineLvl w:val="4"/>
    </w:pPr>
    <w:rPr>
      <w:color w:val="918585"/>
      <w:sz w:val="20"/>
    </w:rPr>
  </w:style>
  <w:style w:type="paragraph" w:styleId="Heading6">
    <w:name w:val="heading 6"/>
    <w:basedOn w:val="HeadingBase"/>
    <w:next w:val="Normal"/>
    <w:link w:val="Heading6Char"/>
    <w:qFormat/>
    <w:rsid w:val="00E17D46"/>
    <w:pPr>
      <w:spacing w:before="60"/>
      <w:outlineLvl w:val="5"/>
    </w:pPr>
    <w:rPr>
      <w:color w:val="918585"/>
      <w:sz w:val="20"/>
    </w:rPr>
  </w:style>
  <w:style w:type="paragraph" w:styleId="Heading7">
    <w:name w:val="heading 7"/>
    <w:basedOn w:val="Normal"/>
    <w:next w:val="Normal"/>
    <w:link w:val="Heading7Char"/>
    <w:qFormat/>
    <w:rsid w:val="00E17D46"/>
    <w:pPr>
      <w:ind w:left="720"/>
      <w:outlineLvl w:val="6"/>
    </w:pPr>
    <w:rPr>
      <w:i/>
    </w:rPr>
  </w:style>
  <w:style w:type="paragraph" w:styleId="Heading8">
    <w:name w:val="heading 8"/>
    <w:basedOn w:val="Normal"/>
    <w:next w:val="Normal"/>
    <w:link w:val="Heading8Char"/>
    <w:qFormat/>
    <w:rsid w:val="00E17D46"/>
    <w:pPr>
      <w:ind w:left="720"/>
      <w:outlineLvl w:val="7"/>
    </w:pPr>
    <w:rPr>
      <w:i/>
    </w:rPr>
  </w:style>
  <w:style w:type="paragraph" w:styleId="Heading9">
    <w:name w:val="heading 9"/>
    <w:basedOn w:val="Normal"/>
    <w:next w:val="Normal"/>
    <w:link w:val="Heading9Char"/>
    <w:qFormat/>
    <w:rsid w:val="00E17D46"/>
    <w:pPr>
      <w:ind w:left="720"/>
      <w:outlineLvl w:val="8"/>
    </w:pPr>
    <w:rPr>
      <w:i/>
    </w:rPr>
  </w:style>
  <w:style w:type="character" w:default="1" w:styleId="DefaultParagraphFont">
    <w:name w:val="Default Paragraph Font"/>
    <w:uiPriority w:val="1"/>
    <w:unhideWhenUsed/>
    <w:rsid w:val="00E17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D46"/>
  </w:style>
  <w:style w:type="character" w:customStyle="1" w:styleId="Heading1Char">
    <w:name w:val="Heading 1 Char"/>
    <w:basedOn w:val="DefaultParagraphFont"/>
    <w:link w:val="Heading1"/>
    <w:rsid w:val="00E17D46"/>
    <w:rPr>
      <w:rFonts w:ascii="Times New Roman" w:eastAsia="Times New Roman" w:hAnsi="Times New Roman" w:cs="Times New Roman"/>
      <w:b/>
      <w:sz w:val="32"/>
      <w:szCs w:val="20"/>
      <w:lang w:eastAsia="en-US"/>
    </w:rPr>
  </w:style>
  <w:style w:type="paragraph" w:styleId="BodyText">
    <w:name w:val="Body Text"/>
    <w:basedOn w:val="Normal"/>
    <w:link w:val="BodyTextChar"/>
    <w:rsid w:val="00E17D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7D46"/>
    <w:rPr>
      <w:rFonts w:ascii="Times New Roman" w:eastAsia="Times New Roman" w:hAnsi="Times New Roman" w:cs="Times New Roman"/>
      <w:sz w:val="24"/>
      <w:lang w:eastAsia="en-US"/>
    </w:rPr>
  </w:style>
  <w:style w:type="paragraph" w:styleId="Footer">
    <w:name w:val="footer"/>
    <w:basedOn w:val="Normal"/>
    <w:link w:val="FooterChar"/>
    <w:rsid w:val="00E17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D46"/>
    <w:rPr>
      <w:rFonts w:ascii="Times New Roman" w:eastAsia="Times New Roman" w:hAnsi="Times New Roman" w:cs="Times New Roman"/>
      <w:sz w:val="16"/>
      <w:lang w:eastAsia="en-US"/>
    </w:rPr>
  </w:style>
  <w:style w:type="paragraph" w:styleId="List">
    <w:name w:val="List"/>
    <w:basedOn w:val="BodyText"/>
    <w:next w:val="BodyText"/>
    <w:rsid w:val="00E17D46"/>
    <w:pPr>
      <w:tabs>
        <w:tab w:val="left" w:pos="340"/>
      </w:tabs>
      <w:spacing w:before="60" w:after="60"/>
      <w:ind w:left="340" w:hanging="340"/>
    </w:pPr>
  </w:style>
  <w:style w:type="paragraph" w:styleId="ListBullet">
    <w:name w:val="List Bullet"/>
    <w:basedOn w:val="List"/>
    <w:rsid w:val="00E17D46"/>
    <w:pPr>
      <w:numPr>
        <w:numId w:val="14"/>
      </w:numPr>
      <w:tabs>
        <w:tab w:val="clear" w:pos="340"/>
      </w:tabs>
      <w:spacing w:before="40" w:after="40"/>
    </w:pPr>
  </w:style>
  <w:style w:type="character" w:customStyle="1" w:styleId="SpecialBold">
    <w:name w:val="Special Bold"/>
    <w:basedOn w:val="DefaultParagraphFont"/>
    <w:rsid w:val="00E17D46"/>
    <w:rPr>
      <w:b/>
      <w:spacing w:val="0"/>
    </w:rPr>
  </w:style>
  <w:style w:type="paragraph" w:styleId="ListBullet2">
    <w:name w:val="List Bullet 2"/>
    <w:basedOn w:val="List2"/>
    <w:rsid w:val="00E17D46"/>
    <w:pPr>
      <w:numPr>
        <w:numId w:val="15"/>
      </w:numPr>
      <w:tabs>
        <w:tab w:val="clear" w:pos="680"/>
      </w:tabs>
    </w:pPr>
  </w:style>
  <w:style w:type="paragraph" w:customStyle="1" w:styleId="SuperHeading">
    <w:name w:val="SuperHeading"/>
    <w:basedOn w:val="Normal"/>
    <w:rsid w:val="00E17D46"/>
    <w:pPr>
      <w:spacing w:before="240" w:after="120"/>
      <w:outlineLvl w:val="0"/>
    </w:pPr>
    <w:rPr>
      <w:rFonts w:ascii="Times New Roman" w:hAnsi="Times New Roman"/>
      <w:b/>
      <w:sz w:val="28"/>
    </w:rPr>
  </w:style>
  <w:style w:type="paragraph" w:customStyle="1" w:styleId="AllowPageBreak">
    <w:name w:val="AllowPageBreak"/>
    <w:rsid w:val="00E17D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7D46"/>
    <w:pPr>
      <w:tabs>
        <w:tab w:val="left" w:pos="680"/>
      </w:tabs>
      <w:spacing w:before="60" w:after="60"/>
      <w:ind w:left="680" w:hanging="340"/>
    </w:pPr>
  </w:style>
  <w:style w:type="paragraph" w:styleId="ListBullet3">
    <w:name w:val="List Bullet 3"/>
    <w:basedOn w:val="List3"/>
    <w:rsid w:val="00E17D46"/>
    <w:pPr>
      <w:numPr>
        <w:numId w:val="3"/>
      </w:numPr>
      <w:tabs>
        <w:tab w:val="clear" w:pos="1021"/>
      </w:tabs>
      <w:ind w:left="1037" w:hanging="357"/>
    </w:pPr>
  </w:style>
  <w:style w:type="character" w:customStyle="1" w:styleId="BoldandItalics">
    <w:name w:val="Bold and Italics"/>
    <w:qFormat/>
    <w:rsid w:val="00E17D46"/>
    <w:rPr>
      <w:b/>
      <w:i/>
      <w:u w:val="none"/>
    </w:rPr>
  </w:style>
  <w:style w:type="character" w:customStyle="1" w:styleId="Heading2Char">
    <w:name w:val="Heading 2 Char"/>
    <w:basedOn w:val="DefaultParagraphFont"/>
    <w:link w:val="Heading2"/>
    <w:rsid w:val="00E17D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D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D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D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D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D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D46"/>
    <w:rPr>
      <w:rFonts w:ascii="Courier New" w:eastAsia="Times New Roman" w:hAnsi="Courier New" w:cs="Times New Roman"/>
      <w:i/>
      <w:szCs w:val="20"/>
      <w:lang w:eastAsia="en-US"/>
    </w:rPr>
  </w:style>
  <w:style w:type="paragraph" w:customStyle="1" w:styleId="HeadingBase">
    <w:name w:val="Heading Base"/>
    <w:rsid w:val="00E17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D46"/>
    <w:pPr>
      <w:tabs>
        <w:tab w:val="right" w:leader="dot" w:pos="9072"/>
      </w:tabs>
      <w:ind w:left="567"/>
    </w:pPr>
    <w:rPr>
      <w:szCs w:val="22"/>
    </w:rPr>
  </w:style>
  <w:style w:type="paragraph" w:customStyle="1" w:styleId="TOCBase">
    <w:name w:val="TOC Base"/>
    <w:rsid w:val="00E17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D46"/>
    <w:pPr>
      <w:tabs>
        <w:tab w:val="right" w:leader="dot" w:pos="9072"/>
      </w:tabs>
      <w:spacing w:before="40" w:after="40"/>
      <w:ind w:left="284"/>
    </w:pPr>
    <w:rPr>
      <w:rFonts w:ascii="Times New Roman" w:hAnsi="Times New Roman"/>
    </w:rPr>
  </w:style>
  <w:style w:type="paragraph" w:styleId="TOC1">
    <w:name w:val="toc 1"/>
    <w:basedOn w:val="TOCBase"/>
    <w:next w:val="Normal"/>
    <w:rsid w:val="00E17D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7D46"/>
    <w:pPr>
      <w:spacing w:before="5040"/>
      <w:jc w:val="center"/>
    </w:pPr>
    <w:rPr>
      <w:sz w:val="48"/>
      <w:szCs w:val="72"/>
      <w:lang w:val="en-US"/>
    </w:rPr>
  </w:style>
  <w:style w:type="character" w:customStyle="1" w:styleId="TitleChar">
    <w:name w:val="Title Char"/>
    <w:basedOn w:val="DefaultParagraphFont"/>
    <w:link w:val="Title"/>
    <w:rsid w:val="00E17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D46"/>
    <w:pPr>
      <w:tabs>
        <w:tab w:val="left" w:pos="3600"/>
        <w:tab w:val="left" w:pos="3958"/>
      </w:tabs>
    </w:pPr>
  </w:style>
  <w:style w:type="paragraph" w:customStyle="1" w:styleId="Note">
    <w:name w:val="Note"/>
    <w:basedOn w:val="BodyText"/>
    <w:rsid w:val="00E17D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D46"/>
    <w:pPr>
      <w:framePr w:wrap="auto" w:hAnchor="text" w:y="6049"/>
    </w:pPr>
    <w:rPr>
      <w:color w:val="000000"/>
      <w:sz w:val="40"/>
    </w:rPr>
  </w:style>
  <w:style w:type="paragraph" w:customStyle="1" w:styleId="TOCTitle">
    <w:name w:val="TOCTitle"/>
    <w:basedOn w:val="Heading1"/>
    <w:rsid w:val="00E17D46"/>
    <w:pPr>
      <w:spacing w:after="240"/>
      <w:jc w:val="center"/>
      <w:outlineLvl w:val="9"/>
    </w:pPr>
    <w:rPr>
      <w:caps/>
    </w:rPr>
  </w:style>
  <w:style w:type="paragraph" w:customStyle="1" w:styleId="Version">
    <w:name w:val="Version"/>
    <w:rsid w:val="00E17D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7D46"/>
    <w:pPr>
      <w:keepNext w:val="0"/>
      <w:tabs>
        <w:tab w:val="right" w:pos="4176"/>
      </w:tabs>
      <w:ind w:left="198" w:hanging="198"/>
    </w:pPr>
    <w:rPr>
      <w:rFonts w:ascii="Garamond" w:hAnsi="Garamond"/>
    </w:rPr>
  </w:style>
  <w:style w:type="paragraph" w:styleId="IndexHeading">
    <w:name w:val="index heading"/>
    <w:basedOn w:val="Normal"/>
    <w:next w:val="Index1"/>
    <w:semiHidden/>
    <w:rsid w:val="00E17D46"/>
    <w:pPr>
      <w:spacing w:before="120" w:after="120"/>
    </w:pPr>
    <w:rPr>
      <w:rFonts w:ascii="Arial" w:hAnsi="Arial"/>
      <w:b/>
      <w:color w:val="918585"/>
      <w:sz w:val="24"/>
    </w:rPr>
  </w:style>
  <w:style w:type="paragraph" w:styleId="Header">
    <w:name w:val="header"/>
    <w:basedOn w:val="Normal"/>
    <w:link w:val="HeaderChar"/>
    <w:rsid w:val="00E17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D46"/>
    <w:rPr>
      <w:rFonts w:ascii="Times New Roman" w:eastAsia="Times New Roman" w:hAnsi="Times New Roman" w:cs="Times New Roman"/>
      <w:sz w:val="16"/>
      <w:szCs w:val="20"/>
      <w:lang w:val="en-GB" w:eastAsia="en-US"/>
    </w:rPr>
  </w:style>
  <w:style w:type="paragraph" w:customStyle="1" w:styleId="Chapter">
    <w:name w:val="Chapter"/>
    <w:basedOn w:val="Normal"/>
    <w:rsid w:val="00E17D46"/>
    <w:pPr>
      <w:spacing w:before="240"/>
    </w:pPr>
    <w:rPr>
      <w:rFonts w:ascii="Times New Roman" w:hAnsi="Times New Roman"/>
      <w:smallCaps/>
      <w:spacing w:val="80"/>
      <w:sz w:val="28"/>
    </w:rPr>
  </w:style>
  <w:style w:type="paragraph" w:customStyle="1" w:styleId="InChapter">
    <w:name w:val="InChapter"/>
    <w:basedOn w:val="Heading3"/>
    <w:rsid w:val="00E17D46"/>
    <w:pPr>
      <w:spacing w:after="240"/>
      <w:outlineLvl w:val="9"/>
    </w:pPr>
    <w:rPr>
      <w:noProof/>
    </w:rPr>
  </w:style>
  <w:style w:type="paragraph" w:styleId="Index2">
    <w:name w:val="index 2"/>
    <w:basedOn w:val="Normal"/>
    <w:next w:val="Normal"/>
    <w:semiHidden/>
    <w:rsid w:val="00E17D46"/>
    <w:pPr>
      <w:tabs>
        <w:tab w:val="right" w:pos="4176"/>
      </w:tabs>
      <w:ind w:left="568" w:hanging="284"/>
    </w:pPr>
    <w:rPr>
      <w:rFonts w:ascii="Garamond" w:hAnsi="Garamond"/>
    </w:rPr>
  </w:style>
  <w:style w:type="paragraph" w:customStyle="1" w:styleId="Byline">
    <w:name w:val="Byline"/>
    <w:rsid w:val="00E17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D46"/>
    <w:pPr>
      <w:tabs>
        <w:tab w:val="clear" w:pos="3600"/>
        <w:tab w:val="clear" w:pos="3958"/>
      </w:tabs>
      <w:jc w:val="right"/>
    </w:pPr>
  </w:style>
  <w:style w:type="character" w:styleId="Emphasis">
    <w:name w:val="Emphasis"/>
    <w:basedOn w:val="DefaultParagraphFont"/>
    <w:qFormat/>
    <w:rsid w:val="00E17D46"/>
    <w:rPr>
      <w:i/>
    </w:rPr>
  </w:style>
  <w:style w:type="paragraph" w:styleId="Caption">
    <w:name w:val="caption"/>
    <w:basedOn w:val="BodyText"/>
    <w:next w:val="Normal"/>
    <w:qFormat/>
    <w:rsid w:val="00E17D46"/>
    <w:pPr>
      <w:framePr w:w="2268" w:hSpace="181" w:vSpace="181" w:wrap="around" w:vAnchor="text" w:hAnchor="page" w:x="1135" w:y="285" w:anchorLock="1"/>
    </w:pPr>
    <w:rPr>
      <w:i/>
    </w:rPr>
  </w:style>
  <w:style w:type="paragraph" w:customStyle="1" w:styleId="MiniTOCTitle">
    <w:name w:val="MiniTOCTitle"/>
    <w:basedOn w:val="Heading4"/>
    <w:rsid w:val="00E17D46"/>
    <w:pPr>
      <w:spacing w:before="240"/>
      <w:outlineLvl w:val="9"/>
    </w:pPr>
    <w:rPr>
      <w:noProof/>
      <w:sz w:val="24"/>
    </w:rPr>
  </w:style>
  <w:style w:type="paragraph" w:customStyle="1" w:styleId="MiniTOCItem">
    <w:name w:val="MiniTOCItem"/>
    <w:basedOn w:val="ListBullet"/>
    <w:rsid w:val="00E17D46"/>
    <w:pPr>
      <w:numPr>
        <w:numId w:val="0"/>
      </w:numPr>
      <w:tabs>
        <w:tab w:val="right" w:leader="dot" w:pos="6521"/>
      </w:tabs>
      <w:spacing w:before="0" w:after="0"/>
    </w:pPr>
  </w:style>
  <w:style w:type="paragraph" w:customStyle="1" w:styleId="TOFTitle">
    <w:name w:val="TOFTitle"/>
    <w:basedOn w:val="TOCTitle"/>
    <w:rsid w:val="00E17D46"/>
  </w:style>
  <w:style w:type="paragraph" w:styleId="TableofFigures">
    <w:name w:val="table of figures"/>
    <w:basedOn w:val="Normal"/>
    <w:next w:val="Normal"/>
    <w:semiHidden/>
    <w:rsid w:val="00E17D46"/>
    <w:pPr>
      <w:tabs>
        <w:tab w:val="right" w:leader="dot" w:pos="9072"/>
      </w:tabs>
      <w:ind w:left="970" w:hanging="403"/>
    </w:pPr>
    <w:rPr>
      <w:rFonts w:ascii="Times New Roman" w:hAnsi="Times New Roman"/>
      <w:b/>
    </w:rPr>
  </w:style>
  <w:style w:type="paragraph" w:styleId="ListNumber">
    <w:name w:val="List Number"/>
    <w:basedOn w:val="List"/>
    <w:rsid w:val="00E17D46"/>
    <w:pPr>
      <w:numPr>
        <w:numId w:val="12"/>
      </w:numPr>
    </w:pPr>
  </w:style>
  <w:style w:type="character" w:customStyle="1" w:styleId="WingdingSymbols">
    <w:name w:val="Wingding Symbols"/>
    <w:rsid w:val="00E17D46"/>
    <w:rPr>
      <w:rFonts w:ascii="Wingdings" w:hAnsi="Wingdings"/>
    </w:rPr>
  </w:style>
  <w:style w:type="paragraph" w:customStyle="1" w:styleId="TableHeading">
    <w:name w:val="Table Heading"/>
    <w:basedOn w:val="HeadingBase"/>
    <w:rsid w:val="00E17D46"/>
    <w:pPr>
      <w:keepLines/>
      <w:pBdr>
        <w:bottom w:val="single" w:sz="6" w:space="1" w:color="918585"/>
      </w:pBdr>
      <w:spacing w:before="240"/>
    </w:pPr>
  </w:style>
  <w:style w:type="character" w:customStyle="1" w:styleId="HotSpot">
    <w:name w:val="HotSpot"/>
    <w:rsid w:val="00E17D46"/>
    <w:rPr>
      <w:color w:val="0033CC"/>
      <w:u w:val="none"/>
    </w:rPr>
  </w:style>
  <w:style w:type="paragraph" w:customStyle="1" w:styleId="BodyTextRight">
    <w:name w:val="Body Text Right"/>
    <w:basedOn w:val="BodyText"/>
    <w:rsid w:val="00E17D46"/>
    <w:pPr>
      <w:spacing w:before="0" w:after="0"/>
      <w:jc w:val="right"/>
    </w:pPr>
  </w:style>
  <w:style w:type="paragraph" w:styleId="Index3">
    <w:name w:val="index 3"/>
    <w:basedOn w:val="ListNumber2"/>
    <w:next w:val="Normal"/>
    <w:semiHidden/>
    <w:rsid w:val="00E17D46"/>
    <w:pPr>
      <w:numPr>
        <w:numId w:val="0"/>
      </w:numPr>
      <w:tabs>
        <w:tab w:val="right" w:leader="dot" w:pos="4176"/>
      </w:tabs>
    </w:pPr>
  </w:style>
  <w:style w:type="paragraph" w:styleId="ListNumber2">
    <w:name w:val="List Number 2"/>
    <w:basedOn w:val="List2"/>
    <w:rsid w:val="00E17D46"/>
    <w:pPr>
      <w:numPr>
        <w:numId w:val="11"/>
      </w:numPr>
      <w:tabs>
        <w:tab w:val="clear" w:pos="1060"/>
      </w:tabs>
    </w:pPr>
  </w:style>
  <w:style w:type="paragraph" w:customStyle="1" w:styleId="MarginNote">
    <w:name w:val="Margin Note"/>
    <w:basedOn w:val="BodyText"/>
    <w:rsid w:val="00E17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D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D46"/>
    <w:rPr>
      <w:sz w:val="32"/>
    </w:rPr>
  </w:style>
  <w:style w:type="paragraph" w:customStyle="1" w:styleId="HeadingProcedure">
    <w:name w:val="Heading Procedure"/>
    <w:basedOn w:val="HeadingBase"/>
    <w:next w:val="Normal"/>
    <w:rsid w:val="00E17D46"/>
    <w:pPr>
      <w:tabs>
        <w:tab w:val="left" w:pos="0"/>
      </w:tabs>
      <w:spacing w:before="120" w:after="60"/>
    </w:pPr>
    <w:rPr>
      <w:i/>
      <w:color w:val="918585"/>
      <w:sz w:val="22"/>
    </w:rPr>
  </w:style>
  <w:style w:type="paragraph" w:customStyle="1" w:styleId="TableBodyText">
    <w:name w:val="Table Body Text"/>
    <w:basedOn w:val="BodyText"/>
    <w:rsid w:val="00E17D46"/>
    <w:pPr>
      <w:spacing w:before="60" w:after="60"/>
    </w:pPr>
  </w:style>
  <w:style w:type="paragraph" w:styleId="ListContinue">
    <w:name w:val="List Continue"/>
    <w:basedOn w:val="List"/>
    <w:rsid w:val="00E17D46"/>
    <w:pPr>
      <w:ind w:firstLine="0"/>
    </w:pPr>
  </w:style>
  <w:style w:type="paragraph" w:customStyle="1" w:styleId="ListNote">
    <w:name w:val="List Note"/>
    <w:basedOn w:val="List"/>
    <w:rsid w:val="00E17D46"/>
    <w:pPr>
      <w:pBdr>
        <w:top w:val="single" w:sz="6" w:space="2" w:color="918585"/>
        <w:bottom w:val="single" w:sz="6" w:space="2" w:color="918585"/>
      </w:pBdr>
      <w:tabs>
        <w:tab w:val="left" w:pos="1021"/>
      </w:tabs>
      <w:ind w:firstLine="0"/>
    </w:pPr>
  </w:style>
  <w:style w:type="paragraph" w:customStyle="1" w:styleId="Warning">
    <w:name w:val="Warning"/>
    <w:basedOn w:val="BodyText"/>
    <w:rsid w:val="00E17D46"/>
    <w:pPr>
      <w:shd w:val="clear" w:color="auto" w:fill="D9D9D9"/>
      <w:tabs>
        <w:tab w:val="left" w:pos="992"/>
      </w:tabs>
      <w:ind w:left="119" w:right="119"/>
    </w:pPr>
    <w:rPr>
      <w:sz w:val="20"/>
    </w:rPr>
  </w:style>
  <w:style w:type="paragraph" w:customStyle="1" w:styleId="MarginIcons">
    <w:name w:val="Margin Icons"/>
    <w:basedOn w:val="BodyText"/>
    <w:rsid w:val="00E17D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D46"/>
    <w:rPr>
      <w:rFonts w:ascii="Courier New" w:hAnsi="Courier New"/>
    </w:rPr>
  </w:style>
  <w:style w:type="paragraph" w:customStyle="1" w:styleId="NoteBullet">
    <w:name w:val="Note Bullet"/>
    <w:basedOn w:val="Note"/>
    <w:rsid w:val="00E17D46"/>
    <w:pPr>
      <w:tabs>
        <w:tab w:val="clear" w:pos="680"/>
      </w:tabs>
      <w:spacing w:before="60" w:after="60"/>
    </w:pPr>
  </w:style>
  <w:style w:type="paragraph" w:customStyle="1" w:styleId="SubHeading2">
    <w:name w:val="SubHeading2"/>
    <w:basedOn w:val="HeadingBase"/>
    <w:rsid w:val="00E17D46"/>
    <w:pPr>
      <w:spacing w:before="240" w:after="60"/>
    </w:pPr>
    <w:rPr>
      <w:sz w:val="20"/>
    </w:rPr>
  </w:style>
  <w:style w:type="paragraph" w:customStyle="1" w:styleId="SubHeading1">
    <w:name w:val="SubHeading1"/>
    <w:basedOn w:val="HeadingBase"/>
    <w:rsid w:val="00E17D46"/>
    <w:pPr>
      <w:spacing w:before="240" w:after="60"/>
    </w:pPr>
    <w:rPr>
      <w:color w:val="918585"/>
      <w:sz w:val="22"/>
    </w:rPr>
  </w:style>
  <w:style w:type="paragraph" w:customStyle="1" w:styleId="SideHeading">
    <w:name w:val="Side Heading"/>
    <w:basedOn w:val="HeadingBase"/>
    <w:rsid w:val="00E17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D46"/>
    <w:pPr>
      <w:numPr>
        <w:numId w:val="13"/>
      </w:numPr>
    </w:pPr>
  </w:style>
  <w:style w:type="paragraph" w:styleId="PlainText">
    <w:name w:val="Plain Text"/>
    <w:basedOn w:val="Normal"/>
    <w:link w:val="PlainTextChar"/>
    <w:rsid w:val="00E17D46"/>
    <w:rPr>
      <w:sz w:val="20"/>
    </w:rPr>
  </w:style>
  <w:style w:type="character" w:customStyle="1" w:styleId="PlainTextChar">
    <w:name w:val="Plain Text Char"/>
    <w:basedOn w:val="DefaultParagraphFont"/>
    <w:link w:val="PlainText"/>
    <w:rsid w:val="00E17D46"/>
    <w:rPr>
      <w:rFonts w:ascii="Courier New" w:eastAsia="Times New Roman" w:hAnsi="Courier New" w:cs="Times New Roman"/>
      <w:sz w:val="20"/>
      <w:szCs w:val="20"/>
      <w:lang w:eastAsia="en-US"/>
    </w:rPr>
  </w:style>
  <w:style w:type="character" w:customStyle="1" w:styleId="MenuOption">
    <w:name w:val="Menu Option"/>
    <w:basedOn w:val="DefaultParagraphFont"/>
    <w:rsid w:val="00E17D46"/>
    <w:rPr>
      <w:b/>
      <w:smallCaps/>
    </w:rPr>
  </w:style>
  <w:style w:type="paragraph" w:customStyle="1" w:styleId="TableListNumber">
    <w:name w:val="Table List Number"/>
    <w:basedOn w:val="ListNumber"/>
    <w:rsid w:val="00E17D46"/>
    <w:pPr>
      <w:numPr>
        <w:numId w:val="0"/>
      </w:numPr>
    </w:pPr>
  </w:style>
  <w:style w:type="paragraph" w:styleId="TOC4">
    <w:name w:val="toc 4"/>
    <w:basedOn w:val="TOCBase"/>
    <w:next w:val="Normal"/>
    <w:semiHidden/>
    <w:rsid w:val="00E17D46"/>
    <w:pPr>
      <w:tabs>
        <w:tab w:val="right" w:leader="dot" w:pos="9071"/>
      </w:tabs>
      <w:ind w:left="1701"/>
    </w:pPr>
  </w:style>
  <w:style w:type="paragraph" w:customStyle="1" w:styleId="ListAlpha">
    <w:name w:val="List Alpha"/>
    <w:basedOn w:val="List"/>
    <w:rsid w:val="00E17D46"/>
    <w:pPr>
      <w:numPr>
        <w:numId w:val="10"/>
      </w:numPr>
    </w:pPr>
  </w:style>
  <w:style w:type="paragraph" w:customStyle="1" w:styleId="ListAlpha2">
    <w:name w:val="List Alpha 2"/>
    <w:basedOn w:val="List2"/>
    <w:rsid w:val="00E17D46"/>
    <w:pPr>
      <w:numPr>
        <w:numId w:val="9"/>
      </w:numPr>
    </w:pPr>
  </w:style>
  <w:style w:type="paragraph" w:styleId="List3">
    <w:name w:val="List 3"/>
    <w:basedOn w:val="BodyText"/>
    <w:rsid w:val="00E17D46"/>
    <w:pPr>
      <w:tabs>
        <w:tab w:val="left" w:pos="1021"/>
      </w:tabs>
      <w:spacing w:before="60" w:after="60"/>
      <w:ind w:left="1020" w:hanging="340"/>
    </w:pPr>
  </w:style>
  <w:style w:type="paragraph" w:styleId="List4">
    <w:name w:val="List 4"/>
    <w:basedOn w:val="BodyText"/>
    <w:rsid w:val="00E17D46"/>
    <w:pPr>
      <w:tabs>
        <w:tab w:val="left" w:pos="1361"/>
      </w:tabs>
      <w:spacing w:before="60" w:after="60"/>
      <w:ind w:left="1361" w:hanging="340"/>
    </w:pPr>
  </w:style>
  <w:style w:type="paragraph" w:styleId="List5">
    <w:name w:val="List 5"/>
    <w:basedOn w:val="BodyText"/>
    <w:rsid w:val="00E17D46"/>
    <w:pPr>
      <w:tabs>
        <w:tab w:val="left" w:pos="1701"/>
      </w:tabs>
      <w:spacing w:before="60" w:after="60"/>
      <w:ind w:left="1701" w:hanging="340"/>
    </w:pPr>
  </w:style>
  <w:style w:type="paragraph" w:styleId="ListBullet4">
    <w:name w:val="List Bullet 4"/>
    <w:basedOn w:val="List4"/>
    <w:rsid w:val="00E17D46"/>
    <w:pPr>
      <w:numPr>
        <w:numId w:val="4"/>
      </w:numPr>
    </w:pPr>
  </w:style>
  <w:style w:type="paragraph" w:styleId="ListBullet5">
    <w:name w:val="List Bullet 5"/>
    <w:basedOn w:val="List5"/>
    <w:rsid w:val="00E17D46"/>
    <w:pPr>
      <w:numPr>
        <w:numId w:val="5"/>
      </w:numPr>
    </w:pPr>
  </w:style>
  <w:style w:type="paragraph" w:styleId="ListContinue2">
    <w:name w:val="List Continue 2"/>
    <w:basedOn w:val="List2"/>
    <w:rsid w:val="00E17D46"/>
    <w:pPr>
      <w:ind w:firstLine="0"/>
    </w:pPr>
  </w:style>
  <w:style w:type="paragraph" w:styleId="ListContinue3">
    <w:name w:val="List Continue 3"/>
    <w:basedOn w:val="List3"/>
    <w:rsid w:val="00E17D46"/>
    <w:pPr>
      <w:ind w:left="1021" w:firstLine="0"/>
    </w:pPr>
  </w:style>
  <w:style w:type="paragraph" w:styleId="ListContinue4">
    <w:name w:val="List Continue 4"/>
    <w:basedOn w:val="List4"/>
    <w:rsid w:val="00E17D46"/>
    <w:pPr>
      <w:ind w:firstLine="0"/>
    </w:pPr>
  </w:style>
  <w:style w:type="paragraph" w:styleId="ListContinue5">
    <w:name w:val="List Continue 5"/>
    <w:basedOn w:val="List5"/>
    <w:rsid w:val="00E17D46"/>
    <w:pPr>
      <w:ind w:firstLine="0"/>
    </w:pPr>
  </w:style>
  <w:style w:type="paragraph" w:styleId="ListNumber3">
    <w:name w:val="List Number 3"/>
    <w:basedOn w:val="List3"/>
    <w:rsid w:val="00E17D46"/>
    <w:pPr>
      <w:numPr>
        <w:numId w:val="6"/>
      </w:numPr>
    </w:pPr>
  </w:style>
  <w:style w:type="paragraph" w:styleId="ListNumber4">
    <w:name w:val="List Number 4"/>
    <w:basedOn w:val="List4"/>
    <w:rsid w:val="00E17D46"/>
    <w:pPr>
      <w:numPr>
        <w:numId w:val="7"/>
      </w:numPr>
    </w:pPr>
  </w:style>
  <w:style w:type="paragraph" w:styleId="ListNumber5">
    <w:name w:val="List Number 5"/>
    <w:basedOn w:val="List5"/>
    <w:rsid w:val="00E17D46"/>
    <w:pPr>
      <w:numPr>
        <w:numId w:val="8"/>
      </w:numPr>
    </w:pPr>
  </w:style>
  <w:style w:type="paragraph" w:styleId="BlockText">
    <w:name w:val="Block Text"/>
    <w:basedOn w:val="Normal"/>
    <w:rsid w:val="00E17D46"/>
    <w:pPr>
      <w:spacing w:after="120"/>
      <w:ind w:left="1440" w:right="1440"/>
    </w:pPr>
  </w:style>
  <w:style w:type="character" w:customStyle="1" w:styleId="Subscript">
    <w:name w:val="Subscript"/>
    <w:basedOn w:val="DefaultParagraphFont"/>
    <w:rsid w:val="00E17D46"/>
    <w:rPr>
      <w:sz w:val="16"/>
      <w:vertAlign w:val="subscript"/>
    </w:rPr>
  </w:style>
  <w:style w:type="character" w:customStyle="1" w:styleId="Superscript">
    <w:name w:val="Superscript"/>
    <w:basedOn w:val="DefaultParagraphFont"/>
    <w:rsid w:val="00E17D46"/>
    <w:rPr>
      <w:sz w:val="16"/>
      <w:vertAlign w:val="superscript"/>
    </w:rPr>
  </w:style>
  <w:style w:type="character" w:customStyle="1" w:styleId="Symbols">
    <w:name w:val="Symbols"/>
    <w:basedOn w:val="DefaultParagraphFont"/>
    <w:rsid w:val="00E17D46"/>
    <w:rPr>
      <w:rFonts w:ascii="Symbol" w:hAnsi="Symbol"/>
    </w:rPr>
  </w:style>
  <w:style w:type="character" w:customStyle="1" w:styleId="MenuOptions">
    <w:name w:val="Menu Options"/>
    <w:basedOn w:val="DefaultParagraphFont"/>
    <w:rsid w:val="00E17D46"/>
    <w:rPr>
      <w:rFonts w:ascii="Arial Narrow" w:hAnsi="Arial Narrow"/>
      <w:smallCaps/>
    </w:rPr>
  </w:style>
  <w:style w:type="character" w:customStyle="1" w:styleId="Buttons">
    <w:name w:val="Buttons"/>
    <w:basedOn w:val="DefaultParagraphFont"/>
    <w:rsid w:val="00E17D46"/>
    <w:rPr>
      <w:b/>
    </w:rPr>
  </w:style>
  <w:style w:type="character" w:customStyle="1" w:styleId="Underlined">
    <w:name w:val="Underlined"/>
    <w:basedOn w:val="DefaultParagraphFont"/>
    <w:rsid w:val="00E17D46"/>
    <w:rPr>
      <w:u w:val="single"/>
    </w:rPr>
  </w:style>
  <w:style w:type="paragraph" w:customStyle="1" w:styleId="TableBodyTextRight">
    <w:name w:val="Table Body Text Right"/>
    <w:basedOn w:val="TableBodyText"/>
    <w:rsid w:val="00E17D46"/>
    <w:pPr>
      <w:widowControl w:val="0"/>
      <w:autoSpaceDE w:val="0"/>
      <w:autoSpaceDN w:val="0"/>
      <w:adjustRightInd w:val="0"/>
      <w:jc w:val="right"/>
    </w:pPr>
    <w:rPr>
      <w:rFonts w:cs="Arial"/>
      <w:szCs w:val="18"/>
    </w:rPr>
  </w:style>
  <w:style w:type="paragraph" w:customStyle="1" w:styleId="CopyrightText">
    <w:name w:val="Copyright Text"/>
    <w:basedOn w:val="BodyText"/>
    <w:rsid w:val="00E17D46"/>
    <w:rPr>
      <w:sz w:val="18"/>
    </w:rPr>
  </w:style>
  <w:style w:type="paragraph" w:customStyle="1" w:styleId="BodySmallRight">
    <w:name w:val="Body Small Right"/>
    <w:basedOn w:val="BodyTextRight"/>
    <w:rsid w:val="00E17D46"/>
    <w:rPr>
      <w:sz w:val="18"/>
      <w:szCs w:val="18"/>
    </w:rPr>
  </w:style>
  <w:style w:type="paragraph" w:customStyle="1" w:styleId="MarginEdition">
    <w:name w:val="Margin Edition"/>
    <w:basedOn w:val="MarginNote"/>
    <w:rsid w:val="00E17D46"/>
    <w:pPr>
      <w:spacing w:before="0" w:after="0"/>
    </w:pPr>
    <w:rPr>
      <w:rFonts w:ascii="Times New Roman" w:hAnsi="Times New Roman"/>
      <w:color w:val="999999"/>
    </w:rPr>
  </w:style>
  <w:style w:type="paragraph" w:customStyle="1" w:styleId="Spacer">
    <w:name w:val="Spacer"/>
    <w:basedOn w:val="Normal"/>
    <w:rsid w:val="00E17D46"/>
    <w:rPr>
      <w:sz w:val="2"/>
      <w:szCs w:val="2"/>
    </w:rPr>
  </w:style>
  <w:style w:type="character" w:customStyle="1" w:styleId="Small">
    <w:name w:val="Small"/>
    <w:basedOn w:val="DefaultParagraphFont"/>
    <w:rsid w:val="00E17D46"/>
    <w:rPr>
      <w:sz w:val="16"/>
    </w:rPr>
  </w:style>
  <w:style w:type="paragraph" w:customStyle="1" w:styleId="WideTable">
    <w:name w:val="Wide Table"/>
    <w:basedOn w:val="Normal"/>
    <w:rsid w:val="00E17D46"/>
    <w:pPr>
      <w:ind w:left="-1418"/>
    </w:pPr>
    <w:rPr>
      <w:sz w:val="2"/>
      <w:szCs w:val="2"/>
    </w:rPr>
  </w:style>
  <w:style w:type="character" w:styleId="PageNumber">
    <w:name w:val="page number"/>
    <w:basedOn w:val="DefaultParagraphFont"/>
    <w:rsid w:val="00E17D46"/>
  </w:style>
  <w:style w:type="paragraph" w:styleId="Quote">
    <w:name w:val="Quote"/>
    <w:basedOn w:val="Heading1"/>
    <w:link w:val="QuoteChar"/>
    <w:qFormat/>
    <w:rsid w:val="00E17D46"/>
    <w:rPr>
      <w:b w:val="0"/>
      <w:sz w:val="72"/>
      <w:szCs w:val="72"/>
      <w:lang w:val="en-NZ"/>
    </w:rPr>
  </w:style>
  <w:style w:type="character" w:customStyle="1" w:styleId="QuoteChar">
    <w:name w:val="Quote Char"/>
    <w:basedOn w:val="DefaultParagraphFont"/>
    <w:link w:val="Quote"/>
    <w:rsid w:val="00E17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D46"/>
    <w:pPr>
      <w:pageBreakBefore/>
    </w:pPr>
  </w:style>
  <w:style w:type="paragraph" w:customStyle="1" w:styleId="Border">
    <w:name w:val="Border"/>
    <w:basedOn w:val="Normal"/>
    <w:qFormat/>
    <w:rsid w:val="00E17D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D46"/>
    <w:rPr>
      <w:b/>
      <w:bCs/>
      <w:i/>
      <w:iCs/>
      <w:color w:val="auto"/>
    </w:rPr>
  </w:style>
  <w:style w:type="paragraph" w:styleId="IntenseQuote">
    <w:name w:val="Intense Quote"/>
    <w:basedOn w:val="Normal"/>
    <w:next w:val="Normal"/>
    <w:link w:val="IntenseQuoteChar"/>
    <w:uiPriority w:val="30"/>
    <w:qFormat/>
    <w:rsid w:val="00E17D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D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D46"/>
    <w:rPr>
      <w:smallCaps/>
      <w:color w:val="auto"/>
      <w:u w:val="single"/>
    </w:rPr>
  </w:style>
  <w:style w:type="character" w:styleId="IntenseReference">
    <w:name w:val="Intense Reference"/>
    <w:basedOn w:val="DefaultParagraphFont"/>
    <w:uiPriority w:val="32"/>
    <w:qFormat/>
    <w:rsid w:val="00E17D46"/>
    <w:rPr>
      <w:b/>
      <w:bCs/>
      <w:smallCaps/>
      <w:color w:val="auto"/>
      <w:spacing w:val="5"/>
      <w:u w:val="single"/>
    </w:rPr>
  </w:style>
  <w:style w:type="paragraph" w:customStyle="1" w:styleId="2ColumnHeading">
    <w:name w:val="2Column Heading"/>
    <w:basedOn w:val="BodyText"/>
    <w:qFormat/>
    <w:rsid w:val="00E17D46"/>
    <w:pPr>
      <w:spacing w:after="60"/>
      <w:ind w:left="-2268"/>
    </w:pPr>
    <w:rPr>
      <w:b/>
    </w:rPr>
  </w:style>
  <w:style w:type="paragraph" w:customStyle="1" w:styleId="Heading1TOC">
    <w:name w:val="Heading1 TOC"/>
    <w:basedOn w:val="Normal"/>
    <w:qFormat/>
    <w:rsid w:val="00E17D46"/>
    <w:pPr>
      <w:spacing w:before="240" w:after="120"/>
    </w:pPr>
    <w:rPr>
      <w:rFonts w:ascii="Times New Roman" w:hAnsi="Times New Roman"/>
      <w:b/>
      <w:sz w:val="32"/>
    </w:rPr>
  </w:style>
  <w:style w:type="paragraph" w:customStyle="1" w:styleId="Heading2TOC">
    <w:name w:val="Heading2 TOC"/>
    <w:basedOn w:val="Normal"/>
    <w:qFormat/>
    <w:rsid w:val="00E17D46"/>
    <w:pPr>
      <w:spacing w:before="240" w:after="60"/>
    </w:pPr>
    <w:rPr>
      <w:rFonts w:ascii="Times New Roman" w:hAnsi="Times New Roman"/>
      <w:b/>
      <w:sz w:val="28"/>
    </w:rPr>
  </w:style>
  <w:style w:type="character" w:customStyle="1" w:styleId="Underline">
    <w:name w:val="Underline"/>
    <w:basedOn w:val="DefaultParagraphFont"/>
    <w:qFormat/>
    <w:rsid w:val="00E17D46"/>
    <w:rPr>
      <w:u w:val="single"/>
    </w:rPr>
  </w:style>
  <w:style w:type="paragraph" w:styleId="BalloonText">
    <w:name w:val="Balloon Text"/>
    <w:basedOn w:val="Normal"/>
    <w:link w:val="BalloonTextChar"/>
    <w:rsid w:val="00E17D46"/>
    <w:rPr>
      <w:rFonts w:ascii="Tahoma" w:hAnsi="Tahoma" w:cs="Tahoma"/>
      <w:sz w:val="16"/>
      <w:szCs w:val="16"/>
    </w:rPr>
  </w:style>
  <w:style w:type="character" w:customStyle="1" w:styleId="BalloonTextChar">
    <w:name w:val="Balloon Text Char"/>
    <w:basedOn w:val="DefaultParagraphFont"/>
    <w:link w:val="BalloonText"/>
    <w:rsid w:val="00E17D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D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7D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D46"/>
    <w:rPr>
      <w:b/>
      <w:color w:val="660033"/>
      <w:spacing w:val="0"/>
    </w:rPr>
  </w:style>
  <w:style w:type="paragraph" w:customStyle="1" w:styleId="Nameditemlist">
    <w:name w:val="Named item list"/>
    <w:basedOn w:val="BodyText"/>
    <w:qFormat/>
    <w:rsid w:val="00E17D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1578</Words>
  <Characters>9933</Characters>
  <Application>Microsoft Office Word</Application>
  <DocSecurity>0</DocSecurity>
  <Lines>360</Lines>
  <Paragraphs>156</Paragraphs>
  <ScaleCrop>false</ScaleCrop>
  <Company>Author-it Software Corporation Ltd.</Company>
  <LinksUpToDate>false</LinksUpToDate>
  <CharactersWithSpaces>11424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CPCCSV5005A Apply footing and geomechanical design principles to domestic scale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2012-10-05T08:13:00Z</dcterms:created>
  <dcterms:modified xsi:type="dcterms:W3CDTF">2012-10-05T08:13:00Z</dcterms:modified>
</cp:coreProperties>
</file>