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2320" w:rsidP="00782320">
      <w:pPr>
        <w:pStyle w:val="Title"/>
      </w:pPr>
      <w:bookmarkStart w:id="0" w:name="_GoBack"/>
      <w:bookmarkEnd w:id="0"/>
      <w:r>
        <w:fldChar w:fldCharType="begin"/>
      </w:r>
      <w:r>
        <w:instrText xml:space="preserve"> TITLE   \* MERGEFORMAT </w:instrText>
      </w:r>
      <w:r>
        <w:fldChar w:fldCharType="separate"/>
      </w:r>
      <w:r>
        <w:t>CPCCSV5002A Evaluate materials for construction of domestic scale buildings</w:t>
      </w:r>
      <w:r>
        <w:fldChar w:fldCharType="end"/>
      </w:r>
    </w:p>
    <w:p w:rsidR="00782320" w:rsidP="00782320">
      <w:pPr>
        <w:pStyle w:val="Version"/>
        <w:sectPr w:rsidSect="00A224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4D9" w:rsidP="00A224D9">
      <w:pPr>
        <w:pStyle w:val="SuperHeading"/>
      </w:pPr>
      <w:r w:rsidRPr="00A224D9">
        <w:t>CPCCSV5002A Evaluate materials for construction of domestic scale buildings</w:t>
      </w:r>
    </w:p>
    <w:p w:rsidR="00000000" w:rsidRPr="00A224D9" w:rsidP="00A224D9">
      <w:pPr>
        <w:pStyle w:val="Heading1"/>
      </w:pPr>
      <w:bookmarkStart w:id="1" w:name="O_269732"/>
      <w:bookmarkEnd w:id="1"/>
      <w:r w:rsidRPr="00A224D9">
        <w:t>Modification History</w:t>
      </w:r>
    </w:p>
    <w:p w:rsidR="00000000" w:rsidRPr="00A224D9" w:rsidP="00A224D9">
      <w:pPr>
        <w:pStyle w:val="BodyText"/>
      </w:pPr>
      <w:r w:rsidRPr="00A224D9">
        <w:t>Not Applicable</w:t>
      </w:r>
    </w:p>
    <w:p w:rsidR="00000000" w:rsidRPr="00A224D9" w:rsidP="00A224D9">
      <w:pPr>
        <w:pStyle w:val="AllowPageBreak"/>
      </w:pPr>
    </w:p>
    <w:p w:rsidR="00000000" w:rsidRPr="00A224D9" w:rsidP="00A224D9">
      <w:pPr>
        <w:pStyle w:val="Heading1"/>
      </w:pPr>
      <w:bookmarkStart w:id="2" w:name="O_198899"/>
      <w:bookmarkEnd w:id="2"/>
      <w:r w:rsidRPr="00A224D9">
        <w:t>Unit Descriptor</w:t>
      </w:r>
    </w:p>
    <w:tbl>
      <w:tblPr>
        <w:tblW w:w="0" w:type="auto"/>
        <w:tblLayout w:type="fixed"/>
        <w:tblCellMar>
          <w:left w:w="62" w:type="dxa"/>
          <w:right w:w="62" w:type="dxa"/>
        </w:tblCellMar>
        <w:tblLook w:val="0000"/>
      </w:tblPr>
      <w:tblGrid>
        <w:gridCol w:w="2644"/>
        <w:gridCol w:w="5878"/>
      </w:tblGrid>
      <w:tr w:rsidTr="00782320">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 xml:space="preserve">Unit </w:t>
            </w:r>
            <w:r w:rsidRPr="00A224D9">
              <w:rPr>
                <w:rStyle w:val="SpecialBold"/>
              </w:rPr>
              <w:t>descriptor</w:t>
            </w:r>
          </w:p>
        </w:tc>
        <w:tc>
          <w:tcPr>
            <w:tcW w:w="5878"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 xml:space="preserve">This unit of competency specifies the outcomes required to evaluate and select materials for domestic scale buildings. </w:t>
            </w:r>
          </w:p>
          <w:p w:rsidR="00000000" w:rsidRPr="00A224D9" w:rsidP="00A224D9">
            <w:pPr>
              <w:pStyle w:val="BodyText"/>
            </w:pPr>
            <w:r w:rsidRPr="00A224D9">
              <w:t>It relates to a range of building materials, including concrete, glass, timber, plastic and plasterboard in accordance with t</w:t>
            </w:r>
            <w:r w:rsidRPr="00A224D9">
              <w:t>he Building Code of Australia (BCA).</w:t>
            </w:r>
          </w:p>
        </w:tc>
      </w:tr>
    </w:tbl>
    <w:p w:rsidR="00782320" w:rsidP="00A224D9">
      <w:pPr>
        <w:pStyle w:val="BodyText"/>
      </w:pPr>
    </w:p>
    <w:p w:rsidR="00782320" w:rsidP="00A224D9">
      <w:pPr>
        <w:pStyle w:val="BodyText"/>
      </w:pPr>
    </w:p>
    <w:p w:rsidR="00000000" w:rsidRPr="00A224D9" w:rsidP="00A224D9">
      <w:pPr>
        <w:pStyle w:val="Heading1"/>
      </w:pPr>
      <w:bookmarkStart w:id="3" w:name="O_198903"/>
      <w:bookmarkEnd w:id="3"/>
      <w:r w:rsidRPr="00A224D9">
        <w:t>Application of the Unit</w:t>
      </w:r>
    </w:p>
    <w:tbl>
      <w:tblPr>
        <w:tblW w:w="0" w:type="auto"/>
        <w:tblLayout w:type="fixed"/>
        <w:tblCellMar>
          <w:left w:w="62" w:type="dxa"/>
          <w:right w:w="62" w:type="dxa"/>
        </w:tblCellMar>
        <w:tblLook w:val="0000"/>
      </w:tblPr>
      <w:tblGrid>
        <w:gridCol w:w="2708"/>
        <w:gridCol w:w="5814"/>
      </w:tblGrid>
      <w:tr w:rsidTr="00782320">
        <w:tblPrEx>
          <w:tblW w:w="0" w:type="auto"/>
          <w:tblLayout w:type="fixed"/>
          <w:tblCellMar>
            <w:left w:w="62" w:type="dxa"/>
            <w:right w:w="62" w:type="dxa"/>
          </w:tblCellMar>
          <w:tblLook w:val="0000"/>
        </w:tblPrEx>
        <w:tc>
          <w:tcPr>
            <w:tcW w:w="2708"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Application of the unit</w:t>
            </w:r>
          </w:p>
        </w:tc>
        <w:tc>
          <w:tcPr>
            <w:tcW w:w="5814"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 xml:space="preserve">This unit of competency supports the attainment of the understanding and skills to evaluate materials for construction of domestic scale buildings, </w:t>
            </w:r>
            <w:r w:rsidRPr="00A224D9">
              <w:t xml:space="preserve">requiring the demonstration of research, analysis and evaluation for the choice and application of building materials and subsequent reporting skills within the context of relevant legislation, the BCA and Australian standards. </w:t>
            </w:r>
          </w:p>
        </w:tc>
      </w:tr>
    </w:tbl>
    <w:p w:rsidR="00782320" w:rsidP="00A224D9">
      <w:pPr>
        <w:pStyle w:val="BodyText"/>
      </w:pPr>
    </w:p>
    <w:p w:rsidR="00782320" w:rsidP="00A224D9">
      <w:pPr>
        <w:pStyle w:val="BodyText"/>
      </w:pPr>
    </w:p>
    <w:p w:rsidR="00000000" w:rsidRPr="00A224D9" w:rsidP="00A224D9">
      <w:pPr>
        <w:pStyle w:val="Heading1"/>
      </w:pPr>
      <w:bookmarkStart w:id="4" w:name="O_277992"/>
      <w:bookmarkEnd w:id="4"/>
      <w:r w:rsidRPr="00A224D9">
        <w:t>Licensi</w:t>
      </w:r>
      <w:r w:rsidRPr="00A224D9">
        <w:t>ng/Regulatory Information</w:t>
      </w:r>
    </w:p>
    <w:p w:rsidR="00000000" w:rsidRPr="00A224D9" w:rsidP="00A224D9">
      <w:pPr>
        <w:pStyle w:val="BodyText"/>
      </w:pPr>
      <w:r w:rsidRPr="00A224D9">
        <w:t>Not Applicable</w:t>
      </w:r>
    </w:p>
    <w:p w:rsidR="00000000" w:rsidRPr="00A224D9" w:rsidP="00A224D9">
      <w:pPr>
        <w:pStyle w:val="AllowPageBreak"/>
      </w:pPr>
    </w:p>
    <w:p w:rsidR="00000000" w:rsidRPr="00A224D9" w:rsidP="00A224D9">
      <w:pPr>
        <w:pStyle w:val="Heading1"/>
      </w:pPr>
      <w:bookmarkStart w:id="5" w:name="O_198901"/>
      <w:bookmarkEnd w:id="5"/>
      <w:r w:rsidRPr="00A224D9">
        <w:t>Pre-Requisites</w:t>
      </w:r>
    </w:p>
    <w:tbl>
      <w:tblPr>
        <w:tblW w:w="0" w:type="auto"/>
        <w:tblLayout w:type="fixed"/>
        <w:tblCellMar>
          <w:left w:w="62" w:type="dxa"/>
          <w:right w:w="62" w:type="dxa"/>
        </w:tblCellMar>
        <w:tblLook w:val="0000"/>
      </w:tblPr>
      <w:tblGrid>
        <w:gridCol w:w="2718"/>
        <w:gridCol w:w="1322"/>
        <w:gridCol w:w="4482"/>
      </w:tblGrid>
      <w:tr w:rsidTr="00782320">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t>Nil</w:t>
            </w:r>
          </w:p>
        </w:tc>
      </w:tr>
      <w:tr w:rsidTr="00782320">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p>
        </w:tc>
      </w:tr>
      <w:tr w:rsidTr="00782320">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A224D9" w:rsidP="00A224D9">
            <w:pPr>
              <w:pStyle w:val="BodyText"/>
            </w:pPr>
          </w:p>
        </w:tc>
      </w:tr>
    </w:tbl>
    <w:p w:rsidR="00782320" w:rsidP="00A224D9">
      <w:pPr>
        <w:pStyle w:val="BodyText"/>
      </w:pPr>
    </w:p>
    <w:p w:rsidR="00782320" w:rsidP="00A224D9">
      <w:pPr>
        <w:pStyle w:val="BodyText"/>
      </w:pPr>
    </w:p>
    <w:p w:rsidR="00000000" w:rsidRPr="00A224D9" w:rsidP="00A224D9">
      <w:pPr>
        <w:pStyle w:val="Heading1"/>
      </w:pPr>
      <w:bookmarkStart w:id="6" w:name="O_198900"/>
      <w:bookmarkEnd w:id="6"/>
      <w:r w:rsidRPr="00A224D9">
        <w:t>Employability Skills Information</w:t>
      </w:r>
    </w:p>
    <w:tbl>
      <w:tblPr>
        <w:tblW w:w="0" w:type="auto"/>
        <w:tblLayout w:type="fixed"/>
        <w:tblCellMar>
          <w:left w:w="62" w:type="dxa"/>
          <w:right w:w="62" w:type="dxa"/>
        </w:tblCellMar>
        <w:tblLook w:val="0000"/>
      </w:tblPr>
      <w:tblGrid>
        <w:gridCol w:w="2744"/>
        <w:gridCol w:w="5778"/>
      </w:tblGrid>
      <w:tr w:rsidTr="00782320">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This unit contains employability skills.</w:t>
            </w:r>
          </w:p>
        </w:tc>
      </w:tr>
    </w:tbl>
    <w:p w:rsidR="00782320" w:rsidP="00A224D9">
      <w:pPr>
        <w:pStyle w:val="BodyText"/>
      </w:pPr>
    </w:p>
    <w:p w:rsidR="00782320" w:rsidP="00A224D9">
      <w:pPr>
        <w:pStyle w:val="BodyText"/>
      </w:pPr>
    </w:p>
    <w:p w:rsidR="00000000" w:rsidRPr="00A224D9" w:rsidP="00A224D9">
      <w:pPr>
        <w:pStyle w:val="Heading1"/>
      </w:pPr>
      <w:bookmarkStart w:id="7" w:name="O_287778"/>
      <w:bookmarkEnd w:id="7"/>
      <w:r w:rsidRPr="00A224D9">
        <w:t>Elements and Performance Criteria Pre-Content</w:t>
      </w:r>
    </w:p>
    <w:tbl>
      <w:tblPr>
        <w:tblW w:w="0" w:type="auto"/>
        <w:tblLayout w:type="fixed"/>
        <w:tblCellMar>
          <w:left w:w="62" w:type="dxa"/>
          <w:right w:w="62" w:type="dxa"/>
        </w:tblCellMar>
        <w:tblLook w:val="0000"/>
      </w:tblPr>
      <w:tblGrid>
        <w:gridCol w:w="2584"/>
        <w:gridCol w:w="5938"/>
      </w:tblGrid>
      <w:tr w:rsidTr="00782320">
        <w:tblPrEx>
          <w:tblW w:w="0" w:type="auto"/>
          <w:tblLayout w:type="fixed"/>
          <w:tblCellMar>
            <w:left w:w="62" w:type="dxa"/>
            <w:right w:w="62" w:type="dxa"/>
          </w:tblCellMar>
          <w:tblLook w:val="0000"/>
        </w:tblPrEx>
        <w:tc>
          <w:tcPr>
            <w:tcW w:w="2584" w:type="dxa"/>
            <w:tcBorders>
              <w:top w:val="single" w:sz="6" w:space="0" w:color="auto"/>
              <w:left w:val="nil"/>
              <w:bottom w:val="nil"/>
              <w:right w:val="nil"/>
            </w:tcBorders>
            <w:tcMar>
              <w:top w:w="0" w:type="dxa"/>
              <w:left w:w="62" w:type="dxa"/>
              <w:bottom w:w="0" w:type="dxa"/>
              <w:right w:w="62" w:type="dxa"/>
            </w:tcMar>
          </w:tcPr>
          <w:p w:rsidR="00000000" w:rsidP="00A224D9">
            <w:pPr>
              <w:pStyle w:val="BodyText"/>
              <w:rPr>
                <w:lang w:val="en-NZ"/>
              </w:rPr>
            </w:pPr>
            <w:r w:rsidRPr="00A224D9">
              <w:t>Elements describe the essential outcomes of a unit of competency.</w:t>
            </w:r>
          </w:p>
        </w:tc>
        <w:tc>
          <w:tcPr>
            <w:tcW w:w="5938" w:type="dxa"/>
            <w:tcBorders>
              <w:top w:val="single" w:sz="6" w:space="0" w:color="auto"/>
              <w:left w:val="nil"/>
              <w:bottom w:val="nil"/>
              <w:right w:val="nil"/>
            </w:tcBorders>
            <w:tcMar>
              <w:top w:w="0" w:type="dxa"/>
              <w:left w:w="62" w:type="dxa"/>
              <w:bottom w:w="0" w:type="dxa"/>
              <w:right w:w="62" w:type="dxa"/>
            </w:tcMar>
          </w:tcPr>
          <w:p w:rsidR="00000000" w:rsidRPr="00A224D9" w:rsidP="00A224D9">
            <w:pPr>
              <w:pStyle w:val="BodyText"/>
            </w:pPr>
            <w:r w:rsidRPr="00A224D9">
              <w:t>Performance criteria describe the performance needed to demonstrate achievement of the element. Where bold italicised text is used, further info</w:t>
            </w:r>
            <w:r w:rsidRPr="00A224D9">
              <w:t>rmation is detailed in the required skills and knowledge section and the range statement. Assessment of performance is to be consistent with the evidence guide.</w:t>
            </w:r>
          </w:p>
        </w:tc>
      </w:tr>
    </w:tbl>
    <w:p w:rsidR="00000000" w:rsidRPr="00A224D9" w:rsidP="00A224D9">
      <w:pPr>
        <w:pStyle w:val="BodyText"/>
      </w:pPr>
    </w:p>
    <w:p w:rsidR="00000000" w:rsidRPr="00A224D9" w:rsidP="00A224D9">
      <w:pPr>
        <w:pStyle w:val="AllowPageBreak"/>
      </w:pPr>
    </w:p>
    <w:p w:rsidR="00000000" w:rsidRPr="00A224D9" w:rsidP="00A224D9">
      <w:pPr>
        <w:pStyle w:val="Heading1"/>
      </w:pPr>
      <w:bookmarkStart w:id="8" w:name="O_234445"/>
      <w:bookmarkEnd w:id="8"/>
      <w:r w:rsidRPr="00A224D9">
        <w:t>Elements and Performance Criteria</w:t>
      </w:r>
    </w:p>
    <w:tbl>
      <w:tblPr>
        <w:tblW w:w="0" w:type="auto"/>
        <w:tblLayout w:type="fixed"/>
        <w:tblCellMar>
          <w:left w:w="62" w:type="dxa"/>
          <w:right w:w="62" w:type="dxa"/>
        </w:tblCellMar>
        <w:tblLook w:val="0000"/>
      </w:tblPr>
      <w:tblGrid>
        <w:gridCol w:w="2584"/>
        <w:gridCol w:w="5938"/>
      </w:tblGrid>
      <w:tr w:rsidTr="00782320">
        <w:tblPrEx>
          <w:tblW w:w="0" w:type="auto"/>
          <w:tblLayout w:type="fixed"/>
          <w:tblCellMar>
            <w:left w:w="62" w:type="dxa"/>
            <w:right w:w="62" w:type="dxa"/>
          </w:tblCellMar>
          <w:tblLook w:val="0000"/>
        </w:tblPrEx>
        <w:trPr>
          <w:tblHeader/>
        </w:trPr>
        <w:tc>
          <w:tcPr>
            <w:tcW w:w="2584" w:type="dxa"/>
            <w:tcBorders>
              <w:top w:val="nil"/>
              <w:left w:val="nil"/>
              <w:bottom w:val="single" w:sz="6" w:space="0" w:color="auto"/>
              <w:right w:val="nil"/>
            </w:tcBorders>
            <w:tcMar>
              <w:top w:w="0" w:type="dxa"/>
              <w:left w:w="62" w:type="dxa"/>
              <w:bottom w:w="0" w:type="dxa"/>
              <w:right w:w="62" w:type="dxa"/>
            </w:tcMar>
          </w:tcPr>
          <w:p w:rsidR="00000000" w:rsidRPr="00A224D9" w:rsidP="00A224D9">
            <w:pPr>
              <w:pStyle w:val="BodyText"/>
            </w:pPr>
            <w:r w:rsidRPr="00A224D9">
              <w:rPr>
                <w:rStyle w:val="SpecialBold"/>
              </w:rPr>
              <w:t>ELEMENT</w:t>
            </w:r>
          </w:p>
        </w:tc>
        <w:tc>
          <w:tcPr>
            <w:tcW w:w="5938" w:type="dxa"/>
            <w:tcBorders>
              <w:top w:val="nil"/>
              <w:left w:val="nil"/>
              <w:bottom w:val="single" w:sz="6" w:space="0" w:color="auto"/>
              <w:right w:val="nil"/>
            </w:tcBorders>
            <w:tcMar>
              <w:top w:w="0" w:type="dxa"/>
              <w:left w:w="62" w:type="dxa"/>
              <w:bottom w:w="0" w:type="dxa"/>
              <w:right w:w="62" w:type="dxa"/>
            </w:tcMar>
          </w:tcPr>
          <w:p w:rsidR="00000000" w:rsidP="00A224D9">
            <w:pPr>
              <w:pStyle w:val="BodyText"/>
              <w:rPr>
                <w:lang w:val="en-NZ"/>
              </w:rPr>
            </w:pPr>
            <w:r w:rsidRPr="00A224D9">
              <w:rPr>
                <w:rStyle w:val="SpecialBold"/>
              </w:rPr>
              <w:t>PERFORMANCE CRITERIA</w:t>
            </w:r>
          </w:p>
        </w:tc>
      </w:tr>
      <w:tr w:rsidTr="00782320">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A224D9">
            <w:pPr>
              <w:pStyle w:val="List"/>
              <w:rPr>
                <w:lang w:val="en-NZ"/>
              </w:rPr>
            </w:pPr>
            <w:r w:rsidRPr="00A224D9">
              <w:t>1.</w:t>
            </w:r>
            <w:r w:rsidRPr="00A224D9">
              <w:tab/>
            </w:r>
            <w:r w:rsidRPr="00A224D9">
              <w:t>Analyse building materials.</w:t>
            </w:r>
          </w:p>
        </w:tc>
        <w:tc>
          <w:tcPr>
            <w:tcW w:w="5938" w:type="dxa"/>
            <w:tcBorders>
              <w:top w:val="nil"/>
              <w:left w:val="nil"/>
              <w:bottom w:val="nil"/>
              <w:right w:val="nil"/>
            </w:tcBorders>
            <w:tcMar>
              <w:top w:w="0" w:type="dxa"/>
              <w:left w:w="62" w:type="dxa"/>
              <w:bottom w:w="0" w:type="dxa"/>
              <w:right w:w="62" w:type="dxa"/>
            </w:tcMar>
          </w:tcPr>
          <w:p w:rsidR="00000000" w:rsidRPr="00A224D9" w:rsidP="00A224D9">
            <w:pPr>
              <w:pStyle w:val="List2"/>
            </w:pPr>
            <w:r w:rsidRPr="00A224D9">
              <w:t>1.1.</w:t>
            </w:r>
            <w:r w:rsidRPr="00A224D9">
              <w:tab/>
              <w:t xml:space="preserve">Properties of materials are analysed and selected for performance in domestic scale building projects requiring evaluation. </w:t>
            </w:r>
          </w:p>
          <w:p w:rsidR="00000000" w:rsidRPr="00A224D9" w:rsidP="00A224D9">
            <w:pPr>
              <w:pStyle w:val="List2"/>
            </w:pPr>
            <w:r w:rsidRPr="00A224D9">
              <w:t>1.2.</w:t>
            </w:r>
            <w:r w:rsidRPr="00A224D9">
              <w:tab/>
              <w:t xml:space="preserve">Quality standards and performance of materials are identified according to BCA, </w:t>
            </w:r>
            <w:r w:rsidRPr="00A224D9">
              <w:rPr>
                <w:rStyle w:val="BoldandItalics"/>
              </w:rPr>
              <w:t xml:space="preserve">adherence to </w:t>
            </w:r>
            <w:r w:rsidRPr="00A224D9">
              <w:rPr>
                <w:rStyle w:val="BoldandItalics"/>
              </w:rPr>
              <w:t>legislative requirements</w:t>
            </w:r>
            <w:r w:rsidRPr="00A224D9">
              <w:t xml:space="preserve"> and </w:t>
            </w:r>
            <w:r w:rsidRPr="00A224D9">
              <w:rPr>
                <w:rStyle w:val="BoldandItalics"/>
              </w:rPr>
              <w:t>types of structures</w:t>
            </w:r>
            <w:r w:rsidRPr="00A224D9">
              <w:t xml:space="preserve">. </w:t>
            </w:r>
          </w:p>
          <w:p w:rsidR="00000000" w:rsidRPr="00A224D9" w:rsidP="00A224D9">
            <w:pPr>
              <w:pStyle w:val="List2"/>
            </w:pPr>
            <w:r w:rsidRPr="00A224D9">
              <w:t>1.3.</w:t>
            </w:r>
            <w:r w:rsidRPr="00A224D9">
              <w:tab/>
              <w:t>Methods of testing materials are recorded.</w:t>
            </w:r>
          </w:p>
          <w:p w:rsidR="00000000" w:rsidRPr="00A224D9" w:rsidP="00A224D9">
            <w:pPr>
              <w:pStyle w:val="List2"/>
            </w:pPr>
            <w:r w:rsidRPr="00A224D9">
              <w:t>1.4.</w:t>
            </w:r>
            <w:r w:rsidRPr="00A224D9">
              <w:tab/>
              <w:t>Visual characteristics of materials are identified and recorded.</w:t>
            </w:r>
          </w:p>
          <w:p w:rsidR="00000000" w:rsidP="00A224D9">
            <w:pPr>
              <w:pStyle w:val="List2"/>
              <w:rPr>
                <w:lang w:val="en-NZ"/>
              </w:rPr>
            </w:pPr>
            <w:r w:rsidRPr="00A224D9">
              <w:t>1.5.</w:t>
            </w:r>
            <w:r w:rsidRPr="00A224D9">
              <w:tab/>
              <w:t>Compatibility between materials and their performance are identified and documente</w:t>
            </w:r>
            <w:r w:rsidRPr="00A224D9">
              <w:t>d.</w:t>
            </w:r>
          </w:p>
        </w:tc>
      </w:tr>
      <w:tr w:rsidTr="00782320">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A224D9">
            <w:pPr>
              <w:pStyle w:val="List"/>
              <w:rPr>
                <w:lang w:val="en-NZ"/>
              </w:rPr>
            </w:pPr>
            <w:r w:rsidRPr="00A224D9">
              <w:t>2.</w:t>
            </w:r>
            <w:r w:rsidRPr="00A224D9">
              <w:tab/>
              <w:t>Investigate suitability of materials for typical domestic scale buildings.</w:t>
            </w:r>
          </w:p>
        </w:tc>
        <w:tc>
          <w:tcPr>
            <w:tcW w:w="5938" w:type="dxa"/>
            <w:tcBorders>
              <w:top w:val="nil"/>
              <w:left w:val="nil"/>
              <w:bottom w:val="nil"/>
              <w:right w:val="nil"/>
            </w:tcBorders>
            <w:tcMar>
              <w:top w:w="0" w:type="dxa"/>
              <w:left w:w="62" w:type="dxa"/>
              <w:bottom w:w="0" w:type="dxa"/>
              <w:right w:w="62" w:type="dxa"/>
            </w:tcMar>
          </w:tcPr>
          <w:p w:rsidR="00000000" w:rsidRPr="00A224D9" w:rsidP="00A224D9">
            <w:pPr>
              <w:pStyle w:val="List2"/>
            </w:pPr>
            <w:r w:rsidRPr="00A224D9">
              <w:t>2.1.</w:t>
            </w:r>
            <w:r w:rsidRPr="00A224D9">
              <w:tab/>
              <w:t>Samples of commonly used construction materials are identified and selected for investigation according to their purpose and standard work practices.</w:t>
            </w:r>
          </w:p>
          <w:p w:rsidR="00000000" w:rsidRPr="00A224D9" w:rsidP="00A224D9">
            <w:pPr>
              <w:pStyle w:val="List2"/>
            </w:pPr>
            <w:r w:rsidRPr="00A224D9">
              <w:t>2.2.</w:t>
            </w:r>
            <w:r w:rsidRPr="00A224D9">
              <w:tab/>
            </w:r>
            <w:r w:rsidRPr="00A224D9">
              <w:rPr>
                <w:rStyle w:val="BoldandItalics"/>
              </w:rPr>
              <w:t>Materials</w:t>
            </w:r>
            <w:r w:rsidRPr="00A224D9">
              <w:t xml:space="preserve"> identified as structurally adequate and meeting </w:t>
            </w:r>
            <w:r w:rsidRPr="00A224D9">
              <w:rPr>
                <w:rStyle w:val="BoldandItalics"/>
              </w:rPr>
              <w:t>standard specifications</w:t>
            </w:r>
            <w:r w:rsidRPr="00A224D9">
              <w:t xml:space="preserve"> are selected in accordance with BCA. </w:t>
            </w:r>
          </w:p>
          <w:p w:rsidR="00000000" w:rsidRPr="00A224D9" w:rsidP="00A224D9">
            <w:pPr>
              <w:pStyle w:val="List2"/>
            </w:pPr>
            <w:r w:rsidRPr="00A224D9">
              <w:t>2.3.</w:t>
            </w:r>
            <w:r w:rsidRPr="00A224D9">
              <w:tab/>
              <w:t>Materials of a required fire resistance are selected in accordance with BCA.</w:t>
            </w:r>
          </w:p>
          <w:p w:rsidR="00000000" w:rsidRPr="00A224D9" w:rsidP="00A224D9">
            <w:pPr>
              <w:pStyle w:val="List2"/>
            </w:pPr>
            <w:r w:rsidRPr="00A224D9">
              <w:t>2.4.</w:t>
            </w:r>
            <w:r w:rsidRPr="00A224D9">
              <w:tab/>
              <w:t xml:space="preserve">Materials are selected based on cost-effectiveness and in </w:t>
            </w:r>
            <w:r w:rsidRPr="00A224D9">
              <w:t>accordance with manufacturer specifications.</w:t>
            </w:r>
          </w:p>
          <w:p w:rsidR="00000000" w:rsidRPr="00A224D9" w:rsidP="00A224D9">
            <w:pPr>
              <w:pStyle w:val="List2"/>
            </w:pPr>
            <w:r w:rsidRPr="00A224D9">
              <w:t>2.5.</w:t>
            </w:r>
            <w:r w:rsidRPr="00A224D9">
              <w:tab/>
              <w:t>Alternative materials for a given application are selected according to BCA.</w:t>
            </w:r>
          </w:p>
        </w:tc>
      </w:tr>
    </w:tbl>
    <w:p w:rsidR="00782320" w:rsidP="00A224D9">
      <w:pPr>
        <w:pStyle w:val="BodyText"/>
      </w:pPr>
    </w:p>
    <w:p w:rsidR="00782320" w:rsidP="00A224D9">
      <w:pPr>
        <w:pStyle w:val="BodyText"/>
      </w:pPr>
    </w:p>
    <w:p w:rsidR="00000000" w:rsidRPr="00A224D9" w:rsidP="00A224D9">
      <w:pPr>
        <w:pStyle w:val="Heading1"/>
      </w:pPr>
      <w:bookmarkStart w:id="9" w:name="O_258395"/>
      <w:bookmarkEnd w:id="9"/>
      <w:r w:rsidRPr="00A224D9">
        <w:t>Required Skills and Knowledge</w:t>
      </w:r>
    </w:p>
    <w:tbl>
      <w:tblPr>
        <w:tblW w:w="0" w:type="auto"/>
        <w:tblLayout w:type="fixed"/>
        <w:tblCellMar>
          <w:left w:w="62" w:type="dxa"/>
          <w:right w:w="62" w:type="dxa"/>
        </w:tblCellMar>
        <w:tblLook w:val="0000"/>
      </w:tblPr>
      <w:tblGrid>
        <w:gridCol w:w="8522"/>
      </w:tblGrid>
      <w:tr w:rsidTr="0078232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REQUIRED SKILLS AND KNOWLEDGE</w:t>
            </w:r>
          </w:p>
        </w:tc>
      </w:tr>
      <w:tr w:rsidTr="007823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t>This section describes the skills and knowledge required for this unit.</w:t>
            </w:r>
          </w:p>
        </w:tc>
      </w:tr>
      <w:tr w:rsidTr="007823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Required skills</w:t>
            </w:r>
          </w:p>
        </w:tc>
      </w:tr>
      <w:tr w:rsidTr="007823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Required skills for this unit are:</w:t>
            </w:r>
          </w:p>
          <w:p w:rsidR="00000000" w:rsidRPr="00A224D9" w:rsidP="00A224D9">
            <w:pPr>
              <w:pStyle w:val="ListBullet"/>
            </w:pPr>
            <w:r w:rsidRPr="00A224D9">
              <w:t>ability to respond to change and contribute to workplace responsibilities, such as current work site environmental and sustainabili</w:t>
            </w:r>
            <w:r w:rsidRPr="00A224D9">
              <w:t>ty frameworks or management systems</w:t>
            </w:r>
          </w:p>
          <w:p w:rsidR="00000000" w:rsidRPr="00A224D9" w:rsidP="00A224D9">
            <w:pPr>
              <w:pStyle w:val="ListBullet"/>
            </w:pPr>
            <w:r w:rsidRPr="00A224D9">
              <w:t>communication skills to:</w:t>
            </w:r>
          </w:p>
          <w:p w:rsidR="00000000" w:rsidRPr="00A224D9" w:rsidP="00A224D9">
            <w:pPr>
              <w:pStyle w:val="ListBullet2"/>
            </w:pPr>
            <w:r w:rsidRPr="00A224D9">
              <w:t>enable clear and direct communication, using questioning to identify and confirm requirements, share information, listen and understand</w:t>
            </w:r>
          </w:p>
          <w:p w:rsidR="00000000" w:rsidRPr="00A224D9" w:rsidP="00A224D9">
            <w:pPr>
              <w:pStyle w:val="ListBullet2"/>
            </w:pPr>
            <w:r w:rsidRPr="00A224D9">
              <w:t>written skills to:</w:t>
            </w:r>
          </w:p>
          <w:p w:rsidR="00000000" w:rsidRPr="00A224D9" w:rsidP="00A224D9">
            <w:pPr>
              <w:pStyle w:val="ListBullet3"/>
            </w:pPr>
            <w:r w:rsidRPr="00A224D9">
              <w:t>produce detailed specification notes</w:t>
            </w:r>
          </w:p>
          <w:p w:rsidR="00000000" w:rsidRPr="00A224D9" w:rsidP="00A224D9">
            <w:pPr>
              <w:pStyle w:val="ListBullet3"/>
            </w:pPr>
            <w:r w:rsidRPr="00A224D9">
              <w:t>provide notations and dimensions on drawings</w:t>
            </w:r>
          </w:p>
          <w:p w:rsidR="00000000" w:rsidRPr="00A224D9" w:rsidP="00A224D9">
            <w:pPr>
              <w:pStyle w:val="ListBullet2"/>
            </w:pPr>
            <w:r w:rsidRPr="00A224D9">
              <w:t>use language and concepts appropriate to cultural differences</w:t>
            </w:r>
          </w:p>
          <w:p w:rsidR="00000000" w:rsidRPr="00A224D9" w:rsidP="00A224D9">
            <w:pPr>
              <w:pStyle w:val="ListBullet2"/>
            </w:pPr>
            <w:r w:rsidRPr="00A224D9">
              <w:t>use and interpret non-verbal communication</w:t>
            </w:r>
          </w:p>
          <w:p w:rsidR="00000000" w:rsidRPr="00A224D9" w:rsidP="00A224D9">
            <w:pPr>
              <w:pStyle w:val="ListBullet"/>
            </w:pPr>
            <w:r w:rsidRPr="00A224D9">
              <w:t xml:space="preserve">innovation skills to select suitable materials for building, taking into account a range of factors such </w:t>
            </w:r>
            <w:r w:rsidRPr="00A224D9">
              <w:t>as cost and environmental issues</w:t>
            </w:r>
          </w:p>
          <w:p w:rsidR="00000000" w:rsidRPr="00A224D9" w:rsidP="00A224D9">
            <w:pPr>
              <w:pStyle w:val="ListBullet"/>
            </w:pPr>
            <w:r w:rsidRPr="00A224D9">
              <w:t>numeracy skills to produce drawings for residential buildings</w:t>
            </w:r>
          </w:p>
          <w:p w:rsidR="00000000" w:rsidRPr="00A224D9" w:rsidP="00A224D9">
            <w:pPr>
              <w:pStyle w:val="ListBullet"/>
            </w:pPr>
            <w:r w:rsidRPr="00A224D9">
              <w:t>planning and organisational skills to collect, organise and analyse information</w:t>
            </w:r>
          </w:p>
          <w:p w:rsidR="00000000" w:rsidRPr="00A224D9" w:rsidP="00A224D9">
            <w:pPr>
              <w:pStyle w:val="ListBullet"/>
            </w:pPr>
            <w:r w:rsidRPr="00A224D9">
              <w:t xml:space="preserve">problem solving skills to carry out tests on materials and to use and apply data </w:t>
            </w:r>
            <w:r w:rsidRPr="00A224D9">
              <w:t>for decision making</w:t>
            </w:r>
          </w:p>
          <w:p w:rsidR="00000000" w:rsidRPr="00A224D9" w:rsidP="00A224D9">
            <w:pPr>
              <w:pStyle w:val="ListBullet"/>
            </w:pPr>
            <w:r w:rsidRPr="00A224D9">
              <w:t>technological skills to:</w:t>
            </w:r>
          </w:p>
          <w:p w:rsidR="00000000" w:rsidRPr="00A224D9" w:rsidP="00A224D9">
            <w:pPr>
              <w:pStyle w:val="ListBullet2"/>
            </w:pPr>
            <w:r w:rsidRPr="00A224D9">
              <w:t>complete documentation and calculations</w:t>
            </w:r>
          </w:p>
          <w:p w:rsidR="00000000" w:rsidP="00A224D9">
            <w:pPr>
              <w:pStyle w:val="ListBullet2"/>
              <w:rPr>
                <w:lang w:val="en-NZ"/>
              </w:rPr>
            </w:pPr>
            <w:r w:rsidRPr="00A224D9">
              <w:t>enable information gathering and analysis.</w:t>
            </w:r>
          </w:p>
        </w:tc>
      </w:tr>
      <w:tr w:rsidTr="007823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Required knowledge</w:t>
            </w:r>
          </w:p>
        </w:tc>
      </w:tr>
      <w:tr w:rsidTr="0078232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Required knowledge for this unit is:</w:t>
            </w:r>
          </w:p>
          <w:p w:rsidR="00000000" w:rsidRPr="00A224D9" w:rsidP="00A224D9">
            <w:pPr>
              <w:pStyle w:val="ListBullet"/>
            </w:pPr>
            <w:r w:rsidRPr="00A224D9">
              <w:t>authorities and powers of a building surveyor</w:t>
            </w:r>
          </w:p>
          <w:p w:rsidR="00000000" w:rsidRPr="00A224D9" w:rsidP="00A224D9">
            <w:pPr>
              <w:pStyle w:val="ListBullet"/>
            </w:pPr>
            <w:r w:rsidRPr="00A224D9">
              <w:t>behaviour of structural members undergoing stress, strain, compression, bending or combined actions</w:t>
            </w:r>
          </w:p>
          <w:p w:rsidR="00000000" w:rsidRPr="00A224D9" w:rsidP="00A224D9">
            <w:pPr>
              <w:pStyle w:val="ListBullet"/>
            </w:pPr>
            <w:r w:rsidRPr="00A224D9">
              <w:t>environmental issues impacting on material selection</w:t>
            </w:r>
          </w:p>
          <w:p w:rsidR="00000000" w:rsidRPr="00A224D9" w:rsidP="00A224D9">
            <w:pPr>
              <w:pStyle w:val="ListBullet"/>
            </w:pPr>
            <w:r w:rsidRPr="00A224D9">
              <w:t>grading processes and grade markings used to categorise timber and timber products</w:t>
            </w:r>
          </w:p>
          <w:p w:rsidR="00000000" w:rsidRPr="00A224D9" w:rsidP="00A224D9">
            <w:pPr>
              <w:pStyle w:val="ListBullet"/>
            </w:pPr>
            <w:r w:rsidRPr="00A224D9">
              <w:t>nature of materials and effect on performance</w:t>
            </w:r>
          </w:p>
          <w:p w:rsidR="00000000" w:rsidRPr="00A224D9" w:rsidP="00A224D9">
            <w:pPr>
              <w:pStyle w:val="ListBullet"/>
            </w:pPr>
            <w:r w:rsidRPr="00A224D9">
              <w:t>processes for the administration and preparation of documentation</w:t>
            </w:r>
          </w:p>
          <w:p w:rsidR="00000000" w:rsidRPr="00A224D9" w:rsidP="00A224D9">
            <w:pPr>
              <w:pStyle w:val="ListBullet"/>
            </w:pPr>
            <w:r w:rsidRPr="00A224D9">
              <w:t>processes for the interpretation of reports, working drawings and specifications</w:t>
            </w:r>
          </w:p>
          <w:p w:rsidR="00000000" w:rsidRPr="00A224D9" w:rsidP="00A224D9">
            <w:pPr>
              <w:pStyle w:val="ListBullet"/>
            </w:pPr>
            <w:r w:rsidRPr="00A224D9">
              <w:t>relevant federal, state or territory legislation and local gove</w:t>
            </w:r>
            <w:r w:rsidRPr="00A224D9">
              <w:t>rnment policy and procedures</w:t>
            </w:r>
          </w:p>
          <w:p w:rsidR="00000000" w:rsidRPr="00A224D9" w:rsidP="00A224D9">
            <w:pPr>
              <w:pStyle w:val="ListBullet"/>
            </w:pPr>
            <w:r w:rsidRPr="00A224D9">
              <w:t>research methods</w:t>
            </w:r>
          </w:p>
          <w:p w:rsidR="00000000" w:rsidRPr="00A224D9" w:rsidP="00A224D9">
            <w:pPr>
              <w:pStyle w:val="ListBullet"/>
            </w:pPr>
            <w:r w:rsidRPr="00A224D9">
              <w:t>structural and design principles for buildings</w:t>
            </w:r>
          </w:p>
          <w:p w:rsidR="00000000" w:rsidRPr="00A224D9" w:rsidP="00A224D9">
            <w:pPr>
              <w:pStyle w:val="ListBullet"/>
            </w:pPr>
            <w:r w:rsidRPr="00A224D9">
              <w:t>terminology, definitions and hazard identification.</w:t>
            </w:r>
          </w:p>
        </w:tc>
      </w:tr>
    </w:tbl>
    <w:p w:rsidR="00782320" w:rsidP="00A224D9">
      <w:pPr>
        <w:pStyle w:val="BodyText"/>
      </w:pPr>
    </w:p>
    <w:p w:rsidR="00782320" w:rsidP="00A224D9">
      <w:pPr>
        <w:pStyle w:val="BodyText"/>
      </w:pPr>
    </w:p>
    <w:p w:rsidR="00000000" w:rsidRPr="00A224D9" w:rsidP="00A224D9">
      <w:pPr>
        <w:pStyle w:val="Heading1"/>
      </w:pPr>
      <w:bookmarkStart w:id="10" w:name="O_242429"/>
      <w:bookmarkEnd w:id="10"/>
      <w:r w:rsidRPr="00A224D9">
        <w:t>Evidence Guide</w:t>
      </w:r>
    </w:p>
    <w:tbl>
      <w:tblPr>
        <w:tblW w:w="0" w:type="auto"/>
        <w:tblLayout w:type="fixed"/>
        <w:tblCellMar>
          <w:left w:w="62" w:type="dxa"/>
          <w:right w:w="62" w:type="dxa"/>
        </w:tblCellMar>
        <w:tblLook w:val="0000"/>
      </w:tblPr>
      <w:tblGrid>
        <w:gridCol w:w="3506"/>
        <w:gridCol w:w="5016"/>
      </w:tblGrid>
      <w:tr w:rsidTr="007823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24D9">
            <w:pPr>
              <w:pStyle w:val="BodyText"/>
              <w:rPr>
                <w:lang w:val="en-NZ"/>
              </w:rPr>
            </w:pPr>
            <w:r w:rsidRPr="00A224D9">
              <w:rPr>
                <w:rStyle w:val="SpecialBold"/>
              </w:rPr>
              <w:t>EVIDENCE GUIDE</w:t>
            </w:r>
          </w:p>
        </w:tc>
      </w:tr>
      <w:tr w:rsidTr="007823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24D9">
            <w:pPr>
              <w:pStyle w:val="BodyText"/>
              <w:rPr>
                <w:lang w:val="en-NZ"/>
              </w:rPr>
            </w:pPr>
            <w:r w:rsidRPr="00A224D9">
              <w:t>The evidence guide provide</w:t>
            </w:r>
            <w:r w:rsidRPr="00A224D9">
              <w:t>s advice on assessment and must be read in conjunction with the performance criteria, required skills and knowledge, range statement and the Assessment Guidelines for the Training Package.</w:t>
            </w:r>
          </w:p>
        </w:tc>
      </w:tr>
      <w:tr w:rsidTr="007823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Overview of assessment</w:t>
            </w:r>
          </w:p>
        </w:tc>
        <w:tc>
          <w:tcPr>
            <w:tcW w:w="5016"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t xml:space="preserve">This unit of competency could be assessed </w:t>
            </w:r>
            <w:r w:rsidRPr="00A224D9">
              <w:t xml:space="preserve">in the workplace or a close simulation of the workplace environment, provided that simulated or project-based assessment techniques fully replicate construction workplace conditions, materials, activities, responsibilities and procedures. </w:t>
            </w:r>
          </w:p>
        </w:tc>
      </w:tr>
      <w:tr w:rsidTr="007823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Critical aspects for assessment and evidence required to demonstrate competency in this unit</w:t>
            </w:r>
          </w:p>
        </w:tc>
        <w:tc>
          <w:tcPr>
            <w:tcW w:w="5016"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A person who demonstrates competency in this unit must be able to provide evidence of the ability to:</w:t>
            </w:r>
          </w:p>
          <w:p w:rsidR="00000000" w:rsidRPr="00A224D9" w:rsidP="00A224D9">
            <w:pPr>
              <w:pStyle w:val="ListBullet"/>
            </w:pPr>
            <w:r w:rsidRPr="00A224D9">
              <w:t>comply with OHS regulations applicable to workplace operation</w:t>
            </w:r>
            <w:r w:rsidRPr="00A224D9">
              <w:t>s</w:t>
            </w:r>
          </w:p>
          <w:p w:rsidR="00000000" w:rsidRPr="00A224D9" w:rsidP="00A224D9">
            <w:pPr>
              <w:pStyle w:val="ListBullet"/>
            </w:pPr>
            <w:r w:rsidRPr="00A224D9">
              <w:t>apply organisational management policies and procedures, including quality assurance requirements where appropriate</w:t>
            </w:r>
          </w:p>
          <w:p w:rsidR="00000000" w:rsidRPr="00A224D9" w:rsidP="00A224D9">
            <w:pPr>
              <w:pStyle w:val="ListBullet"/>
            </w:pPr>
            <w:r w:rsidRPr="00A224D9">
              <w:t>evaluate, choose and apply various building materials; their subsequent maintenance; and associated reporting of data, findings, recommend</w:t>
            </w:r>
            <w:r w:rsidRPr="00A224D9">
              <w:t>ations and strategies for at least one domestic scale building project or equivalent in compliance with relevant legislation</w:t>
            </w:r>
          </w:p>
          <w:p w:rsidR="00000000" w:rsidRPr="00A224D9" w:rsidP="00A224D9">
            <w:pPr>
              <w:pStyle w:val="ListBullet"/>
            </w:pPr>
            <w:r w:rsidRPr="00A224D9">
              <w:t>provide reports to appropriate body/individual as determined by the project brief.</w:t>
            </w:r>
          </w:p>
          <w:p w:rsidR="00000000" w:rsidP="00A224D9">
            <w:pPr>
              <w:pStyle w:val="ListBullet"/>
              <w:rPr>
                <w:lang w:val="en-NZ"/>
              </w:rPr>
            </w:pPr>
            <w:r w:rsidRPr="00A224D9">
              <w:t>apply strategic plans, workplace policies and pr</w:t>
            </w:r>
            <w:r w:rsidRPr="00A224D9">
              <w:t>ocedures.</w:t>
            </w:r>
          </w:p>
        </w:tc>
      </w:tr>
      <w:tr w:rsidTr="007823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Context of and specific resources for assessment</w:t>
            </w:r>
          </w:p>
        </w:tc>
        <w:tc>
          <w:tcPr>
            <w:tcW w:w="5016"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This competency is to be assessed using standard and authorised work practices, safety requirements and environmental constraints.</w:t>
            </w:r>
          </w:p>
          <w:p w:rsidR="00000000" w:rsidRPr="00A224D9" w:rsidP="00A224D9">
            <w:pPr>
              <w:pStyle w:val="BodyText"/>
            </w:pPr>
            <w:r w:rsidRPr="00A224D9">
              <w:t>Assessment of essential underpinning knowledge will usually be co</w:t>
            </w:r>
            <w:r w:rsidRPr="00A224D9">
              <w:t>nducted in an off-site context.</w:t>
            </w:r>
          </w:p>
          <w:p w:rsidR="00000000" w:rsidRPr="00A224D9" w:rsidP="00A224D9">
            <w:pPr>
              <w:pStyle w:val="BodyText"/>
            </w:pPr>
            <w:r w:rsidRPr="00A224D9">
              <w:t>Assessment is to comply with relevant regulatory or Australian standards' requirements.</w:t>
            </w:r>
          </w:p>
          <w:p w:rsidR="00000000" w:rsidRPr="00A224D9" w:rsidP="00A224D9">
            <w:pPr>
              <w:pStyle w:val="BodyText"/>
            </w:pPr>
            <w:r w:rsidRPr="00A224D9">
              <w:t>Resource implications for assessment include:</w:t>
            </w:r>
          </w:p>
          <w:p w:rsidR="00000000" w:rsidRPr="00A224D9" w:rsidP="00A224D9">
            <w:pPr>
              <w:pStyle w:val="ListBullet"/>
            </w:pPr>
            <w:r w:rsidRPr="00A224D9">
              <w:t>an induction procedure and requirement</w:t>
            </w:r>
          </w:p>
          <w:p w:rsidR="00000000" w:rsidRPr="00A224D9" w:rsidP="00A224D9">
            <w:pPr>
              <w:pStyle w:val="ListBullet"/>
            </w:pPr>
            <w:r w:rsidRPr="00A224D9">
              <w:t>realistic tasks or simulated tasks covering the man</w:t>
            </w:r>
            <w:r w:rsidRPr="00A224D9">
              <w:t>datory task requirements</w:t>
            </w:r>
          </w:p>
          <w:p w:rsidR="00000000" w:rsidRPr="00A224D9" w:rsidP="00A224D9">
            <w:pPr>
              <w:pStyle w:val="ListBullet"/>
            </w:pPr>
            <w:r w:rsidRPr="00A224D9">
              <w:t>relevant specifications and work instructions</w:t>
            </w:r>
          </w:p>
          <w:p w:rsidR="00000000" w:rsidRPr="00A224D9" w:rsidP="00A224D9">
            <w:pPr>
              <w:pStyle w:val="ListBullet"/>
            </w:pPr>
            <w:r w:rsidRPr="00A224D9">
              <w:t>tools and equipment appropriate to applying safe work practices</w:t>
            </w:r>
          </w:p>
          <w:p w:rsidR="00000000" w:rsidRPr="00A224D9" w:rsidP="00A224D9">
            <w:pPr>
              <w:pStyle w:val="ListBullet"/>
            </w:pPr>
            <w:r w:rsidRPr="00A224D9">
              <w:t>support materials appropriate to activity</w:t>
            </w:r>
          </w:p>
          <w:p w:rsidR="00000000" w:rsidRPr="00A224D9" w:rsidP="00A224D9">
            <w:pPr>
              <w:pStyle w:val="ListBullet"/>
            </w:pPr>
            <w:r w:rsidRPr="00A224D9">
              <w:t>workplace instructions relating to safe work practices and addressing hazards and emergencies</w:t>
            </w:r>
          </w:p>
          <w:p w:rsidR="00000000" w:rsidRPr="00A224D9" w:rsidP="00A224D9">
            <w:pPr>
              <w:pStyle w:val="ListBullet"/>
            </w:pPr>
            <w:r w:rsidRPr="00A224D9">
              <w:t>material safety data sheets</w:t>
            </w:r>
          </w:p>
          <w:p w:rsidR="00000000" w:rsidRPr="00A224D9" w:rsidP="00A224D9">
            <w:pPr>
              <w:pStyle w:val="ListBullet"/>
            </w:pPr>
            <w:r w:rsidRPr="00A224D9">
              <w:t>research resources, including industry related systems information.</w:t>
            </w:r>
          </w:p>
          <w:p w:rsidR="00000000" w:rsidP="00A224D9">
            <w:pPr>
              <w:pStyle w:val="BodyText"/>
              <w:rPr>
                <w:lang w:val="en-NZ"/>
              </w:rPr>
            </w:pPr>
            <w:r w:rsidRPr="00A224D9">
              <w:t>Reasonable adjustments for people with disabilities must be made t</w:t>
            </w:r>
            <w:r w:rsidRPr="00A224D9">
              <w:t xml:space="preserve">o assessment processes where required. This could include access to modified equipment and other physical resources, and the provision of appropriate assessment support. </w:t>
            </w:r>
          </w:p>
        </w:tc>
      </w:tr>
      <w:tr w:rsidTr="00782320">
        <w:tblPrEx>
          <w:tblW w:w="0" w:type="auto"/>
          <w:tblLayout w:type="fixed"/>
          <w:tblCellMar>
            <w:left w:w="62" w:type="dxa"/>
            <w:right w:w="62" w:type="dxa"/>
          </w:tblCellMar>
          <w:tblLook w:val="0000"/>
        </w:tblPrEx>
        <w:tc>
          <w:tcPr>
            <w:tcW w:w="3506"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Method of assessment</w:t>
            </w:r>
          </w:p>
        </w:tc>
        <w:tc>
          <w:tcPr>
            <w:tcW w:w="5016"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Assessment methods must:</w:t>
            </w:r>
          </w:p>
          <w:p w:rsidR="00000000" w:rsidRPr="00A224D9" w:rsidP="00A224D9">
            <w:pPr>
              <w:pStyle w:val="ListBullet"/>
            </w:pPr>
            <w:r w:rsidRPr="00A224D9">
              <w:t>satisfy the endorsed Assessment Guidel</w:t>
            </w:r>
            <w:r w:rsidRPr="00A224D9">
              <w:t>ines of the Construction, Plumbing and Services Training Package</w:t>
            </w:r>
          </w:p>
          <w:p w:rsidR="00000000" w:rsidRPr="00A224D9" w:rsidP="00A224D9">
            <w:pPr>
              <w:pStyle w:val="ListBullet"/>
            </w:pPr>
            <w:r w:rsidRPr="00A224D9">
              <w:t>include direct observation of tasks in real or simulated work conditions, with questioning to confirm the ability to consistently identify and correctly interpret the essential underpinning k</w:t>
            </w:r>
            <w:r w:rsidRPr="00A224D9">
              <w:t>nowledge required for practical application</w:t>
            </w:r>
          </w:p>
          <w:p w:rsidR="00000000" w:rsidRPr="00A224D9" w:rsidP="00A224D9">
            <w:pPr>
              <w:pStyle w:val="ListBullet"/>
            </w:pPr>
            <w:r w:rsidRPr="00A224D9">
              <w:t>reinforce the integration of employability skills with workplace tasks and job roles</w:t>
            </w:r>
          </w:p>
          <w:p w:rsidR="00000000" w:rsidRPr="00A224D9" w:rsidP="00A224D9">
            <w:pPr>
              <w:pStyle w:val="ListBullet"/>
            </w:pPr>
            <w:r w:rsidRPr="00A224D9">
              <w:t>confirm that competency is verified and able to be transferred to other circumstances and environments.</w:t>
            </w:r>
          </w:p>
          <w:p w:rsidR="00000000" w:rsidRPr="00A224D9" w:rsidP="00A224D9">
            <w:pPr>
              <w:pStyle w:val="BodyText"/>
            </w:pPr>
            <w:r w:rsidRPr="00A224D9">
              <w:t>Validity and sufficienc</w:t>
            </w:r>
            <w:r w:rsidRPr="00A224D9">
              <w:t>y of evidence requires that:</w:t>
            </w:r>
          </w:p>
          <w:p w:rsidR="00000000" w:rsidRPr="00A224D9" w:rsidP="00A224D9">
            <w:pPr>
              <w:pStyle w:val="ListBullet"/>
            </w:pPr>
            <w:r w:rsidRPr="00A224D9">
              <w:t>competency will need to be demonstrated over a period of time reflecting the scope of the role and the practical requirements of the workplace</w:t>
            </w:r>
          </w:p>
          <w:p w:rsidR="00000000" w:rsidRPr="00A224D9" w:rsidP="00A224D9">
            <w:pPr>
              <w:pStyle w:val="ListBullet"/>
            </w:pPr>
            <w:r w:rsidRPr="00A224D9">
              <w:t>where the assessment is part of a structured learning experience the evidence collec</w:t>
            </w:r>
            <w:r w:rsidRPr="00A224D9">
              <w:t>ted must relate to a number of performances assessed at different points in time and separated by further learning and practice, with a decision on competency only taken at the point when the assessor has complete confidence in the person's demonstrated ab</w:t>
            </w:r>
            <w:r w:rsidRPr="00A224D9">
              <w:t>ility and applied knowledge</w:t>
            </w:r>
          </w:p>
          <w:p w:rsidR="00000000" w:rsidRPr="00A224D9" w:rsidP="00A224D9">
            <w:pPr>
              <w:pStyle w:val="ListBullet"/>
            </w:pPr>
            <w:r w:rsidRPr="00A224D9">
              <w:t>all assessment that is part of a structured learning experience must include a combination of direct, indirect and supplementary evidence.</w:t>
            </w:r>
          </w:p>
          <w:p w:rsidR="00000000" w:rsidRPr="00A224D9" w:rsidP="00A224D9">
            <w:pPr>
              <w:pStyle w:val="BodyText"/>
            </w:pPr>
            <w:r w:rsidRPr="00A224D9">
              <w:t>Assessment processes and techniques should as far as is practical take into account the l</w:t>
            </w:r>
            <w:r w:rsidRPr="00A224D9">
              <w:t>anguage, literacy and numeracy capacity of the candidate in relation to the competency being assessed.</w:t>
            </w:r>
          </w:p>
          <w:p w:rsidR="00000000" w:rsidRPr="00A224D9" w:rsidP="00A224D9">
            <w:pPr>
              <w:pStyle w:val="BodyText"/>
            </w:pPr>
            <w:r w:rsidRPr="00A224D9">
              <w:t>Supplementary evidence of competency may be obtained from relevant authenticated documentation from third parties, such as existing supervisors, team lea</w:t>
            </w:r>
            <w:r w:rsidRPr="00A224D9">
              <w:t xml:space="preserve">ders or specialist training staff. </w:t>
            </w:r>
          </w:p>
        </w:tc>
      </w:tr>
    </w:tbl>
    <w:p w:rsidR="00782320" w:rsidP="00A224D9">
      <w:pPr>
        <w:pStyle w:val="BodyText"/>
      </w:pPr>
    </w:p>
    <w:p w:rsidR="00782320" w:rsidP="00A224D9">
      <w:pPr>
        <w:pStyle w:val="BodyText"/>
      </w:pPr>
    </w:p>
    <w:p w:rsidR="00000000" w:rsidRPr="00A224D9" w:rsidP="00A224D9">
      <w:pPr>
        <w:pStyle w:val="Heading1"/>
      </w:pPr>
      <w:bookmarkStart w:id="11" w:name="O_250412"/>
      <w:bookmarkEnd w:id="11"/>
      <w:r w:rsidRPr="00A224D9">
        <w:t>Range Statement</w:t>
      </w:r>
    </w:p>
    <w:tbl>
      <w:tblPr>
        <w:tblW w:w="0" w:type="auto"/>
        <w:tblLayout w:type="fixed"/>
        <w:tblCellMar>
          <w:left w:w="62" w:type="dxa"/>
          <w:right w:w="62" w:type="dxa"/>
        </w:tblCellMar>
        <w:tblLook w:val="0000"/>
      </w:tblPr>
      <w:tblGrid>
        <w:gridCol w:w="3509"/>
        <w:gridCol w:w="5013"/>
      </w:tblGrid>
      <w:tr w:rsidTr="0078232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A224D9">
            <w:pPr>
              <w:pStyle w:val="BodyText"/>
              <w:rPr>
                <w:lang w:val="en-NZ"/>
              </w:rPr>
            </w:pPr>
            <w:r w:rsidRPr="00A224D9">
              <w:rPr>
                <w:rStyle w:val="SpecialBold"/>
              </w:rPr>
              <w:t>RANGE STATEMENT</w:t>
            </w:r>
          </w:p>
        </w:tc>
      </w:tr>
      <w:tr w:rsidTr="0078232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A224D9">
            <w:pPr>
              <w:pStyle w:val="BodyText"/>
              <w:rPr>
                <w:lang w:val="en-NZ"/>
              </w:rPr>
            </w:pPr>
            <w:r w:rsidRPr="00A224D9">
              <w:t xml:space="preserve">The range statement relates to the unit of competency as a whole. It allows for different work environments and situations that may affect </w:t>
            </w:r>
            <w:r w:rsidRPr="00A224D9">
              <w:t>performance. Bold italicised wording, if used in the performance criteria, is detailed below. Essential operating conditions that may be present with training and assessment (depending on the work situation, needs of the candidate, accessibility of the ite</w:t>
            </w:r>
            <w:r w:rsidRPr="00A224D9">
              <w:t>m, and local industry and regional contexts) may also be included.</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Properties of materials</w:t>
            </w:r>
            <w:r w:rsidRPr="00A224D9">
              <w:t xml:space="preserve"> include:</w:t>
            </w:r>
          </w:p>
        </w:tc>
        <w:tc>
          <w:tcPr>
            <w:tcW w:w="5013" w:type="dxa"/>
            <w:tcBorders>
              <w:top w:val="nil"/>
              <w:left w:val="nil"/>
              <w:bottom w:val="nil"/>
              <w:right w:val="nil"/>
            </w:tcBorders>
            <w:tcMar>
              <w:top w:w="0" w:type="dxa"/>
              <w:left w:w="62" w:type="dxa"/>
              <w:bottom w:w="0" w:type="dxa"/>
              <w:right w:w="62" w:type="dxa"/>
            </w:tcMar>
          </w:tcPr>
          <w:p w:rsidR="00000000" w:rsidRPr="00A224D9" w:rsidP="00A224D9">
            <w:pPr>
              <w:pStyle w:val="ListBullet"/>
            </w:pPr>
            <w:r w:rsidRPr="00A224D9">
              <w:t>environmental considerations</w:t>
            </w:r>
          </w:p>
          <w:p w:rsidR="00000000" w:rsidP="00A224D9">
            <w:pPr>
              <w:pStyle w:val="ListBullet"/>
              <w:rPr>
                <w:lang w:val="en-NZ"/>
              </w:rPr>
            </w:pPr>
            <w:r w:rsidRPr="00A224D9">
              <w:t>adherence to legislative requirements for the BCA.</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Domestic scale building projects requiring evaluation</w:t>
            </w:r>
            <w:r w:rsidRPr="00A224D9">
              <w:t xml:space="preserve"> include:</w:t>
            </w:r>
          </w:p>
        </w:tc>
        <w:tc>
          <w:tcPr>
            <w:tcW w:w="5013" w:type="dxa"/>
            <w:tcBorders>
              <w:top w:val="nil"/>
              <w:left w:val="nil"/>
              <w:bottom w:val="nil"/>
              <w:right w:val="nil"/>
            </w:tcBorders>
            <w:tcMar>
              <w:top w:w="0" w:type="dxa"/>
              <w:left w:w="62" w:type="dxa"/>
              <w:bottom w:w="0" w:type="dxa"/>
              <w:right w:w="62" w:type="dxa"/>
            </w:tcMar>
          </w:tcPr>
          <w:p w:rsidR="00000000" w:rsidRPr="00A224D9" w:rsidP="00A224D9">
            <w:pPr>
              <w:pStyle w:val="ListBullet"/>
            </w:pPr>
            <w:r w:rsidRPr="00A224D9">
              <w:t>domestic scale buildings, including existing and proposed structures</w:t>
            </w:r>
          </w:p>
          <w:p w:rsidR="00000000" w:rsidP="00A224D9">
            <w:pPr>
              <w:pStyle w:val="ListBullet"/>
              <w:rPr>
                <w:lang w:val="en-NZ"/>
              </w:rPr>
            </w:pPr>
            <w:r w:rsidRPr="00A224D9">
              <w:t>provision of site access/facilities, work schedules and project milestones.</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Adherence to legislative requirements</w:t>
            </w:r>
            <w:r w:rsidRPr="00A224D9">
              <w:t xml:space="preserve"> is limited to:</w:t>
            </w:r>
          </w:p>
        </w:tc>
        <w:tc>
          <w:tcPr>
            <w:tcW w:w="5013" w:type="dxa"/>
            <w:tcBorders>
              <w:top w:val="nil"/>
              <w:left w:val="nil"/>
              <w:bottom w:val="nil"/>
              <w:right w:val="nil"/>
            </w:tcBorders>
            <w:tcMar>
              <w:top w:w="0" w:type="dxa"/>
              <w:left w:w="62" w:type="dxa"/>
              <w:bottom w:w="0" w:type="dxa"/>
              <w:right w:w="62" w:type="dxa"/>
            </w:tcMar>
          </w:tcPr>
          <w:p w:rsidR="00000000" w:rsidP="00A224D9">
            <w:pPr>
              <w:pStyle w:val="ListBullet"/>
              <w:rPr>
                <w:lang w:val="en-NZ"/>
              </w:rPr>
            </w:pPr>
            <w:r w:rsidRPr="00A224D9">
              <w:t>domestic scale buildings (similar in characteristics to t</w:t>
            </w:r>
            <w:r w:rsidRPr="00A224D9">
              <w:t>hose of residential dwellings in terms of loading, construction and size and may include small industrial, commercial and public buildings).</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Types of structures</w:t>
            </w:r>
            <w:r w:rsidRPr="00A224D9">
              <w:t xml:space="preserve"> include:</w:t>
            </w:r>
          </w:p>
        </w:tc>
        <w:tc>
          <w:tcPr>
            <w:tcW w:w="5013" w:type="dxa"/>
            <w:tcBorders>
              <w:top w:val="nil"/>
              <w:left w:val="nil"/>
              <w:bottom w:val="nil"/>
              <w:right w:val="nil"/>
            </w:tcBorders>
            <w:tcMar>
              <w:top w:w="0" w:type="dxa"/>
              <w:left w:w="62" w:type="dxa"/>
              <w:bottom w:w="0" w:type="dxa"/>
              <w:right w:w="62" w:type="dxa"/>
            </w:tcMar>
          </w:tcPr>
          <w:p w:rsidR="00000000" w:rsidRPr="00A224D9" w:rsidP="00A224D9">
            <w:pPr>
              <w:pStyle w:val="ListBullet"/>
            </w:pPr>
            <w:r w:rsidRPr="00A224D9">
              <w:t>residential structures with concrete skeleton and slabs</w:t>
            </w:r>
          </w:p>
          <w:p w:rsidR="00000000" w:rsidRPr="00A224D9" w:rsidP="00A224D9">
            <w:pPr>
              <w:pStyle w:val="ListBullet"/>
            </w:pPr>
            <w:r w:rsidRPr="00A224D9">
              <w:t>residential structures with s</w:t>
            </w:r>
            <w:r w:rsidRPr="00A224D9">
              <w:t>teel and metallic column and member construction</w:t>
            </w:r>
          </w:p>
          <w:p w:rsidR="00000000" w:rsidRPr="00A224D9" w:rsidP="00A224D9">
            <w:pPr>
              <w:pStyle w:val="ListBullet"/>
            </w:pPr>
            <w:r w:rsidRPr="00A224D9">
              <w:t>residential structures with timber and other composite material construction</w:t>
            </w:r>
          </w:p>
          <w:p w:rsidR="00000000" w:rsidP="00A224D9">
            <w:pPr>
              <w:pStyle w:val="ListBullet"/>
              <w:rPr>
                <w:lang w:val="en-NZ"/>
              </w:rPr>
            </w:pPr>
            <w:r w:rsidRPr="00A224D9">
              <w:t>residential structures constructed from non-metallic materials.</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Materials</w:t>
            </w:r>
            <w:r w:rsidRPr="00A224D9">
              <w:t xml:space="preserve"> include:</w:t>
            </w:r>
          </w:p>
        </w:tc>
        <w:tc>
          <w:tcPr>
            <w:tcW w:w="5013" w:type="dxa"/>
            <w:tcBorders>
              <w:top w:val="nil"/>
              <w:left w:val="nil"/>
              <w:bottom w:val="nil"/>
              <w:right w:val="nil"/>
            </w:tcBorders>
            <w:tcMar>
              <w:top w:w="0" w:type="dxa"/>
              <w:left w:w="62" w:type="dxa"/>
              <w:bottom w:w="0" w:type="dxa"/>
              <w:right w:w="62" w:type="dxa"/>
            </w:tcMar>
          </w:tcPr>
          <w:p w:rsidR="00000000" w:rsidRPr="00A224D9" w:rsidP="00A224D9">
            <w:pPr>
              <w:pStyle w:val="ListBullet"/>
            </w:pPr>
            <w:r w:rsidRPr="00A224D9">
              <w:t>adhesives and sealants</w:t>
            </w:r>
          </w:p>
          <w:p w:rsidR="00000000" w:rsidRPr="00A224D9" w:rsidP="00A224D9">
            <w:pPr>
              <w:pStyle w:val="ListBullet"/>
            </w:pPr>
            <w:r w:rsidRPr="00A224D9">
              <w:t>admixtures</w:t>
            </w:r>
          </w:p>
          <w:p w:rsidR="00000000" w:rsidRPr="00A224D9" w:rsidP="00A224D9">
            <w:pPr>
              <w:pStyle w:val="ListBullet"/>
            </w:pPr>
            <w:r w:rsidRPr="00A224D9">
              <w:t>clay products</w:t>
            </w:r>
          </w:p>
          <w:p w:rsidR="00000000" w:rsidRPr="00A224D9" w:rsidP="00A224D9">
            <w:pPr>
              <w:pStyle w:val="ListBullet"/>
            </w:pPr>
            <w:r w:rsidRPr="00A224D9">
              <w:t>concrete and concrete products</w:t>
            </w:r>
          </w:p>
          <w:p w:rsidR="00000000" w:rsidRPr="00A224D9" w:rsidP="00A224D9">
            <w:pPr>
              <w:pStyle w:val="ListBullet"/>
            </w:pPr>
            <w:r w:rsidRPr="00A224D9">
              <w:t>glass</w:t>
            </w:r>
          </w:p>
          <w:p w:rsidR="00000000" w:rsidRPr="00A224D9" w:rsidP="00A224D9">
            <w:pPr>
              <w:pStyle w:val="ListBullet"/>
            </w:pPr>
            <w:r w:rsidRPr="00A224D9">
              <w:t>masonry</w:t>
            </w:r>
          </w:p>
          <w:p w:rsidR="00000000" w:rsidRPr="00A224D9" w:rsidP="00A224D9">
            <w:pPr>
              <w:pStyle w:val="ListBullet"/>
            </w:pPr>
            <w:r w:rsidRPr="00A224D9">
              <w:t>metal</w:t>
            </w:r>
          </w:p>
          <w:p w:rsidR="00000000" w:rsidRPr="00A224D9" w:rsidP="00A224D9">
            <w:pPr>
              <w:pStyle w:val="ListBullet"/>
            </w:pPr>
            <w:r w:rsidRPr="00A224D9">
              <w:t>mortar for load bearing walls</w:t>
            </w:r>
          </w:p>
          <w:p w:rsidR="00000000" w:rsidRPr="00A224D9" w:rsidP="00A224D9">
            <w:pPr>
              <w:pStyle w:val="ListBullet"/>
            </w:pPr>
            <w:r w:rsidRPr="00A224D9">
              <w:t>new relevant proprietary materials</w:t>
            </w:r>
          </w:p>
          <w:p w:rsidR="00000000" w:rsidRPr="00A224D9" w:rsidP="00A224D9">
            <w:pPr>
              <w:pStyle w:val="ListBullet"/>
            </w:pPr>
            <w:r w:rsidRPr="00A224D9">
              <w:t>plaster and plasterboard</w:t>
            </w:r>
          </w:p>
          <w:p w:rsidR="00000000" w:rsidRPr="00A224D9" w:rsidP="00A224D9">
            <w:pPr>
              <w:pStyle w:val="ListBullet"/>
            </w:pPr>
            <w:r w:rsidRPr="00A224D9">
              <w:t>plastic</w:t>
            </w:r>
          </w:p>
          <w:p w:rsidR="00000000" w:rsidRPr="00A224D9" w:rsidP="00A224D9">
            <w:pPr>
              <w:pStyle w:val="ListBullet"/>
            </w:pPr>
            <w:r w:rsidRPr="00A224D9">
              <w:t>pre-stressed structural concrete components</w:t>
            </w:r>
          </w:p>
          <w:p w:rsidR="00000000" w:rsidRPr="00A224D9" w:rsidP="00A224D9">
            <w:pPr>
              <w:pStyle w:val="ListBullet"/>
            </w:pPr>
            <w:r w:rsidRPr="00A224D9">
              <w:t>protective and fire-rated protective coatings</w:t>
            </w:r>
          </w:p>
          <w:p w:rsidR="00000000" w:rsidP="00A224D9">
            <w:pPr>
              <w:pStyle w:val="ListBullet"/>
              <w:rPr>
                <w:lang w:val="en-NZ"/>
              </w:rPr>
            </w:pPr>
            <w:r w:rsidRPr="00A224D9">
              <w:t>tim</w:t>
            </w:r>
            <w:r w:rsidRPr="00A224D9">
              <w:t>ber and timber products.</w:t>
            </w:r>
          </w:p>
        </w:tc>
      </w:tr>
      <w:tr w:rsidTr="00782320">
        <w:tblPrEx>
          <w:tblW w:w="0" w:type="auto"/>
          <w:tblLayout w:type="fixed"/>
          <w:tblCellMar>
            <w:left w:w="62" w:type="dxa"/>
            <w:right w:w="62" w:type="dxa"/>
          </w:tblCellMar>
          <w:tblLook w:val="0000"/>
        </w:tblPrEx>
        <w:tc>
          <w:tcPr>
            <w:tcW w:w="3509"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BoldandItalics"/>
              </w:rPr>
              <w:t>Standard specifications</w:t>
            </w:r>
            <w:r w:rsidRPr="00A224D9">
              <w:t xml:space="preserve"> include industry standard specifications and may be:</w:t>
            </w:r>
          </w:p>
        </w:tc>
        <w:tc>
          <w:tcPr>
            <w:tcW w:w="5013" w:type="dxa"/>
            <w:tcBorders>
              <w:top w:val="nil"/>
              <w:left w:val="nil"/>
              <w:bottom w:val="nil"/>
              <w:right w:val="nil"/>
            </w:tcBorders>
            <w:tcMar>
              <w:top w:w="0" w:type="dxa"/>
              <w:left w:w="62" w:type="dxa"/>
              <w:bottom w:w="0" w:type="dxa"/>
              <w:right w:w="62" w:type="dxa"/>
            </w:tcMar>
          </w:tcPr>
          <w:p w:rsidR="00000000" w:rsidRPr="00A224D9" w:rsidP="00A224D9">
            <w:pPr>
              <w:pStyle w:val="ListBullet"/>
            </w:pPr>
            <w:r w:rsidRPr="00A224D9">
              <w:t>preliminary or outline specifications</w:t>
            </w:r>
          </w:p>
          <w:p w:rsidR="00000000" w:rsidRPr="00A224D9" w:rsidP="00A224D9">
            <w:pPr>
              <w:pStyle w:val="ListBullet"/>
            </w:pPr>
            <w:r w:rsidRPr="00A224D9">
              <w:t>developed specifications</w:t>
            </w:r>
          </w:p>
          <w:p w:rsidR="00000000" w:rsidRPr="00A224D9" w:rsidP="00A224D9">
            <w:pPr>
              <w:pStyle w:val="ListBullet"/>
            </w:pPr>
            <w:r w:rsidRPr="00A224D9">
              <w:t>detailed specifications addressing specific components such as structural or other require</w:t>
            </w:r>
            <w:r w:rsidRPr="00A224D9">
              <w:t>ments.</w:t>
            </w:r>
          </w:p>
        </w:tc>
      </w:tr>
    </w:tbl>
    <w:p w:rsidR="00782320" w:rsidP="00A224D9">
      <w:pPr>
        <w:pStyle w:val="BodyText"/>
      </w:pPr>
    </w:p>
    <w:p w:rsidR="00782320" w:rsidP="00A224D9">
      <w:pPr>
        <w:pStyle w:val="BodyText"/>
      </w:pPr>
    </w:p>
    <w:p w:rsidR="00000000" w:rsidRPr="00A224D9" w:rsidP="00A224D9">
      <w:pPr>
        <w:pStyle w:val="Heading1"/>
      </w:pPr>
      <w:bookmarkStart w:id="12" w:name="O_198905"/>
      <w:bookmarkEnd w:id="12"/>
      <w:r w:rsidRPr="00A224D9">
        <w:t>Unit Sector(s)</w:t>
      </w:r>
    </w:p>
    <w:tbl>
      <w:tblPr>
        <w:tblW w:w="0" w:type="auto"/>
        <w:tblLayout w:type="fixed"/>
        <w:tblCellMar>
          <w:left w:w="62" w:type="dxa"/>
          <w:right w:w="62" w:type="dxa"/>
        </w:tblCellMar>
        <w:tblLook w:val="0000"/>
      </w:tblPr>
      <w:tblGrid>
        <w:gridCol w:w="2604"/>
        <w:gridCol w:w="5918"/>
      </w:tblGrid>
      <w:tr w:rsidTr="00782320">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Unit sector</w:t>
            </w:r>
          </w:p>
        </w:tc>
        <w:tc>
          <w:tcPr>
            <w:tcW w:w="5918" w:type="dxa"/>
            <w:tcBorders>
              <w:top w:val="nil"/>
              <w:left w:val="nil"/>
              <w:bottom w:val="nil"/>
              <w:right w:val="nil"/>
            </w:tcBorders>
            <w:tcMar>
              <w:top w:w="0" w:type="dxa"/>
              <w:left w:w="62" w:type="dxa"/>
              <w:bottom w:w="0" w:type="dxa"/>
              <w:right w:w="62" w:type="dxa"/>
            </w:tcMar>
          </w:tcPr>
          <w:p w:rsidR="00000000" w:rsidRPr="00A224D9" w:rsidP="00A224D9">
            <w:pPr>
              <w:pStyle w:val="BodyText"/>
            </w:pPr>
            <w:r w:rsidRPr="00A224D9">
              <w:t>Construction</w:t>
            </w:r>
          </w:p>
        </w:tc>
      </w:tr>
    </w:tbl>
    <w:p w:rsidR="00782320" w:rsidP="00A224D9">
      <w:pPr>
        <w:pStyle w:val="BodyText"/>
      </w:pPr>
    </w:p>
    <w:p w:rsidR="00782320" w:rsidP="00A224D9">
      <w:pPr>
        <w:pStyle w:val="BodyText"/>
      </w:pPr>
    </w:p>
    <w:p w:rsidR="00000000" w:rsidRPr="00A224D9" w:rsidP="00A224D9">
      <w:pPr>
        <w:pStyle w:val="Heading1"/>
      </w:pPr>
      <w:bookmarkStart w:id="13" w:name="O_198902"/>
      <w:bookmarkEnd w:id="13"/>
      <w:r w:rsidRPr="00A224D9">
        <w:t>Co-requisite units</w:t>
      </w:r>
    </w:p>
    <w:tbl>
      <w:tblPr>
        <w:tblW w:w="0" w:type="auto"/>
        <w:tblLayout w:type="fixed"/>
        <w:tblCellMar>
          <w:left w:w="62" w:type="dxa"/>
          <w:right w:w="62" w:type="dxa"/>
        </w:tblCellMar>
        <w:tblLook w:val="0000"/>
      </w:tblPr>
      <w:tblGrid>
        <w:gridCol w:w="2620"/>
        <w:gridCol w:w="1340"/>
        <w:gridCol w:w="4562"/>
      </w:tblGrid>
      <w:tr w:rsidTr="00782320">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t>Nil</w:t>
            </w:r>
          </w:p>
        </w:tc>
      </w:tr>
      <w:tr w:rsidTr="00782320">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p>
        </w:tc>
      </w:tr>
      <w:tr w:rsidTr="00782320">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A224D9" w:rsidP="00A224D9">
            <w:pPr>
              <w:pStyle w:val="BodyText"/>
            </w:pPr>
          </w:p>
        </w:tc>
      </w:tr>
    </w:tbl>
    <w:p w:rsidR="00782320" w:rsidP="00A224D9">
      <w:pPr>
        <w:pStyle w:val="BodyText"/>
      </w:pPr>
    </w:p>
    <w:p w:rsidR="00782320" w:rsidP="00A224D9">
      <w:pPr>
        <w:pStyle w:val="BodyText"/>
      </w:pPr>
    </w:p>
    <w:p w:rsidR="00000000" w:rsidRPr="00A224D9" w:rsidP="00A224D9">
      <w:pPr>
        <w:pStyle w:val="Heading1"/>
      </w:pPr>
      <w:bookmarkStart w:id="14" w:name="O_198904"/>
      <w:bookmarkEnd w:id="14"/>
      <w:r w:rsidRPr="00A224D9">
        <w:t>Functional area</w:t>
      </w:r>
    </w:p>
    <w:tbl>
      <w:tblPr>
        <w:tblW w:w="0" w:type="auto"/>
        <w:tblLayout w:type="fixed"/>
        <w:tblCellMar>
          <w:left w:w="62" w:type="dxa"/>
          <w:right w:w="62" w:type="dxa"/>
        </w:tblCellMar>
        <w:tblLook w:val="0000"/>
      </w:tblPr>
      <w:tblGrid>
        <w:gridCol w:w="2710"/>
        <w:gridCol w:w="5812"/>
      </w:tblGrid>
      <w:tr w:rsidTr="00782320">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A224D9">
            <w:pPr>
              <w:pStyle w:val="BodyText"/>
              <w:rPr>
                <w:lang w:val="en-NZ"/>
              </w:rPr>
            </w:pPr>
            <w:r w:rsidRPr="00A224D9">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A224D9" w:rsidP="00A224D9">
            <w:pPr>
              <w:pStyle w:val="BodyText"/>
            </w:pPr>
          </w:p>
        </w:tc>
      </w:tr>
    </w:tbl>
    <w:p w:rsidR="00782320" w:rsidP="00A224D9">
      <w:pPr>
        <w:pStyle w:val="BodyText"/>
      </w:pPr>
    </w:p>
    <w:p w:rsidR="00782320" w:rsidP="00A224D9">
      <w:pPr>
        <w:pStyle w:val="BodyText"/>
      </w:pPr>
    </w:p>
    <w:p w:rsidR="00000000" w:rsidRPr="00A224D9" w:rsidP="00A224D9"/>
    <w:sectPr w:rsidSect="00A224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2320" w:rsidP="0078232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20" w:rsidP="00A224D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2320" w:rsidP="00A224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82320" w:rsidP="00A224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D9" w:rsidRPr="00782320" w:rsidP="0078232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320" w:rsidRPr="002D2AF8" w:rsidP="00A224D9">
    <w:pPr>
      <w:pStyle w:val="Header"/>
      <w:framePr w:wrap="around"/>
    </w:pPr>
    <w:r>
      <w:fldChar w:fldCharType="begin"/>
    </w:r>
    <w:r>
      <w:instrText xml:space="preserve"> TITLE   \* MERGEFORMAT </w:instrText>
    </w:r>
    <w:r>
      <w:fldChar w:fldCharType="separate"/>
    </w:r>
    <w:r>
      <w:t>CPCCSV5002A Evaluate materials for construction of domestic scale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82320" w:rsidP="00A22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8E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7CC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545D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4D9"/>
    <w:pPr>
      <w:spacing w:before="360" w:after="60"/>
      <w:outlineLvl w:val="0"/>
    </w:pPr>
    <w:rPr>
      <w:sz w:val="32"/>
    </w:rPr>
  </w:style>
  <w:style w:type="paragraph" w:styleId="Heading2">
    <w:name w:val="heading 2"/>
    <w:basedOn w:val="HeadingBase"/>
    <w:next w:val="BodyText"/>
    <w:link w:val="Heading2Char"/>
    <w:qFormat/>
    <w:rsid w:val="00A224D9"/>
    <w:pPr>
      <w:keepLines/>
      <w:spacing w:before="240" w:after="120"/>
      <w:outlineLvl w:val="1"/>
    </w:pPr>
    <w:rPr>
      <w:sz w:val="28"/>
      <w:szCs w:val="40"/>
    </w:rPr>
  </w:style>
  <w:style w:type="paragraph" w:styleId="Heading3">
    <w:name w:val="heading 3"/>
    <w:basedOn w:val="HeadingBase"/>
    <w:next w:val="BodyText"/>
    <w:link w:val="Heading3Char"/>
    <w:qFormat/>
    <w:rsid w:val="00A224D9"/>
    <w:pPr>
      <w:spacing w:before="180" w:after="120"/>
      <w:outlineLvl w:val="2"/>
    </w:pPr>
    <w:rPr>
      <w:spacing w:val="-10"/>
      <w:kern w:val="32"/>
    </w:rPr>
  </w:style>
  <w:style w:type="paragraph" w:styleId="Heading4">
    <w:name w:val="heading 4"/>
    <w:basedOn w:val="HeadingBase"/>
    <w:next w:val="BodyText"/>
    <w:link w:val="Heading4Char"/>
    <w:qFormat/>
    <w:rsid w:val="00A224D9"/>
    <w:pPr>
      <w:spacing w:before="160" w:after="120"/>
      <w:outlineLvl w:val="3"/>
    </w:pPr>
    <w:rPr>
      <w:sz w:val="22"/>
    </w:rPr>
  </w:style>
  <w:style w:type="paragraph" w:styleId="Heading5">
    <w:name w:val="heading 5"/>
    <w:basedOn w:val="HeadingBase"/>
    <w:next w:val="Normal"/>
    <w:link w:val="Heading5Char"/>
    <w:qFormat/>
    <w:rsid w:val="00A224D9"/>
    <w:pPr>
      <w:spacing w:before="80"/>
      <w:outlineLvl w:val="4"/>
    </w:pPr>
    <w:rPr>
      <w:color w:val="918585"/>
      <w:sz w:val="20"/>
    </w:rPr>
  </w:style>
  <w:style w:type="paragraph" w:styleId="Heading6">
    <w:name w:val="heading 6"/>
    <w:basedOn w:val="HeadingBase"/>
    <w:next w:val="Normal"/>
    <w:link w:val="Heading6Char"/>
    <w:qFormat/>
    <w:rsid w:val="00A224D9"/>
    <w:pPr>
      <w:spacing w:before="60"/>
      <w:outlineLvl w:val="5"/>
    </w:pPr>
    <w:rPr>
      <w:color w:val="918585"/>
      <w:sz w:val="20"/>
    </w:rPr>
  </w:style>
  <w:style w:type="paragraph" w:styleId="Heading7">
    <w:name w:val="heading 7"/>
    <w:basedOn w:val="Normal"/>
    <w:next w:val="Normal"/>
    <w:link w:val="Heading7Char"/>
    <w:qFormat/>
    <w:rsid w:val="00A224D9"/>
    <w:pPr>
      <w:ind w:left="720"/>
      <w:outlineLvl w:val="6"/>
    </w:pPr>
    <w:rPr>
      <w:i/>
    </w:rPr>
  </w:style>
  <w:style w:type="paragraph" w:styleId="Heading8">
    <w:name w:val="heading 8"/>
    <w:basedOn w:val="Normal"/>
    <w:next w:val="Normal"/>
    <w:link w:val="Heading8Char"/>
    <w:qFormat/>
    <w:rsid w:val="00A224D9"/>
    <w:pPr>
      <w:ind w:left="720"/>
      <w:outlineLvl w:val="7"/>
    </w:pPr>
    <w:rPr>
      <w:i/>
    </w:rPr>
  </w:style>
  <w:style w:type="paragraph" w:styleId="Heading9">
    <w:name w:val="heading 9"/>
    <w:basedOn w:val="Normal"/>
    <w:next w:val="Normal"/>
    <w:link w:val="Heading9Char"/>
    <w:qFormat/>
    <w:rsid w:val="00A224D9"/>
    <w:pPr>
      <w:ind w:left="720"/>
      <w:outlineLvl w:val="8"/>
    </w:pPr>
    <w:rPr>
      <w:i/>
    </w:rPr>
  </w:style>
  <w:style w:type="character" w:default="1" w:styleId="DefaultParagraphFont">
    <w:name w:val="Default Paragraph Font"/>
    <w:uiPriority w:val="1"/>
    <w:unhideWhenUsed/>
    <w:rsid w:val="00A22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4D9"/>
  </w:style>
  <w:style w:type="character" w:customStyle="1" w:styleId="Heading1Char">
    <w:name w:val="Heading 1 Char"/>
    <w:basedOn w:val="DefaultParagraphFont"/>
    <w:link w:val="Heading1"/>
    <w:rsid w:val="00A224D9"/>
    <w:rPr>
      <w:rFonts w:ascii="Times New Roman" w:eastAsia="Times New Roman" w:hAnsi="Times New Roman" w:cs="Times New Roman"/>
      <w:b/>
      <w:sz w:val="32"/>
      <w:szCs w:val="20"/>
      <w:lang w:eastAsia="en-US"/>
    </w:rPr>
  </w:style>
  <w:style w:type="paragraph" w:styleId="BodyText">
    <w:name w:val="Body Text"/>
    <w:basedOn w:val="Normal"/>
    <w:link w:val="BodyTextChar"/>
    <w:rsid w:val="00A224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24D9"/>
    <w:rPr>
      <w:rFonts w:ascii="Times New Roman" w:eastAsia="Times New Roman" w:hAnsi="Times New Roman" w:cs="Times New Roman"/>
      <w:sz w:val="24"/>
      <w:lang w:eastAsia="en-US"/>
    </w:rPr>
  </w:style>
  <w:style w:type="paragraph" w:styleId="Footer">
    <w:name w:val="footer"/>
    <w:basedOn w:val="Normal"/>
    <w:link w:val="FooterChar"/>
    <w:rsid w:val="00A22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4D9"/>
    <w:rPr>
      <w:rFonts w:ascii="Times New Roman" w:eastAsia="Times New Roman" w:hAnsi="Times New Roman" w:cs="Times New Roman"/>
      <w:sz w:val="16"/>
      <w:lang w:eastAsia="en-US"/>
    </w:rPr>
  </w:style>
  <w:style w:type="paragraph" w:styleId="List">
    <w:name w:val="List"/>
    <w:basedOn w:val="BodyText"/>
    <w:next w:val="BodyText"/>
    <w:rsid w:val="00A224D9"/>
    <w:pPr>
      <w:tabs>
        <w:tab w:val="left" w:pos="340"/>
      </w:tabs>
      <w:spacing w:before="60" w:after="60"/>
      <w:ind w:left="340" w:hanging="340"/>
    </w:pPr>
  </w:style>
  <w:style w:type="paragraph" w:styleId="ListBullet">
    <w:name w:val="List Bullet"/>
    <w:basedOn w:val="List"/>
    <w:rsid w:val="00A224D9"/>
    <w:pPr>
      <w:numPr>
        <w:numId w:val="14"/>
      </w:numPr>
      <w:tabs>
        <w:tab w:val="clear" w:pos="340"/>
      </w:tabs>
      <w:spacing w:before="40" w:after="40"/>
    </w:pPr>
  </w:style>
  <w:style w:type="character" w:customStyle="1" w:styleId="SpecialBold">
    <w:name w:val="Special Bold"/>
    <w:basedOn w:val="DefaultParagraphFont"/>
    <w:rsid w:val="00A224D9"/>
    <w:rPr>
      <w:b/>
      <w:spacing w:val="0"/>
    </w:rPr>
  </w:style>
  <w:style w:type="paragraph" w:styleId="ListBullet2">
    <w:name w:val="List Bullet 2"/>
    <w:basedOn w:val="List2"/>
    <w:rsid w:val="00A224D9"/>
    <w:pPr>
      <w:numPr>
        <w:numId w:val="15"/>
      </w:numPr>
      <w:tabs>
        <w:tab w:val="clear" w:pos="680"/>
      </w:tabs>
    </w:pPr>
  </w:style>
  <w:style w:type="paragraph" w:customStyle="1" w:styleId="SuperHeading">
    <w:name w:val="SuperHeading"/>
    <w:basedOn w:val="Normal"/>
    <w:rsid w:val="00A224D9"/>
    <w:pPr>
      <w:spacing w:before="240" w:after="120"/>
      <w:outlineLvl w:val="0"/>
    </w:pPr>
    <w:rPr>
      <w:rFonts w:ascii="Times New Roman" w:hAnsi="Times New Roman"/>
      <w:b/>
      <w:sz w:val="28"/>
    </w:rPr>
  </w:style>
  <w:style w:type="paragraph" w:customStyle="1" w:styleId="AllowPageBreak">
    <w:name w:val="AllowPageBreak"/>
    <w:rsid w:val="00A224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24D9"/>
    <w:pPr>
      <w:tabs>
        <w:tab w:val="left" w:pos="680"/>
      </w:tabs>
      <w:spacing w:before="60" w:after="60"/>
      <w:ind w:left="680" w:hanging="340"/>
    </w:pPr>
  </w:style>
  <w:style w:type="paragraph" w:styleId="ListBullet3">
    <w:name w:val="List Bullet 3"/>
    <w:basedOn w:val="List3"/>
    <w:rsid w:val="00A224D9"/>
    <w:pPr>
      <w:numPr>
        <w:numId w:val="3"/>
      </w:numPr>
      <w:tabs>
        <w:tab w:val="clear" w:pos="1021"/>
      </w:tabs>
      <w:ind w:left="1037" w:hanging="357"/>
    </w:pPr>
  </w:style>
  <w:style w:type="character" w:customStyle="1" w:styleId="BoldandItalics">
    <w:name w:val="Bold and Italics"/>
    <w:qFormat/>
    <w:rsid w:val="00A224D9"/>
    <w:rPr>
      <w:b/>
      <w:i/>
      <w:u w:val="none"/>
    </w:rPr>
  </w:style>
  <w:style w:type="character" w:customStyle="1" w:styleId="Heading2Char">
    <w:name w:val="Heading 2 Char"/>
    <w:basedOn w:val="DefaultParagraphFont"/>
    <w:link w:val="Heading2"/>
    <w:rsid w:val="00A22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4D9"/>
    <w:rPr>
      <w:rFonts w:ascii="Courier New" w:eastAsia="Times New Roman" w:hAnsi="Courier New" w:cs="Times New Roman"/>
      <w:i/>
      <w:szCs w:val="20"/>
      <w:lang w:eastAsia="en-US"/>
    </w:rPr>
  </w:style>
  <w:style w:type="paragraph" w:customStyle="1" w:styleId="HeadingBase">
    <w:name w:val="Heading Base"/>
    <w:rsid w:val="00A22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4D9"/>
    <w:pPr>
      <w:tabs>
        <w:tab w:val="right" w:leader="dot" w:pos="9072"/>
      </w:tabs>
      <w:ind w:left="567"/>
    </w:pPr>
    <w:rPr>
      <w:szCs w:val="22"/>
    </w:rPr>
  </w:style>
  <w:style w:type="paragraph" w:customStyle="1" w:styleId="TOCBase">
    <w:name w:val="TOC Base"/>
    <w:rsid w:val="00A22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4D9"/>
    <w:pPr>
      <w:tabs>
        <w:tab w:val="right" w:leader="dot" w:pos="9072"/>
      </w:tabs>
      <w:spacing w:before="40" w:after="40"/>
      <w:ind w:left="284"/>
    </w:pPr>
    <w:rPr>
      <w:rFonts w:ascii="Times New Roman" w:hAnsi="Times New Roman"/>
    </w:rPr>
  </w:style>
  <w:style w:type="paragraph" w:styleId="TOC1">
    <w:name w:val="toc 1"/>
    <w:basedOn w:val="TOCBase"/>
    <w:next w:val="Normal"/>
    <w:rsid w:val="00A224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24D9"/>
    <w:pPr>
      <w:spacing w:before="5040"/>
      <w:jc w:val="center"/>
    </w:pPr>
    <w:rPr>
      <w:sz w:val="48"/>
      <w:szCs w:val="72"/>
      <w:lang w:val="en-US"/>
    </w:rPr>
  </w:style>
  <w:style w:type="character" w:customStyle="1" w:styleId="TitleChar">
    <w:name w:val="Title Char"/>
    <w:basedOn w:val="DefaultParagraphFont"/>
    <w:link w:val="Title"/>
    <w:rsid w:val="00A22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4D9"/>
    <w:pPr>
      <w:tabs>
        <w:tab w:val="left" w:pos="3600"/>
        <w:tab w:val="left" w:pos="3958"/>
      </w:tabs>
    </w:pPr>
  </w:style>
  <w:style w:type="paragraph" w:customStyle="1" w:styleId="Note">
    <w:name w:val="Note"/>
    <w:basedOn w:val="BodyText"/>
    <w:rsid w:val="00A22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24D9"/>
    <w:pPr>
      <w:framePr w:wrap="auto" w:hAnchor="text" w:y="6049"/>
    </w:pPr>
    <w:rPr>
      <w:color w:val="000000"/>
      <w:sz w:val="40"/>
    </w:rPr>
  </w:style>
  <w:style w:type="paragraph" w:customStyle="1" w:styleId="TOCTitle">
    <w:name w:val="TOCTitle"/>
    <w:basedOn w:val="Heading1"/>
    <w:rsid w:val="00A224D9"/>
    <w:pPr>
      <w:spacing w:after="240"/>
      <w:jc w:val="center"/>
      <w:outlineLvl w:val="9"/>
    </w:pPr>
    <w:rPr>
      <w:caps/>
    </w:rPr>
  </w:style>
  <w:style w:type="paragraph" w:customStyle="1" w:styleId="Version">
    <w:name w:val="Version"/>
    <w:rsid w:val="00A22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24D9"/>
    <w:pPr>
      <w:keepNext w:val="0"/>
      <w:tabs>
        <w:tab w:val="right" w:pos="4176"/>
      </w:tabs>
      <w:ind w:left="198" w:hanging="198"/>
    </w:pPr>
    <w:rPr>
      <w:rFonts w:ascii="Garamond" w:hAnsi="Garamond"/>
    </w:rPr>
  </w:style>
  <w:style w:type="paragraph" w:styleId="IndexHeading">
    <w:name w:val="index heading"/>
    <w:basedOn w:val="Normal"/>
    <w:next w:val="Index1"/>
    <w:semiHidden/>
    <w:rsid w:val="00A224D9"/>
    <w:pPr>
      <w:spacing w:before="120" w:after="120"/>
    </w:pPr>
    <w:rPr>
      <w:rFonts w:ascii="Arial" w:hAnsi="Arial"/>
      <w:b/>
      <w:color w:val="918585"/>
      <w:sz w:val="24"/>
    </w:rPr>
  </w:style>
  <w:style w:type="paragraph" w:styleId="Header">
    <w:name w:val="header"/>
    <w:basedOn w:val="Normal"/>
    <w:link w:val="HeaderChar"/>
    <w:rsid w:val="00A22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4D9"/>
    <w:rPr>
      <w:rFonts w:ascii="Times New Roman" w:eastAsia="Times New Roman" w:hAnsi="Times New Roman" w:cs="Times New Roman"/>
      <w:sz w:val="16"/>
      <w:szCs w:val="20"/>
      <w:lang w:val="en-GB" w:eastAsia="en-US"/>
    </w:rPr>
  </w:style>
  <w:style w:type="paragraph" w:customStyle="1" w:styleId="Chapter">
    <w:name w:val="Chapter"/>
    <w:basedOn w:val="Normal"/>
    <w:rsid w:val="00A224D9"/>
    <w:pPr>
      <w:spacing w:before="240"/>
    </w:pPr>
    <w:rPr>
      <w:rFonts w:ascii="Times New Roman" w:hAnsi="Times New Roman"/>
      <w:smallCaps/>
      <w:spacing w:val="80"/>
      <w:sz w:val="28"/>
    </w:rPr>
  </w:style>
  <w:style w:type="paragraph" w:customStyle="1" w:styleId="InChapter">
    <w:name w:val="InChapter"/>
    <w:basedOn w:val="Heading3"/>
    <w:rsid w:val="00A224D9"/>
    <w:pPr>
      <w:spacing w:after="240"/>
      <w:outlineLvl w:val="9"/>
    </w:pPr>
    <w:rPr>
      <w:noProof/>
    </w:rPr>
  </w:style>
  <w:style w:type="paragraph" w:styleId="Index2">
    <w:name w:val="index 2"/>
    <w:basedOn w:val="Normal"/>
    <w:next w:val="Normal"/>
    <w:semiHidden/>
    <w:rsid w:val="00A224D9"/>
    <w:pPr>
      <w:tabs>
        <w:tab w:val="right" w:pos="4176"/>
      </w:tabs>
      <w:ind w:left="568" w:hanging="284"/>
    </w:pPr>
    <w:rPr>
      <w:rFonts w:ascii="Garamond" w:hAnsi="Garamond"/>
    </w:rPr>
  </w:style>
  <w:style w:type="paragraph" w:customStyle="1" w:styleId="Byline">
    <w:name w:val="Byline"/>
    <w:rsid w:val="00A22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4D9"/>
    <w:pPr>
      <w:tabs>
        <w:tab w:val="clear" w:pos="3600"/>
        <w:tab w:val="clear" w:pos="3958"/>
      </w:tabs>
      <w:jc w:val="right"/>
    </w:pPr>
  </w:style>
  <w:style w:type="character" w:styleId="Emphasis">
    <w:name w:val="Emphasis"/>
    <w:basedOn w:val="DefaultParagraphFont"/>
    <w:qFormat/>
    <w:rsid w:val="00A224D9"/>
    <w:rPr>
      <w:i/>
    </w:rPr>
  </w:style>
  <w:style w:type="paragraph" w:styleId="Caption">
    <w:name w:val="caption"/>
    <w:basedOn w:val="BodyText"/>
    <w:next w:val="Normal"/>
    <w:qFormat/>
    <w:rsid w:val="00A224D9"/>
    <w:pPr>
      <w:framePr w:w="2268" w:hSpace="181" w:vSpace="181" w:wrap="around" w:vAnchor="text" w:hAnchor="page" w:x="1135" w:y="285" w:anchorLock="1"/>
    </w:pPr>
    <w:rPr>
      <w:i/>
    </w:rPr>
  </w:style>
  <w:style w:type="paragraph" w:customStyle="1" w:styleId="MiniTOCTitle">
    <w:name w:val="MiniTOCTitle"/>
    <w:basedOn w:val="Heading4"/>
    <w:rsid w:val="00A224D9"/>
    <w:pPr>
      <w:spacing w:before="240"/>
      <w:outlineLvl w:val="9"/>
    </w:pPr>
    <w:rPr>
      <w:noProof/>
      <w:sz w:val="24"/>
    </w:rPr>
  </w:style>
  <w:style w:type="paragraph" w:customStyle="1" w:styleId="MiniTOCItem">
    <w:name w:val="MiniTOCItem"/>
    <w:basedOn w:val="ListBullet"/>
    <w:rsid w:val="00A224D9"/>
    <w:pPr>
      <w:numPr>
        <w:numId w:val="0"/>
      </w:numPr>
      <w:tabs>
        <w:tab w:val="right" w:leader="dot" w:pos="6521"/>
      </w:tabs>
      <w:spacing w:before="0" w:after="0"/>
    </w:pPr>
  </w:style>
  <w:style w:type="paragraph" w:customStyle="1" w:styleId="TOFTitle">
    <w:name w:val="TOFTitle"/>
    <w:basedOn w:val="TOCTitle"/>
    <w:rsid w:val="00A224D9"/>
  </w:style>
  <w:style w:type="paragraph" w:styleId="TableofFigures">
    <w:name w:val="table of figures"/>
    <w:basedOn w:val="Normal"/>
    <w:next w:val="Normal"/>
    <w:semiHidden/>
    <w:rsid w:val="00A224D9"/>
    <w:pPr>
      <w:tabs>
        <w:tab w:val="right" w:leader="dot" w:pos="9072"/>
      </w:tabs>
      <w:ind w:left="970" w:hanging="403"/>
    </w:pPr>
    <w:rPr>
      <w:rFonts w:ascii="Times New Roman" w:hAnsi="Times New Roman"/>
      <w:b/>
    </w:rPr>
  </w:style>
  <w:style w:type="paragraph" w:styleId="ListNumber">
    <w:name w:val="List Number"/>
    <w:basedOn w:val="List"/>
    <w:rsid w:val="00A224D9"/>
    <w:pPr>
      <w:numPr>
        <w:numId w:val="12"/>
      </w:numPr>
    </w:pPr>
  </w:style>
  <w:style w:type="character" w:customStyle="1" w:styleId="WingdingSymbols">
    <w:name w:val="Wingding Symbols"/>
    <w:rsid w:val="00A224D9"/>
    <w:rPr>
      <w:rFonts w:ascii="Wingdings" w:hAnsi="Wingdings"/>
    </w:rPr>
  </w:style>
  <w:style w:type="paragraph" w:customStyle="1" w:styleId="TableHeading">
    <w:name w:val="Table Heading"/>
    <w:basedOn w:val="HeadingBase"/>
    <w:rsid w:val="00A224D9"/>
    <w:pPr>
      <w:keepLines/>
      <w:pBdr>
        <w:bottom w:val="single" w:sz="6" w:space="1" w:color="918585"/>
      </w:pBdr>
      <w:spacing w:before="240"/>
    </w:pPr>
  </w:style>
  <w:style w:type="character" w:customStyle="1" w:styleId="HotSpot">
    <w:name w:val="HotSpot"/>
    <w:rsid w:val="00A224D9"/>
    <w:rPr>
      <w:color w:val="0033CC"/>
      <w:u w:val="none"/>
    </w:rPr>
  </w:style>
  <w:style w:type="paragraph" w:customStyle="1" w:styleId="BodyTextRight">
    <w:name w:val="Body Text Right"/>
    <w:basedOn w:val="BodyText"/>
    <w:rsid w:val="00A224D9"/>
    <w:pPr>
      <w:spacing w:before="0" w:after="0"/>
      <w:jc w:val="right"/>
    </w:pPr>
  </w:style>
  <w:style w:type="paragraph" w:styleId="Index3">
    <w:name w:val="index 3"/>
    <w:basedOn w:val="ListNumber2"/>
    <w:next w:val="Normal"/>
    <w:semiHidden/>
    <w:rsid w:val="00A224D9"/>
    <w:pPr>
      <w:numPr>
        <w:numId w:val="0"/>
      </w:numPr>
      <w:tabs>
        <w:tab w:val="right" w:leader="dot" w:pos="4176"/>
      </w:tabs>
    </w:pPr>
  </w:style>
  <w:style w:type="paragraph" w:styleId="ListNumber2">
    <w:name w:val="List Number 2"/>
    <w:basedOn w:val="List2"/>
    <w:rsid w:val="00A224D9"/>
    <w:pPr>
      <w:numPr>
        <w:numId w:val="11"/>
      </w:numPr>
      <w:tabs>
        <w:tab w:val="clear" w:pos="1060"/>
      </w:tabs>
    </w:pPr>
  </w:style>
  <w:style w:type="paragraph" w:customStyle="1" w:styleId="MarginNote">
    <w:name w:val="Margin Note"/>
    <w:basedOn w:val="BodyText"/>
    <w:rsid w:val="00A22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4D9"/>
    <w:rPr>
      <w:sz w:val="32"/>
    </w:rPr>
  </w:style>
  <w:style w:type="paragraph" w:customStyle="1" w:styleId="HeadingProcedure">
    <w:name w:val="Heading Procedure"/>
    <w:basedOn w:val="HeadingBase"/>
    <w:next w:val="Normal"/>
    <w:rsid w:val="00A224D9"/>
    <w:pPr>
      <w:tabs>
        <w:tab w:val="left" w:pos="0"/>
      </w:tabs>
      <w:spacing w:before="120" w:after="60"/>
    </w:pPr>
    <w:rPr>
      <w:i/>
      <w:color w:val="918585"/>
      <w:sz w:val="22"/>
    </w:rPr>
  </w:style>
  <w:style w:type="paragraph" w:customStyle="1" w:styleId="TableBodyText">
    <w:name w:val="Table Body Text"/>
    <w:basedOn w:val="BodyText"/>
    <w:rsid w:val="00A224D9"/>
    <w:pPr>
      <w:spacing w:before="60" w:after="60"/>
    </w:pPr>
  </w:style>
  <w:style w:type="paragraph" w:styleId="ListContinue">
    <w:name w:val="List Continue"/>
    <w:basedOn w:val="List"/>
    <w:rsid w:val="00A224D9"/>
    <w:pPr>
      <w:ind w:firstLine="0"/>
    </w:pPr>
  </w:style>
  <w:style w:type="paragraph" w:customStyle="1" w:styleId="ListNote">
    <w:name w:val="List Note"/>
    <w:basedOn w:val="List"/>
    <w:rsid w:val="00A224D9"/>
    <w:pPr>
      <w:pBdr>
        <w:top w:val="single" w:sz="6" w:space="2" w:color="918585"/>
        <w:bottom w:val="single" w:sz="6" w:space="2" w:color="918585"/>
      </w:pBdr>
      <w:tabs>
        <w:tab w:val="left" w:pos="1021"/>
      </w:tabs>
      <w:ind w:firstLine="0"/>
    </w:pPr>
  </w:style>
  <w:style w:type="paragraph" w:customStyle="1" w:styleId="Warning">
    <w:name w:val="Warning"/>
    <w:basedOn w:val="BodyText"/>
    <w:rsid w:val="00A224D9"/>
    <w:pPr>
      <w:shd w:val="clear" w:color="auto" w:fill="D9D9D9"/>
      <w:tabs>
        <w:tab w:val="left" w:pos="992"/>
      </w:tabs>
      <w:ind w:left="119" w:right="119"/>
    </w:pPr>
    <w:rPr>
      <w:sz w:val="20"/>
    </w:rPr>
  </w:style>
  <w:style w:type="paragraph" w:customStyle="1" w:styleId="MarginIcons">
    <w:name w:val="Margin Icons"/>
    <w:basedOn w:val="BodyText"/>
    <w:rsid w:val="00A22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4D9"/>
    <w:rPr>
      <w:rFonts w:ascii="Courier New" w:hAnsi="Courier New"/>
    </w:rPr>
  </w:style>
  <w:style w:type="paragraph" w:customStyle="1" w:styleId="NoteBullet">
    <w:name w:val="Note Bullet"/>
    <w:basedOn w:val="Note"/>
    <w:rsid w:val="00A224D9"/>
    <w:pPr>
      <w:tabs>
        <w:tab w:val="clear" w:pos="680"/>
      </w:tabs>
      <w:spacing w:before="60" w:after="60"/>
    </w:pPr>
  </w:style>
  <w:style w:type="paragraph" w:customStyle="1" w:styleId="SubHeading2">
    <w:name w:val="SubHeading2"/>
    <w:basedOn w:val="HeadingBase"/>
    <w:rsid w:val="00A224D9"/>
    <w:pPr>
      <w:spacing w:before="240" w:after="60"/>
    </w:pPr>
    <w:rPr>
      <w:sz w:val="20"/>
    </w:rPr>
  </w:style>
  <w:style w:type="paragraph" w:customStyle="1" w:styleId="SubHeading1">
    <w:name w:val="SubHeading1"/>
    <w:basedOn w:val="HeadingBase"/>
    <w:rsid w:val="00A224D9"/>
    <w:pPr>
      <w:spacing w:before="240" w:after="60"/>
    </w:pPr>
    <w:rPr>
      <w:color w:val="918585"/>
      <w:sz w:val="22"/>
    </w:rPr>
  </w:style>
  <w:style w:type="paragraph" w:customStyle="1" w:styleId="SideHeading">
    <w:name w:val="Side Heading"/>
    <w:basedOn w:val="HeadingBase"/>
    <w:rsid w:val="00A22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4D9"/>
    <w:pPr>
      <w:numPr>
        <w:numId w:val="13"/>
      </w:numPr>
    </w:pPr>
  </w:style>
  <w:style w:type="paragraph" w:styleId="PlainText">
    <w:name w:val="Plain Text"/>
    <w:basedOn w:val="Normal"/>
    <w:link w:val="PlainTextChar"/>
    <w:rsid w:val="00A224D9"/>
    <w:rPr>
      <w:sz w:val="20"/>
    </w:rPr>
  </w:style>
  <w:style w:type="character" w:customStyle="1" w:styleId="PlainTextChar">
    <w:name w:val="Plain Text Char"/>
    <w:basedOn w:val="DefaultParagraphFont"/>
    <w:link w:val="PlainText"/>
    <w:rsid w:val="00A224D9"/>
    <w:rPr>
      <w:rFonts w:ascii="Courier New" w:eastAsia="Times New Roman" w:hAnsi="Courier New" w:cs="Times New Roman"/>
      <w:sz w:val="20"/>
      <w:szCs w:val="20"/>
      <w:lang w:eastAsia="en-US"/>
    </w:rPr>
  </w:style>
  <w:style w:type="character" w:customStyle="1" w:styleId="MenuOption">
    <w:name w:val="Menu Option"/>
    <w:basedOn w:val="DefaultParagraphFont"/>
    <w:rsid w:val="00A224D9"/>
    <w:rPr>
      <w:b/>
      <w:smallCaps/>
    </w:rPr>
  </w:style>
  <w:style w:type="paragraph" w:customStyle="1" w:styleId="TableListNumber">
    <w:name w:val="Table List Number"/>
    <w:basedOn w:val="ListNumber"/>
    <w:rsid w:val="00A224D9"/>
    <w:pPr>
      <w:numPr>
        <w:numId w:val="0"/>
      </w:numPr>
    </w:pPr>
  </w:style>
  <w:style w:type="paragraph" w:styleId="TOC4">
    <w:name w:val="toc 4"/>
    <w:basedOn w:val="TOCBase"/>
    <w:next w:val="Normal"/>
    <w:semiHidden/>
    <w:rsid w:val="00A224D9"/>
    <w:pPr>
      <w:tabs>
        <w:tab w:val="right" w:leader="dot" w:pos="9071"/>
      </w:tabs>
      <w:ind w:left="1701"/>
    </w:pPr>
  </w:style>
  <w:style w:type="paragraph" w:customStyle="1" w:styleId="ListAlpha">
    <w:name w:val="List Alpha"/>
    <w:basedOn w:val="List"/>
    <w:rsid w:val="00A224D9"/>
    <w:pPr>
      <w:numPr>
        <w:numId w:val="10"/>
      </w:numPr>
    </w:pPr>
  </w:style>
  <w:style w:type="paragraph" w:customStyle="1" w:styleId="ListAlpha2">
    <w:name w:val="List Alpha 2"/>
    <w:basedOn w:val="List2"/>
    <w:rsid w:val="00A224D9"/>
    <w:pPr>
      <w:numPr>
        <w:numId w:val="9"/>
      </w:numPr>
    </w:pPr>
  </w:style>
  <w:style w:type="paragraph" w:styleId="List3">
    <w:name w:val="List 3"/>
    <w:basedOn w:val="BodyText"/>
    <w:rsid w:val="00A224D9"/>
    <w:pPr>
      <w:tabs>
        <w:tab w:val="left" w:pos="1021"/>
      </w:tabs>
      <w:spacing w:before="60" w:after="60"/>
      <w:ind w:left="1020" w:hanging="340"/>
    </w:pPr>
  </w:style>
  <w:style w:type="paragraph" w:styleId="List4">
    <w:name w:val="List 4"/>
    <w:basedOn w:val="BodyText"/>
    <w:rsid w:val="00A224D9"/>
    <w:pPr>
      <w:tabs>
        <w:tab w:val="left" w:pos="1361"/>
      </w:tabs>
      <w:spacing w:before="60" w:after="60"/>
      <w:ind w:left="1361" w:hanging="340"/>
    </w:pPr>
  </w:style>
  <w:style w:type="paragraph" w:styleId="List5">
    <w:name w:val="List 5"/>
    <w:basedOn w:val="BodyText"/>
    <w:rsid w:val="00A224D9"/>
    <w:pPr>
      <w:tabs>
        <w:tab w:val="left" w:pos="1701"/>
      </w:tabs>
      <w:spacing w:before="60" w:after="60"/>
      <w:ind w:left="1701" w:hanging="340"/>
    </w:pPr>
  </w:style>
  <w:style w:type="paragraph" w:styleId="ListBullet4">
    <w:name w:val="List Bullet 4"/>
    <w:basedOn w:val="List4"/>
    <w:rsid w:val="00A224D9"/>
    <w:pPr>
      <w:numPr>
        <w:numId w:val="4"/>
      </w:numPr>
    </w:pPr>
  </w:style>
  <w:style w:type="paragraph" w:styleId="ListBullet5">
    <w:name w:val="List Bullet 5"/>
    <w:basedOn w:val="List5"/>
    <w:rsid w:val="00A224D9"/>
    <w:pPr>
      <w:numPr>
        <w:numId w:val="5"/>
      </w:numPr>
    </w:pPr>
  </w:style>
  <w:style w:type="paragraph" w:styleId="ListContinue2">
    <w:name w:val="List Continue 2"/>
    <w:basedOn w:val="List2"/>
    <w:rsid w:val="00A224D9"/>
    <w:pPr>
      <w:ind w:firstLine="0"/>
    </w:pPr>
  </w:style>
  <w:style w:type="paragraph" w:styleId="ListContinue3">
    <w:name w:val="List Continue 3"/>
    <w:basedOn w:val="List3"/>
    <w:rsid w:val="00A224D9"/>
    <w:pPr>
      <w:ind w:left="1021" w:firstLine="0"/>
    </w:pPr>
  </w:style>
  <w:style w:type="paragraph" w:styleId="ListContinue4">
    <w:name w:val="List Continue 4"/>
    <w:basedOn w:val="List4"/>
    <w:rsid w:val="00A224D9"/>
    <w:pPr>
      <w:ind w:firstLine="0"/>
    </w:pPr>
  </w:style>
  <w:style w:type="paragraph" w:styleId="ListContinue5">
    <w:name w:val="List Continue 5"/>
    <w:basedOn w:val="List5"/>
    <w:rsid w:val="00A224D9"/>
    <w:pPr>
      <w:ind w:firstLine="0"/>
    </w:pPr>
  </w:style>
  <w:style w:type="paragraph" w:styleId="ListNumber3">
    <w:name w:val="List Number 3"/>
    <w:basedOn w:val="List3"/>
    <w:rsid w:val="00A224D9"/>
    <w:pPr>
      <w:numPr>
        <w:numId w:val="6"/>
      </w:numPr>
    </w:pPr>
  </w:style>
  <w:style w:type="paragraph" w:styleId="ListNumber4">
    <w:name w:val="List Number 4"/>
    <w:basedOn w:val="List4"/>
    <w:rsid w:val="00A224D9"/>
    <w:pPr>
      <w:numPr>
        <w:numId w:val="7"/>
      </w:numPr>
    </w:pPr>
  </w:style>
  <w:style w:type="paragraph" w:styleId="ListNumber5">
    <w:name w:val="List Number 5"/>
    <w:basedOn w:val="List5"/>
    <w:rsid w:val="00A224D9"/>
    <w:pPr>
      <w:numPr>
        <w:numId w:val="8"/>
      </w:numPr>
    </w:pPr>
  </w:style>
  <w:style w:type="paragraph" w:styleId="BlockText">
    <w:name w:val="Block Text"/>
    <w:basedOn w:val="Normal"/>
    <w:rsid w:val="00A224D9"/>
    <w:pPr>
      <w:spacing w:after="120"/>
      <w:ind w:left="1440" w:right="1440"/>
    </w:pPr>
  </w:style>
  <w:style w:type="character" w:customStyle="1" w:styleId="Subscript">
    <w:name w:val="Subscript"/>
    <w:basedOn w:val="DefaultParagraphFont"/>
    <w:rsid w:val="00A224D9"/>
    <w:rPr>
      <w:sz w:val="16"/>
      <w:vertAlign w:val="subscript"/>
    </w:rPr>
  </w:style>
  <w:style w:type="character" w:customStyle="1" w:styleId="Superscript">
    <w:name w:val="Superscript"/>
    <w:basedOn w:val="DefaultParagraphFont"/>
    <w:rsid w:val="00A224D9"/>
    <w:rPr>
      <w:sz w:val="16"/>
      <w:vertAlign w:val="superscript"/>
    </w:rPr>
  </w:style>
  <w:style w:type="character" w:customStyle="1" w:styleId="Symbols">
    <w:name w:val="Symbols"/>
    <w:basedOn w:val="DefaultParagraphFont"/>
    <w:rsid w:val="00A224D9"/>
    <w:rPr>
      <w:rFonts w:ascii="Symbol" w:hAnsi="Symbol"/>
    </w:rPr>
  </w:style>
  <w:style w:type="character" w:customStyle="1" w:styleId="MenuOptions">
    <w:name w:val="Menu Options"/>
    <w:basedOn w:val="DefaultParagraphFont"/>
    <w:rsid w:val="00A224D9"/>
    <w:rPr>
      <w:rFonts w:ascii="Arial Narrow" w:hAnsi="Arial Narrow"/>
      <w:smallCaps/>
    </w:rPr>
  </w:style>
  <w:style w:type="character" w:customStyle="1" w:styleId="Buttons">
    <w:name w:val="Buttons"/>
    <w:basedOn w:val="DefaultParagraphFont"/>
    <w:rsid w:val="00A224D9"/>
    <w:rPr>
      <w:b/>
    </w:rPr>
  </w:style>
  <w:style w:type="character" w:customStyle="1" w:styleId="Underlined">
    <w:name w:val="Underlined"/>
    <w:basedOn w:val="DefaultParagraphFont"/>
    <w:rsid w:val="00A224D9"/>
    <w:rPr>
      <w:u w:val="single"/>
    </w:rPr>
  </w:style>
  <w:style w:type="paragraph" w:customStyle="1" w:styleId="TableBodyTextRight">
    <w:name w:val="Table Body Text Right"/>
    <w:basedOn w:val="TableBodyText"/>
    <w:rsid w:val="00A224D9"/>
    <w:pPr>
      <w:widowControl w:val="0"/>
      <w:autoSpaceDE w:val="0"/>
      <w:autoSpaceDN w:val="0"/>
      <w:adjustRightInd w:val="0"/>
      <w:jc w:val="right"/>
    </w:pPr>
    <w:rPr>
      <w:rFonts w:cs="Arial"/>
      <w:szCs w:val="18"/>
    </w:rPr>
  </w:style>
  <w:style w:type="paragraph" w:customStyle="1" w:styleId="CopyrightText">
    <w:name w:val="Copyright Text"/>
    <w:basedOn w:val="BodyText"/>
    <w:rsid w:val="00A224D9"/>
    <w:rPr>
      <w:sz w:val="18"/>
    </w:rPr>
  </w:style>
  <w:style w:type="paragraph" w:customStyle="1" w:styleId="BodySmallRight">
    <w:name w:val="Body Small Right"/>
    <w:basedOn w:val="BodyTextRight"/>
    <w:rsid w:val="00A224D9"/>
    <w:rPr>
      <w:sz w:val="18"/>
      <w:szCs w:val="18"/>
    </w:rPr>
  </w:style>
  <w:style w:type="paragraph" w:customStyle="1" w:styleId="MarginEdition">
    <w:name w:val="Margin Edition"/>
    <w:basedOn w:val="MarginNote"/>
    <w:rsid w:val="00A224D9"/>
    <w:pPr>
      <w:spacing w:before="0" w:after="0"/>
    </w:pPr>
    <w:rPr>
      <w:rFonts w:ascii="Times New Roman" w:hAnsi="Times New Roman"/>
      <w:color w:val="999999"/>
    </w:rPr>
  </w:style>
  <w:style w:type="paragraph" w:customStyle="1" w:styleId="Spacer">
    <w:name w:val="Spacer"/>
    <w:basedOn w:val="Normal"/>
    <w:rsid w:val="00A224D9"/>
    <w:rPr>
      <w:sz w:val="2"/>
      <w:szCs w:val="2"/>
    </w:rPr>
  </w:style>
  <w:style w:type="character" w:customStyle="1" w:styleId="Small">
    <w:name w:val="Small"/>
    <w:basedOn w:val="DefaultParagraphFont"/>
    <w:rsid w:val="00A224D9"/>
    <w:rPr>
      <w:sz w:val="16"/>
    </w:rPr>
  </w:style>
  <w:style w:type="paragraph" w:customStyle="1" w:styleId="WideTable">
    <w:name w:val="Wide Table"/>
    <w:basedOn w:val="Normal"/>
    <w:rsid w:val="00A224D9"/>
    <w:pPr>
      <w:ind w:left="-1418"/>
    </w:pPr>
    <w:rPr>
      <w:sz w:val="2"/>
      <w:szCs w:val="2"/>
    </w:rPr>
  </w:style>
  <w:style w:type="character" w:styleId="PageNumber">
    <w:name w:val="page number"/>
    <w:basedOn w:val="DefaultParagraphFont"/>
    <w:rsid w:val="00A224D9"/>
  </w:style>
  <w:style w:type="paragraph" w:styleId="Quote">
    <w:name w:val="Quote"/>
    <w:basedOn w:val="Heading1"/>
    <w:link w:val="QuoteChar"/>
    <w:qFormat/>
    <w:rsid w:val="00A224D9"/>
    <w:rPr>
      <w:b w:val="0"/>
      <w:sz w:val="72"/>
      <w:szCs w:val="72"/>
      <w:lang w:val="en-NZ"/>
    </w:rPr>
  </w:style>
  <w:style w:type="character" w:customStyle="1" w:styleId="QuoteChar">
    <w:name w:val="Quote Char"/>
    <w:basedOn w:val="DefaultParagraphFont"/>
    <w:link w:val="Quote"/>
    <w:rsid w:val="00A22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4D9"/>
    <w:pPr>
      <w:pageBreakBefore/>
    </w:pPr>
  </w:style>
  <w:style w:type="paragraph" w:customStyle="1" w:styleId="Border">
    <w:name w:val="Border"/>
    <w:basedOn w:val="Normal"/>
    <w:qFormat/>
    <w:rsid w:val="00A22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4D9"/>
    <w:rPr>
      <w:b/>
      <w:bCs/>
      <w:i/>
      <w:iCs/>
      <w:color w:val="auto"/>
    </w:rPr>
  </w:style>
  <w:style w:type="paragraph" w:styleId="IntenseQuote">
    <w:name w:val="Intense Quote"/>
    <w:basedOn w:val="Normal"/>
    <w:next w:val="Normal"/>
    <w:link w:val="IntenseQuoteChar"/>
    <w:uiPriority w:val="30"/>
    <w:qFormat/>
    <w:rsid w:val="00A22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4D9"/>
    <w:rPr>
      <w:smallCaps/>
      <w:color w:val="auto"/>
      <w:u w:val="single"/>
    </w:rPr>
  </w:style>
  <w:style w:type="character" w:styleId="IntenseReference">
    <w:name w:val="Intense Reference"/>
    <w:basedOn w:val="DefaultParagraphFont"/>
    <w:uiPriority w:val="32"/>
    <w:qFormat/>
    <w:rsid w:val="00A224D9"/>
    <w:rPr>
      <w:b/>
      <w:bCs/>
      <w:smallCaps/>
      <w:color w:val="auto"/>
      <w:spacing w:val="5"/>
      <w:u w:val="single"/>
    </w:rPr>
  </w:style>
  <w:style w:type="paragraph" w:customStyle="1" w:styleId="2ColumnHeading">
    <w:name w:val="2Column Heading"/>
    <w:basedOn w:val="BodyText"/>
    <w:qFormat/>
    <w:rsid w:val="00A224D9"/>
    <w:pPr>
      <w:spacing w:after="60"/>
      <w:ind w:left="-2268"/>
    </w:pPr>
    <w:rPr>
      <w:b/>
    </w:rPr>
  </w:style>
  <w:style w:type="paragraph" w:customStyle="1" w:styleId="Heading1TOC">
    <w:name w:val="Heading1 TOC"/>
    <w:basedOn w:val="Normal"/>
    <w:qFormat/>
    <w:rsid w:val="00A224D9"/>
    <w:pPr>
      <w:spacing w:before="240" w:after="120"/>
    </w:pPr>
    <w:rPr>
      <w:rFonts w:ascii="Times New Roman" w:hAnsi="Times New Roman"/>
      <w:b/>
      <w:sz w:val="32"/>
    </w:rPr>
  </w:style>
  <w:style w:type="paragraph" w:customStyle="1" w:styleId="Heading2TOC">
    <w:name w:val="Heading2 TOC"/>
    <w:basedOn w:val="Normal"/>
    <w:qFormat/>
    <w:rsid w:val="00A224D9"/>
    <w:pPr>
      <w:spacing w:before="240" w:after="60"/>
    </w:pPr>
    <w:rPr>
      <w:rFonts w:ascii="Times New Roman" w:hAnsi="Times New Roman"/>
      <w:b/>
      <w:sz w:val="28"/>
    </w:rPr>
  </w:style>
  <w:style w:type="character" w:customStyle="1" w:styleId="Underline">
    <w:name w:val="Underline"/>
    <w:basedOn w:val="DefaultParagraphFont"/>
    <w:qFormat/>
    <w:rsid w:val="00A224D9"/>
    <w:rPr>
      <w:u w:val="single"/>
    </w:rPr>
  </w:style>
  <w:style w:type="paragraph" w:styleId="BalloonText">
    <w:name w:val="Balloon Text"/>
    <w:basedOn w:val="Normal"/>
    <w:link w:val="BalloonTextChar"/>
    <w:rsid w:val="00A224D9"/>
    <w:rPr>
      <w:rFonts w:ascii="Tahoma" w:hAnsi="Tahoma" w:cs="Tahoma"/>
      <w:sz w:val="16"/>
      <w:szCs w:val="16"/>
    </w:rPr>
  </w:style>
  <w:style w:type="character" w:customStyle="1" w:styleId="BalloonTextChar">
    <w:name w:val="Balloon Text Char"/>
    <w:basedOn w:val="DefaultParagraphFont"/>
    <w:link w:val="BalloonText"/>
    <w:rsid w:val="00A22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4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2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4D9"/>
    <w:rPr>
      <w:b/>
      <w:color w:val="660033"/>
      <w:spacing w:val="0"/>
    </w:rPr>
  </w:style>
  <w:style w:type="paragraph" w:customStyle="1" w:styleId="Nameditemlist">
    <w:name w:val="Named item list"/>
    <w:basedOn w:val="BodyText"/>
    <w:qFormat/>
    <w:rsid w:val="00A224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1443</Words>
  <Characters>9457</Characters>
  <Application>Microsoft Office Word</Application>
  <DocSecurity>0</DocSecurity>
  <Lines>327</Lines>
  <Paragraphs>152</Paragraphs>
  <ScaleCrop>false</ScaleCrop>
  <Company>Author-it Software Corporation Ltd.</Company>
  <LinksUpToDate>false</LinksUpToDate>
  <CharactersWithSpaces>10827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CPCCSV5002A Evaluate materials for construction of domestic scale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2012-10-05T15:08:00Z</dcterms:created>
  <dcterms:modified xsi:type="dcterms:W3CDTF">2012-10-05T15:08:00Z</dcterms:modified>
</cp:coreProperties>
</file>