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FA0" w:rsidP="00475FA0">
      <w:pPr>
        <w:pStyle w:val="Title"/>
      </w:pPr>
      <w:r>
        <w:fldChar w:fldCharType="begin"/>
      </w:r>
      <w:r>
        <w:instrText xml:space="preserve"> TITLE   \* MERGEFORMAT </w:instrText>
      </w:r>
      <w:r>
        <w:fldChar w:fldCharType="separate"/>
      </w:r>
      <w:r>
        <w:t>CPCCST3018A Inlay lead to stone</w:t>
      </w:r>
      <w:r>
        <w:fldChar w:fldCharType="end"/>
      </w:r>
    </w:p>
    <w:p w:rsidR="00475FA0" w:rsidP="00475FA0">
      <w:pPr>
        <w:pStyle w:val="Version"/>
        <w:sectPr w:rsidSect="006D2A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AC6" w:rsidP="006D2AC6">
      <w:pPr>
        <w:pStyle w:val="SuperHeading"/>
      </w:pPr>
      <w:r w:rsidRPr="006D2AC6">
        <w:t>CPCCST3018A Inlay lead to stone</w:t>
      </w:r>
    </w:p>
    <w:p w:rsidR="00000000" w:rsidRPr="006D2AC6" w:rsidP="006D2AC6">
      <w:pPr>
        <w:pStyle w:val="Heading1"/>
      </w:pPr>
      <w:bookmarkStart w:id="1" w:name="O_618424"/>
      <w:bookmarkEnd w:id="1"/>
      <w:r w:rsidRPr="006D2AC6">
        <w:t>Modification History</w:t>
      </w:r>
    </w:p>
    <w:p w:rsidR="00000000" w:rsidRPr="006D2AC6" w:rsidP="006D2AC6">
      <w:pPr>
        <w:pStyle w:val="BodyText"/>
      </w:pPr>
      <w:r w:rsidRPr="006D2AC6">
        <w:t>New unit based on superseded unit CPCCST3008A</w:t>
      </w:r>
    </w:p>
    <w:p w:rsidR="00000000" w:rsidRPr="006D2AC6" w:rsidP="006D2AC6">
      <w:pPr>
        <w:pStyle w:val="BodyText"/>
      </w:pPr>
      <w:r w:rsidRPr="006D2AC6">
        <w:t>This version first released with CPC08 Construction, Plumbing and Services Training Package Version 9.</w:t>
      </w:r>
    </w:p>
    <w:p w:rsidR="00475FA0" w:rsidP="006D2AC6">
      <w:pPr>
        <w:pStyle w:val="BodyText"/>
      </w:pPr>
      <w:r w:rsidRPr="006D2AC6">
        <w:t>Not equivalent to CPCCST3008A Inlay lead to stone</w:t>
      </w:r>
    </w:p>
    <w:p w:rsidR="00475FA0" w:rsidP="006D2AC6">
      <w:pPr>
        <w:pStyle w:val="BodyText"/>
      </w:pPr>
    </w:p>
    <w:p w:rsidR="00000000" w:rsidRPr="006D2AC6" w:rsidP="006D2AC6">
      <w:pPr>
        <w:pStyle w:val="Heading1"/>
      </w:pPr>
      <w:bookmarkStart w:id="2" w:name="O_618425"/>
      <w:bookmarkEnd w:id="2"/>
      <w:r w:rsidRPr="006D2AC6">
        <w:t>Unit Descriptor</w:t>
      </w:r>
    </w:p>
    <w:p w:rsidR="00000000" w:rsidRPr="006D2AC6" w:rsidP="006D2AC6">
      <w:pPr>
        <w:pStyle w:val="BodyText"/>
      </w:pPr>
      <w:r w:rsidRPr="006D2AC6">
        <w:t>Th</w:t>
      </w:r>
      <w:r w:rsidRPr="006D2AC6">
        <w:t>is unit of competency specifies the outcomes required to inlay lead to lettering or shapes carved into stone surfaces. The unit may include working with others and in a team.</w:t>
      </w:r>
    </w:p>
    <w:p w:rsidR="00000000" w:rsidRPr="006D2AC6" w:rsidP="006D2AC6">
      <w:pPr>
        <w:pStyle w:val="AllowPageBreak"/>
      </w:pPr>
    </w:p>
    <w:p w:rsidR="00000000" w:rsidRPr="006D2AC6" w:rsidP="006D2AC6">
      <w:pPr>
        <w:pStyle w:val="Heading1"/>
      </w:pPr>
      <w:bookmarkStart w:id="3" w:name="O_618426"/>
      <w:bookmarkEnd w:id="3"/>
      <w:r w:rsidRPr="006D2AC6">
        <w:t>Application of the Unit</w:t>
      </w:r>
    </w:p>
    <w:p w:rsidR="00000000" w:rsidRPr="006D2AC6" w:rsidP="006D2AC6">
      <w:pPr>
        <w:pStyle w:val="BodyText"/>
      </w:pPr>
      <w:r w:rsidRPr="006D2AC6">
        <w:t>This unit of competency applies to stone</w:t>
      </w:r>
      <w:r w:rsidRPr="006D2AC6">
        <w:t>masons who inlay solid lead into stone.</w:t>
      </w:r>
    </w:p>
    <w:p w:rsidR="00000000" w:rsidRPr="006D2AC6" w:rsidP="006D2AC6">
      <w:pPr>
        <w:pStyle w:val="AllowPageBreak"/>
      </w:pPr>
    </w:p>
    <w:p w:rsidR="00000000" w:rsidRPr="006D2AC6" w:rsidP="006D2AC6">
      <w:pPr>
        <w:pStyle w:val="Heading1"/>
      </w:pPr>
      <w:bookmarkStart w:id="4" w:name="O_618427"/>
      <w:bookmarkEnd w:id="4"/>
      <w:r w:rsidRPr="006D2AC6">
        <w:t>Licensing/Regulatory Information</w:t>
      </w:r>
    </w:p>
    <w:p w:rsidR="00000000" w:rsidRPr="006D2AC6" w:rsidP="006D2AC6">
      <w:pPr>
        <w:pStyle w:val="BodyText"/>
      </w:pPr>
      <w:r w:rsidRPr="006D2AC6">
        <w:t>Check with relevant state and territory licensing and regulatory authorities. State and territory jurisdictions may have different regulatory requirements for work ca</w:t>
      </w:r>
      <w:r w:rsidRPr="006D2AC6">
        <w:t>rried out on heritage structures.</w:t>
      </w:r>
    </w:p>
    <w:p w:rsidR="00000000" w:rsidRPr="006D2AC6" w:rsidP="006D2AC6">
      <w:pPr>
        <w:pStyle w:val="AllowPageBreak"/>
      </w:pPr>
    </w:p>
    <w:p w:rsidR="00000000" w:rsidRPr="006D2AC6" w:rsidP="006D2AC6">
      <w:pPr>
        <w:pStyle w:val="Heading1"/>
      </w:pPr>
      <w:bookmarkStart w:id="5" w:name="O_618428"/>
      <w:bookmarkEnd w:id="5"/>
      <w:r w:rsidRPr="006D2AC6">
        <w:t>Pre-Requisites</w:t>
      </w:r>
    </w:p>
    <w:tbl>
      <w:tblPr>
        <w:tblW w:w="0" w:type="auto"/>
        <w:tblLayout w:type="fixed"/>
        <w:tblCellMar>
          <w:left w:w="62" w:type="dxa"/>
          <w:right w:w="62" w:type="dxa"/>
        </w:tblCellMar>
        <w:tblLook w:val="0000"/>
      </w:tblPr>
      <w:tblGrid>
        <w:gridCol w:w="2513"/>
        <w:gridCol w:w="6513"/>
      </w:tblGrid>
      <w:tr w:rsidTr="006D2AC6">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CPCCOHS2001A</w:t>
            </w:r>
          </w:p>
        </w:tc>
        <w:tc>
          <w:tcPr>
            <w:tcW w:w="6513" w:type="dxa"/>
            <w:tcBorders>
              <w:top w:val="nil"/>
              <w:left w:val="nil"/>
              <w:bottom w:val="nil"/>
              <w:right w:val="nil"/>
            </w:tcBorders>
            <w:tcMar>
              <w:top w:w="0" w:type="dxa"/>
              <w:left w:w="62" w:type="dxa"/>
              <w:bottom w:w="0" w:type="dxa"/>
              <w:right w:w="62" w:type="dxa"/>
            </w:tcMar>
          </w:tcPr>
          <w:p w:rsidR="00000000" w:rsidRPr="006D2AC6" w:rsidP="006D2AC6">
            <w:pPr>
              <w:pStyle w:val="BodyText"/>
            </w:pPr>
            <w:r w:rsidRPr="006D2AC6">
              <w:t>Apply OHS requirements, policies and procedures in the construction industry</w:t>
            </w:r>
          </w:p>
        </w:tc>
      </w:tr>
    </w:tbl>
    <w:p w:rsidR="00000000" w:rsidRPr="006D2AC6" w:rsidP="006D2AC6">
      <w:pPr>
        <w:pStyle w:val="BodyText"/>
      </w:pPr>
    </w:p>
    <w:p w:rsidR="00000000" w:rsidRPr="006D2AC6" w:rsidP="006D2AC6">
      <w:pPr>
        <w:pStyle w:val="AllowPageBreak"/>
      </w:pPr>
    </w:p>
    <w:p w:rsidR="00000000" w:rsidRPr="006D2AC6" w:rsidP="006D2AC6">
      <w:pPr>
        <w:pStyle w:val="Heading1"/>
      </w:pPr>
      <w:bookmarkStart w:id="6" w:name="O_618429"/>
      <w:bookmarkEnd w:id="6"/>
      <w:r w:rsidRPr="006D2AC6">
        <w:t>Employability Skills Information</w:t>
      </w:r>
    </w:p>
    <w:p w:rsidR="00000000" w:rsidRPr="006D2AC6" w:rsidP="006D2AC6">
      <w:pPr>
        <w:pStyle w:val="BodyText"/>
      </w:pPr>
      <w:r w:rsidRPr="006D2AC6">
        <w:t>This unit contains employability skills.</w:t>
      </w:r>
    </w:p>
    <w:p w:rsidR="00000000" w:rsidRPr="006D2AC6" w:rsidP="006D2AC6">
      <w:pPr>
        <w:pStyle w:val="AllowPageBreak"/>
      </w:pPr>
    </w:p>
    <w:p w:rsidR="00000000" w:rsidRPr="006D2AC6" w:rsidP="006D2AC6">
      <w:pPr>
        <w:pStyle w:val="Heading1"/>
      </w:pPr>
      <w:bookmarkStart w:id="7" w:name="O_618430"/>
      <w:bookmarkEnd w:id="7"/>
      <w:r w:rsidRPr="006D2AC6">
        <w:t>Elements and Performance Criteria Pre-Content</w:t>
      </w:r>
    </w:p>
    <w:tbl>
      <w:tblPr>
        <w:tblW w:w="0" w:type="auto"/>
        <w:tblLayout w:type="fixed"/>
        <w:tblCellMar>
          <w:left w:w="62" w:type="dxa"/>
          <w:right w:w="62" w:type="dxa"/>
        </w:tblCellMar>
        <w:tblLook w:val="0000"/>
      </w:tblPr>
      <w:tblGrid>
        <w:gridCol w:w="2838"/>
        <w:gridCol w:w="5842"/>
      </w:tblGrid>
      <w:tr w:rsidTr="006D2AC6">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6D2AC6" w:rsidP="006D2AC6">
            <w:pPr>
              <w:pStyle w:val="BodyText"/>
            </w:pPr>
            <w:r w:rsidRPr="006D2AC6">
              <w:t xml:space="preserve">Performance criteria describe the required performance needed to demonstrate achievement of the element. Where </w:t>
            </w:r>
            <w:r w:rsidRPr="006D2AC6">
              <w:rPr>
                <w:rStyle w:val="BoldandItalics"/>
              </w:rPr>
              <w:t>bold italicised</w:t>
            </w:r>
            <w:r w:rsidRPr="006D2AC6">
              <w:t xml:space="preserve"> t</w:t>
            </w:r>
            <w:r w:rsidRPr="006D2AC6">
              <w:t>ext is used, further information is detailed in the required skills and knowledge and/or the range statement. Assessment of performance is to be consistent with the evidence guide.</w:t>
            </w:r>
          </w:p>
        </w:tc>
      </w:tr>
    </w:tbl>
    <w:p w:rsidR="00000000" w:rsidRPr="006D2AC6" w:rsidP="006D2AC6">
      <w:pPr>
        <w:pStyle w:val="BodyText"/>
      </w:pPr>
    </w:p>
    <w:p w:rsidR="00000000" w:rsidRPr="006D2AC6" w:rsidP="006D2AC6">
      <w:pPr>
        <w:pStyle w:val="AllowPageBreak"/>
      </w:pPr>
    </w:p>
    <w:p w:rsidR="00000000" w:rsidRPr="006D2AC6" w:rsidP="006D2AC6">
      <w:pPr>
        <w:pStyle w:val="Heading1"/>
      </w:pPr>
      <w:bookmarkStart w:id="8" w:name="O_618431"/>
      <w:bookmarkEnd w:id="8"/>
      <w:r w:rsidRPr="006D2AC6">
        <w:t>Elements and Performance Criteria</w:t>
      </w:r>
    </w:p>
    <w:p w:rsidR="00000000" w:rsidRPr="006D2AC6" w:rsidP="006D2AC6">
      <w:pPr>
        <w:pStyle w:val="BodyText"/>
      </w:pPr>
    </w:p>
    <w:tbl>
      <w:tblPr>
        <w:tblW w:w="0" w:type="auto"/>
        <w:tblLayout w:type="fixed"/>
        <w:tblCellMar>
          <w:left w:w="62" w:type="dxa"/>
          <w:right w:w="62" w:type="dxa"/>
        </w:tblCellMar>
        <w:tblLook w:val="0000"/>
      </w:tblPr>
      <w:tblGrid>
        <w:gridCol w:w="678"/>
        <w:gridCol w:w="1962"/>
        <w:gridCol w:w="770"/>
        <w:gridCol w:w="5610"/>
      </w:tblGrid>
      <w:tr w:rsidTr="006D2AC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1</w:t>
            </w:r>
          </w:p>
        </w:tc>
        <w:tc>
          <w:tcPr>
            <w:tcW w:w="1962" w:type="dxa"/>
            <w:vMerge w:val="restart"/>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Plan and prepare.</w:t>
            </w:r>
          </w:p>
        </w:tc>
        <w:tc>
          <w:tcPr>
            <w:tcW w:w="77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1</w:t>
            </w:r>
            <w:r w:rsidRPr="006D2AC6">
              <w:t>.1</w:t>
            </w:r>
          </w:p>
        </w:tc>
        <w:tc>
          <w:tcPr>
            <w:tcW w:w="561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 xml:space="preserve">Work instructions are obtained using relevant </w:t>
            </w:r>
            <w:r w:rsidRPr="006D2AC6">
              <w:rPr>
                <w:rStyle w:val="BoldandItalics"/>
              </w:rPr>
              <w:t>information</w:t>
            </w:r>
            <w:r w:rsidRPr="006D2AC6">
              <w:t xml:space="preserve">, confirmed and applied for </w:t>
            </w:r>
            <w:r w:rsidRPr="006D2AC6">
              <w:rPr>
                <w:rStyle w:val="BoldandItalics"/>
              </w:rPr>
              <w:t>planning</w:t>
            </w:r>
            <w:r w:rsidRPr="006D2AC6">
              <w:t xml:space="preserve"> </w:t>
            </w:r>
            <w:r w:rsidRPr="006D2AC6">
              <w:rPr>
                <w:rStyle w:val="BoldandItalics"/>
              </w:rPr>
              <w:t>and</w:t>
            </w:r>
            <w:r w:rsidRPr="006D2AC6">
              <w:t xml:space="preserve"> </w:t>
            </w:r>
            <w:r w:rsidRPr="006D2AC6">
              <w:rPr>
                <w:rStyle w:val="BoldandItalics"/>
              </w:rPr>
              <w:t>preparation</w:t>
            </w:r>
            <w:r w:rsidRPr="006D2AC6">
              <w:t xml:space="preserve"> purposes. </w:t>
            </w:r>
          </w:p>
        </w:tc>
      </w:tr>
      <w:tr w:rsidTr="006D2AC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2AC6" w:rsidP="006D2AC6">
            <w:pPr>
              <w:pStyle w:val="BodyText"/>
            </w:pPr>
            <w:r w:rsidRPr="006D2AC6">
              <w:t>1.2</w:t>
            </w:r>
          </w:p>
        </w:tc>
        <w:tc>
          <w:tcPr>
            <w:tcW w:w="561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rPr>
                <w:rStyle w:val="BoldandItalics"/>
              </w:rPr>
              <w:t>Work health and safety (WHS) requirements</w:t>
            </w:r>
            <w:r w:rsidRPr="006D2AC6">
              <w:t xml:space="preserve"> are followed according to safety plans and policies. </w:t>
            </w:r>
          </w:p>
        </w:tc>
      </w:tr>
      <w:tr w:rsidTr="006D2AC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2AC6" w:rsidP="006D2AC6">
            <w:pPr>
              <w:pStyle w:val="BodyText"/>
            </w:pPr>
            <w:r w:rsidRPr="006D2AC6">
              <w:t>1.3</w:t>
            </w:r>
          </w:p>
        </w:tc>
        <w:tc>
          <w:tcPr>
            <w:tcW w:w="561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rPr>
                <w:rStyle w:val="BoldandItalics"/>
              </w:rPr>
              <w:t>Tools</w:t>
            </w:r>
            <w:r w:rsidRPr="006D2AC6">
              <w:t xml:space="preserve"> </w:t>
            </w:r>
            <w:r w:rsidRPr="006D2AC6">
              <w:rPr>
                <w:rStyle w:val="BoldandItalics"/>
              </w:rPr>
              <w:t>and</w:t>
            </w:r>
            <w:r w:rsidRPr="006D2AC6">
              <w:t xml:space="preserve"> </w:t>
            </w:r>
            <w:r w:rsidRPr="006D2AC6">
              <w:rPr>
                <w:rStyle w:val="BoldandItalics"/>
              </w:rPr>
              <w:t>equipment</w:t>
            </w:r>
            <w:r w:rsidRPr="006D2AC6">
              <w:t xml:space="preserve"> selected to carry out tasks are consistent with job requirements, checked for serviceability, and faults are rectified and reported before work begins. </w:t>
            </w:r>
          </w:p>
        </w:tc>
      </w:tr>
      <w:tr w:rsidTr="006D2AC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1.4</w:t>
            </w:r>
          </w:p>
        </w:tc>
        <w:tc>
          <w:tcPr>
            <w:tcW w:w="561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Material quantity requirements are identified and calculated according to plans, specifications</w:t>
            </w:r>
            <w:r w:rsidRPr="006D2AC6">
              <w:t xml:space="preserve"> and </w:t>
            </w:r>
            <w:r w:rsidRPr="006D2AC6">
              <w:rPr>
                <w:rStyle w:val="BoldandItalics"/>
              </w:rPr>
              <w:t>quality</w:t>
            </w:r>
            <w:r w:rsidRPr="006D2AC6">
              <w:t xml:space="preserve"> </w:t>
            </w:r>
            <w:r w:rsidRPr="006D2AC6">
              <w:rPr>
                <w:rStyle w:val="BoldandItalics"/>
              </w:rPr>
              <w:t>requirements</w:t>
            </w:r>
            <w:r w:rsidRPr="006D2AC6">
              <w:t xml:space="preserve">. </w:t>
            </w:r>
          </w:p>
        </w:tc>
      </w:tr>
      <w:tr w:rsidTr="006D2AC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1.5</w:t>
            </w:r>
          </w:p>
        </w:tc>
        <w:tc>
          <w:tcPr>
            <w:tcW w:w="561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Materials appropriate to the work application are obtained, prepared, safely handled and located ready for use.</w:t>
            </w:r>
          </w:p>
        </w:tc>
      </w:tr>
      <w:tr w:rsidTr="006D2AC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2AC6" w:rsidP="006D2AC6">
            <w:pPr>
              <w:pStyle w:val="BodyText"/>
            </w:pPr>
            <w:r w:rsidRPr="006D2AC6">
              <w:t>1.6</w:t>
            </w:r>
          </w:p>
        </w:tc>
        <w:tc>
          <w:tcPr>
            <w:tcW w:w="5610" w:type="dxa"/>
            <w:tcBorders>
              <w:top w:val="nil"/>
              <w:left w:val="nil"/>
              <w:bottom w:val="nil"/>
              <w:right w:val="nil"/>
            </w:tcBorders>
            <w:tcMar>
              <w:top w:w="0" w:type="dxa"/>
              <w:left w:w="62" w:type="dxa"/>
              <w:bottom w:w="0" w:type="dxa"/>
              <w:right w:w="62" w:type="dxa"/>
            </w:tcMar>
          </w:tcPr>
          <w:p w:rsidR="00000000" w:rsidRPr="006D2AC6" w:rsidP="006D2AC6">
            <w:pPr>
              <w:pStyle w:val="BodyText"/>
            </w:pPr>
            <w:r w:rsidRPr="006D2AC6">
              <w:rPr>
                <w:rStyle w:val="BoldandItalics"/>
              </w:rPr>
              <w:t>Environmental</w:t>
            </w:r>
            <w:r w:rsidRPr="006D2AC6">
              <w:t xml:space="preserve"> </w:t>
            </w:r>
            <w:r w:rsidRPr="006D2AC6">
              <w:rPr>
                <w:rStyle w:val="BoldandItalics"/>
              </w:rPr>
              <w:t>requirements</w:t>
            </w:r>
            <w:r w:rsidRPr="006D2AC6">
              <w:t xml:space="preserve"> are identified for the project according to environmental plans and </w:t>
            </w:r>
            <w:r w:rsidRPr="006D2AC6">
              <w:rPr>
                <w:rStyle w:val="BoldandItalics"/>
              </w:rPr>
              <w:t>statutory</w:t>
            </w:r>
            <w:r w:rsidRPr="006D2AC6">
              <w:t xml:space="preserve"> </w:t>
            </w:r>
            <w:r w:rsidRPr="006D2AC6">
              <w:rPr>
                <w:rStyle w:val="BoldandItalics"/>
              </w:rPr>
              <w:t>and</w:t>
            </w:r>
            <w:r w:rsidRPr="006D2AC6">
              <w:t xml:space="preserve"> </w:t>
            </w:r>
            <w:r w:rsidRPr="006D2AC6">
              <w:rPr>
                <w:rStyle w:val="BoldandItalics"/>
              </w:rPr>
              <w:t>regulatory</w:t>
            </w:r>
            <w:r w:rsidRPr="006D2AC6">
              <w:t xml:space="preserve"> </w:t>
            </w:r>
            <w:r w:rsidRPr="006D2AC6">
              <w:rPr>
                <w:rStyle w:val="BoldandItalics"/>
              </w:rPr>
              <w:t>authority</w:t>
            </w:r>
            <w:r w:rsidRPr="006D2AC6">
              <w:t xml:space="preserve"> requirements, and are applied.</w:t>
            </w:r>
          </w:p>
        </w:tc>
      </w:tr>
    </w:tbl>
    <w:p w:rsidR="00000000" w:rsidRPr="006D2AC6" w:rsidP="006D2AC6">
      <w:pPr>
        <w:pStyle w:val="BodyText"/>
      </w:pPr>
    </w:p>
    <w:tbl>
      <w:tblPr>
        <w:tblW w:w="0" w:type="auto"/>
        <w:tblLayout w:type="fixed"/>
        <w:tblCellMar>
          <w:left w:w="62" w:type="dxa"/>
          <w:right w:w="62" w:type="dxa"/>
        </w:tblCellMar>
        <w:tblLook w:val="0000"/>
      </w:tblPr>
      <w:tblGrid>
        <w:gridCol w:w="678"/>
        <w:gridCol w:w="1962"/>
        <w:gridCol w:w="770"/>
        <w:gridCol w:w="5610"/>
      </w:tblGrid>
      <w:tr w:rsidTr="006D2AC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2</w:t>
            </w:r>
          </w:p>
        </w:tc>
        <w:tc>
          <w:tcPr>
            <w:tcW w:w="1962" w:type="dxa"/>
            <w:vMerge w:val="restart"/>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Perform lead inlay process on lettering of stone surfaces.</w:t>
            </w:r>
          </w:p>
        </w:tc>
        <w:tc>
          <w:tcPr>
            <w:tcW w:w="77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2.1</w:t>
            </w:r>
          </w:p>
        </w:tc>
        <w:tc>
          <w:tcPr>
            <w:tcW w:w="561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Lead is prepared and handled safely, in suitably ventilated area and according to WHS requirements.</w:t>
            </w:r>
          </w:p>
        </w:tc>
      </w:tr>
      <w:tr w:rsidTr="006D2AC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2.2</w:t>
            </w:r>
          </w:p>
        </w:tc>
        <w:tc>
          <w:tcPr>
            <w:tcW w:w="561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Lead strips are cut to suit incised letters and beaten into cavities according to job and WHS requirements.</w:t>
            </w:r>
          </w:p>
        </w:tc>
      </w:tr>
      <w:tr w:rsidTr="006D2AC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2.3</w:t>
            </w:r>
          </w:p>
        </w:tc>
        <w:tc>
          <w:tcPr>
            <w:tcW w:w="561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Lead is rasped and rubbed to a raised or flat finish with stone surface according to job and WHS specifications.</w:t>
            </w:r>
          </w:p>
        </w:tc>
      </w:tr>
      <w:tr w:rsidTr="006D2AC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2.4</w:t>
            </w:r>
          </w:p>
        </w:tc>
        <w:tc>
          <w:tcPr>
            <w:tcW w:w="5610" w:type="dxa"/>
            <w:tcBorders>
              <w:top w:val="nil"/>
              <w:left w:val="nil"/>
              <w:bottom w:val="nil"/>
              <w:right w:val="nil"/>
            </w:tcBorders>
            <w:tcMar>
              <w:top w:w="0" w:type="dxa"/>
              <w:left w:w="62" w:type="dxa"/>
              <w:bottom w:w="0" w:type="dxa"/>
              <w:right w:w="62" w:type="dxa"/>
            </w:tcMar>
          </w:tcPr>
          <w:p w:rsidR="00000000" w:rsidRPr="006D2AC6" w:rsidP="006D2AC6">
            <w:pPr>
              <w:pStyle w:val="BodyText"/>
            </w:pPr>
            <w:r w:rsidRPr="006D2AC6">
              <w:t xml:space="preserve">Letters or insignias </w:t>
            </w:r>
            <w:r w:rsidRPr="006D2AC6">
              <w:t>are finished with clean edges and surface is finished according to job specifications.</w:t>
            </w:r>
          </w:p>
        </w:tc>
      </w:tr>
    </w:tbl>
    <w:p w:rsidR="00000000" w:rsidRPr="006D2AC6" w:rsidP="006D2AC6">
      <w:pPr>
        <w:pStyle w:val="BodyText"/>
      </w:pPr>
    </w:p>
    <w:tbl>
      <w:tblPr>
        <w:tblW w:w="0" w:type="auto"/>
        <w:tblLayout w:type="fixed"/>
        <w:tblCellMar>
          <w:left w:w="62" w:type="dxa"/>
          <w:right w:w="62" w:type="dxa"/>
        </w:tblCellMar>
        <w:tblLook w:val="0000"/>
      </w:tblPr>
      <w:tblGrid>
        <w:gridCol w:w="678"/>
        <w:gridCol w:w="1962"/>
        <w:gridCol w:w="770"/>
        <w:gridCol w:w="5610"/>
      </w:tblGrid>
      <w:tr w:rsidTr="006D2AC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3</w:t>
            </w:r>
          </w:p>
        </w:tc>
        <w:tc>
          <w:tcPr>
            <w:tcW w:w="1962" w:type="dxa"/>
            <w:vMerge w:val="restart"/>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Clean up.</w:t>
            </w:r>
          </w:p>
        </w:tc>
        <w:tc>
          <w:tcPr>
            <w:tcW w:w="77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3.1</w:t>
            </w:r>
          </w:p>
        </w:tc>
        <w:tc>
          <w:tcPr>
            <w:tcW w:w="561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Waste and unwanted material are disposed of safely according to workplace and legislative requirements.</w:t>
            </w:r>
          </w:p>
        </w:tc>
      </w:tr>
      <w:tr w:rsidTr="006D2AC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3.2</w:t>
            </w:r>
          </w:p>
        </w:tc>
        <w:tc>
          <w:tcPr>
            <w:tcW w:w="561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Re-usable and recyclable materials are salvaged and stored according to workplace requirements.</w:t>
            </w:r>
          </w:p>
        </w:tc>
      </w:tr>
      <w:tr w:rsidTr="006D2AC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3.3</w:t>
            </w:r>
          </w:p>
        </w:tc>
        <w:tc>
          <w:tcPr>
            <w:tcW w:w="5610" w:type="dxa"/>
            <w:tcBorders>
              <w:top w:val="nil"/>
              <w:left w:val="nil"/>
              <w:bottom w:val="nil"/>
              <w:right w:val="nil"/>
            </w:tcBorders>
            <w:tcMar>
              <w:top w:w="0" w:type="dxa"/>
              <w:left w:w="62" w:type="dxa"/>
              <w:bottom w:w="0" w:type="dxa"/>
              <w:right w:w="62" w:type="dxa"/>
            </w:tcMar>
          </w:tcPr>
          <w:p w:rsidR="00000000" w:rsidRPr="006D2AC6" w:rsidP="006D2AC6">
            <w:pPr>
              <w:pStyle w:val="BodyText"/>
            </w:pPr>
            <w:r w:rsidRPr="006D2AC6">
              <w:t>Tools and equipment are cleaned, maintained and stored according to workplace requirements.</w:t>
            </w:r>
          </w:p>
        </w:tc>
      </w:tr>
    </w:tbl>
    <w:p w:rsidR="00475FA0" w:rsidP="006D2AC6">
      <w:pPr>
        <w:pStyle w:val="BodyText"/>
      </w:pPr>
    </w:p>
    <w:p w:rsidR="00475FA0" w:rsidP="006D2AC6">
      <w:pPr>
        <w:pStyle w:val="BodyText"/>
      </w:pPr>
    </w:p>
    <w:p w:rsidR="00000000" w:rsidRPr="006D2AC6" w:rsidP="006D2AC6">
      <w:pPr>
        <w:pStyle w:val="Heading1"/>
      </w:pPr>
      <w:bookmarkStart w:id="9" w:name="O_618432"/>
      <w:bookmarkEnd w:id="9"/>
      <w:r w:rsidRPr="006D2AC6">
        <w:t>Required Skills and Knowledge</w:t>
      </w:r>
    </w:p>
    <w:tbl>
      <w:tblPr>
        <w:tblW w:w="0" w:type="auto"/>
        <w:tblLayout w:type="fixed"/>
        <w:tblCellMar>
          <w:left w:w="62" w:type="dxa"/>
          <w:right w:w="62" w:type="dxa"/>
        </w:tblCellMar>
        <w:tblLook w:val="0000"/>
      </w:tblPr>
      <w:tblGrid>
        <w:gridCol w:w="9134"/>
      </w:tblGrid>
      <w:tr w:rsidTr="006D2AC6">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This section describes the skills and knowledge required for this unit.</w:t>
            </w:r>
          </w:p>
        </w:tc>
      </w:tr>
      <w:tr w:rsidTr="006D2AC6">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rPr>
                <w:rStyle w:val="SpecialBold"/>
              </w:rPr>
              <w:t>Required skills</w:t>
            </w:r>
          </w:p>
        </w:tc>
      </w:tr>
      <w:tr w:rsidTr="006D2AC6">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6D2AC6" w:rsidP="006D2AC6">
            <w:pPr>
              <w:pStyle w:val="ListBullet"/>
            </w:pPr>
            <w:r w:rsidRPr="006D2AC6">
              <w:t>communication skills to:</w:t>
            </w:r>
          </w:p>
          <w:p w:rsidR="00000000" w:rsidRPr="006D2AC6" w:rsidP="006D2AC6">
            <w:pPr>
              <w:pStyle w:val="ListBullet2"/>
            </w:pPr>
            <w:r w:rsidRPr="006D2AC6">
              <w:t>enable clear and direct communication</w:t>
            </w:r>
          </w:p>
          <w:p w:rsidR="00000000" w:rsidRPr="006D2AC6" w:rsidP="006D2AC6">
            <w:pPr>
              <w:pStyle w:val="ListBullet2"/>
            </w:pPr>
            <w:r w:rsidRPr="006D2AC6">
              <w:t>use questioning to identify and confirm requirements</w:t>
            </w:r>
          </w:p>
          <w:p w:rsidR="00000000" w:rsidRPr="006D2AC6" w:rsidP="006D2AC6">
            <w:pPr>
              <w:pStyle w:val="ListBullet2"/>
            </w:pPr>
            <w:r w:rsidRPr="006D2AC6">
              <w:t>share information</w:t>
            </w:r>
          </w:p>
          <w:p w:rsidR="00000000" w:rsidRPr="006D2AC6" w:rsidP="006D2AC6">
            <w:pPr>
              <w:pStyle w:val="ListBullet2"/>
            </w:pPr>
            <w:r w:rsidRPr="006D2AC6">
              <w:t>follow instructions</w:t>
            </w:r>
          </w:p>
          <w:p w:rsidR="00000000" w:rsidRPr="006D2AC6" w:rsidP="006D2AC6">
            <w:pPr>
              <w:pStyle w:val="ListBullet2"/>
            </w:pPr>
            <w:r w:rsidRPr="006D2AC6">
              <w:t>use and interpret non-verbal communication</w:t>
            </w:r>
          </w:p>
          <w:p w:rsidR="00000000" w:rsidRPr="006D2AC6" w:rsidP="006D2AC6">
            <w:pPr>
              <w:pStyle w:val="ListBullet2"/>
            </w:pPr>
            <w:r w:rsidRPr="006D2AC6">
              <w:t>use language and concepts appropriate to cultural differences</w:t>
            </w:r>
          </w:p>
          <w:p w:rsidR="00000000" w:rsidRPr="006D2AC6" w:rsidP="006D2AC6">
            <w:pPr>
              <w:pStyle w:val="ListBullet"/>
            </w:pPr>
            <w:r w:rsidRPr="006D2AC6">
              <w:t>innovation skills to select appropriate tools and equipment, respond to workplace challenges and put ideas into action</w:t>
            </w:r>
          </w:p>
          <w:p w:rsidR="00000000" w:rsidRPr="006D2AC6" w:rsidP="006D2AC6">
            <w:pPr>
              <w:pStyle w:val="ListBullet"/>
            </w:pPr>
            <w:r w:rsidRPr="006D2AC6">
              <w:t>numeracy skills to apply measur</w:t>
            </w:r>
            <w:r w:rsidRPr="006D2AC6">
              <w:t>ements and calculate material requirements</w:t>
            </w:r>
          </w:p>
          <w:p w:rsidR="00000000" w:rsidRPr="006D2AC6" w:rsidP="006D2AC6">
            <w:pPr>
              <w:pStyle w:val="ListBullet"/>
            </w:pPr>
            <w:r w:rsidRPr="006D2AC6">
              <w:t>planning and organising skills to identify requirements, apply relevant resources and sequence tasks</w:t>
            </w:r>
          </w:p>
          <w:p w:rsidR="00000000" w:rsidRPr="006D2AC6" w:rsidP="006D2AC6">
            <w:pPr>
              <w:pStyle w:val="ListBullet"/>
            </w:pPr>
            <w:r w:rsidRPr="006D2AC6">
              <w:t>problem-solving skills to recognise and take action to rectify minor faults and problems</w:t>
            </w:r>
          </w:p>
          <w:p w:rsidR="00000000" w:rsidRPr="006D2AC6" w:rsidP="006D2AC6">
            <w:pPr>
              <w:pStyle w:val="ListBullet"/>
            </w:pPr>
            <w:r w:rsidRPr="006D2AC6">
              <w:t>reading skills to:</w:t>
            </w:r>
          </w:p>
          <w:p w:rsidR="00000000" w:rsidRPr="006D2AC6" w:rsidP="006D2AC6">
            <w:pPr>
              <w:pStyle w:val="ListBullet2"/>
            </w:pPr>
            <w:r w:rsidRPr="006D2AC6">
              <w:t>ide</w:t>
            </w:r>
            <w:r w:rsidRPr="006D2AC6">
              <w:t>ntify letters in order to check spelling</w:t>
            </w:r>
          </w:p>
          <w:p w:rsidR="00000000" w:rsidRPr="006D2AC6" w:rsidP="006D2AC6">
            <w:pPr>
              <w:pStyle w:val="ListBullet2"/>
            </w:pPr>
            <w:r w:rsidRPr="006D2AC6">
              <w:t>read and interpret drawings and specifications</w:t>
            </w:r>
          </w:p>
          <w:p w:rsidR="00000000" w:rsidP="006D2AC6">
            <w:pPr>
              <w:pStyle w:val="ListBullet"/>
              <w:rPr>
                <w:lang w:val="en-NZ"/>
              </w:rPr>
            </w:pPr>
            <w:r w:rsidRPr="006D2AC6">
              <w:t>teamwork skills to work with others to action tasks</w:t>
            </w:r>
          </w:p>
        </w:tc>
      </w:tr>
      <w:tr w:rsidTr="006D2AC6">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6D2AC6" w:rsidP="006D2AC6">
            <w:pPr>
              <w:pStyle w:val="BodyText"/>
            </w:pPr>
          </w:p>
          <w:p w:rsidR="00000000" w:rsidP="006D2AC6">
            <w:pPr>
              <w:pStyle w:val="BodyText"/>
              <w:rPr>
                <w:lang w:val="en-NZ"/>
              </w:rPr>
            </w:pPr>
            <w:r w:rsidRPr="006D2AC6">
              <w:rPr>
                <w:rStyle w:val="SpecialBold"/>
              </w:rPr>
              <w:t>Required knowledge</w:t>
            </w:r>
          </w:p>
        </w:tc>
      </w:tr>
      <w:tr w:rsidTr="006D2AC6">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6D2AC6" w:rsidP="006D2AC6">
            <w:pPr>
              <w:pStyle w:val="ListBullet"/>
            </w:pPr>
            <w:r w:rsidRPr="006D2AC6">
              <w:t>drawing conventions and construction terminology used in plans and specifications</w:t>
            </w:r>
          </w:p>
          <w:p w:rsidR="00000000" w:rsidRPr="006D2AC6" w:rsidP="006D2AC6">
            <w:pPr>
              <w:pStyle w:val="ListBullet"/>
            </w:pPr>
            <w:r w:rsidRPr="006D2AC6">
              <w:t>effect of lead on humans and related safety precautions</w:t>
            </w:r>
          </w:p>
          <w:p w:rsidR="00000000" w:rsidRPr="006D2AC6" w:rsidP="006D2AC6">
            <w:pPr>
              <w:pStyle w:val="ListBullet"/>
            </w:pPr>
            <w:r w:rsidRPr="006D2AC6">
              <w:t>job safety analyses (JSA) and safe work method statements (SWMS)</w:t>
            </w:r>
          </w:p>
          <w:p w:rsidR="00000000" w:rsidRPr="006D2AC6" w:rsidP="006D2AC6">
            <w:pPr>
              <w:pStyle w:val="ListBullet"/>
            </w:pPr>
            <w:r w:rsidRPr="006D2AC6">
              <w:t>methods of inlaying lead to stone</w:t>
            </w:r>
          </w:p>
          <w:p w:rsidR="00000000" w:rsidRPr="006D2AC6" w:rsidP="006D2AC6">
            <w:pPr>
              <w:pStyle w:val="ListBullet"/>
            </w:pPr>
            <w:r w:rsidRPr="006D2AC6">
              <w:t>types of stone and their characteristics</w:t>
            </w:r>
          </w:p>
          <w:p w:rsidR="00000000" w:rsidRPr="006D2AC6" w:rsidP="006D2AC6">
            <w:pPr>
              <w:pStyle w:val="ListBullet"/>
            </w:pPr>
            <w:r w:rsidRPr="006D2AC6">
              <w:t>workplace and equipment safety requirements</w:t>
            </w:r>
          </w:p>
        </w:tc>
      </w:tr>
    </w:tbl>
    <w:p w:rsidR="00000000" w:rsidRPr="006D2AC6" w:rsidP="006D2AC6">
      <w:pPr>
        <w:pStyle w:val="BodyText"/>
      </w:pPr>
    </w:p>
    <w:p w:rsidR="00000000" w:rsidRPr="006D2AC6" w:rsidP="006D2AC6">
      <w:pPr>
        <w:pStyle w:val="AllowPageBreak"/>
      </w:pPr>
    </w:p>
    <w:p w:rsidR="00000000" w:rsidRPr="006D2AC6" w:rsidP="006D2AC6">
      <w:pPr>
        <w:pStyle w:val="Heading1"/>
      </w:pPr>
      <w:bookmarkStart w:id="10" w:name="O_618433"/>
      <w:bookmarkEnd w:id="10"/>
      <w:r w:rsidRPr="006D2AC6">
        <w:t>Evidence Guide</w:t>
      </w:r>
    </w:p>
    <w:tbl>
      <w:tblPr>
        <w:tblW w:w="0" w:type="auto"/>
        <w:tblLayout w:type="fixed"/>
        <w:tblCellMar>
          <w:left w:w="62" w:type="dxa"/>
          <w:right w:w="62" w:type="dxa"/>
        </w:tblCellMar>
        <w:tblLook w:val="0000"/>
      </w:tblPr>
      <w:tblGrid>
        <w:gridCol w:w="2630"/>
        <w:gridCol w:w="6504"/>
      </w:tblGrid>
      <w:tr w:rsidTr="006D2AC6">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The evidence guide provides advice on assessment and must be read in conjunction with the performance criteria, required skills and knowledge, range statement and the Assessment Guidelines for the Training Package.</w:t>
            </w:r>
          </w:p>
        </w:tc>
      </w:tr>
      <w:tr w:rsidTr="006D2AC6">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rPr>
                <w:rStyle w:val="SpecialBold"/>
              </w:rPr>
              <w:t>Overview of assessment</w:t>
            </w:r>
          </w:p>
        </w:tc>
        <w:tc>
          <w:tcPr>
            <w:tcW w:w="6504"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This unit of competency could be assessed in the workplace or a close simulation of the workplace environment, provided that simulated or project-based assessment techniques fully replicate construction workplace conditions, material</w:t>
            </w:r>
            <w:r w:rsidRPr="006D2AC6">
              <w:t>s, activities, responsibilities and procedures.</w:t>
            </w:r>
          </w:p>
        </w:tc>
      </w:tr>
      <w:tr w:rsidTr="006D2AC6">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rPr>
                <w:rStyle w:val="SpecialBold"/>
              </w:rPr>
              <w:t>Critical aspects for assessment and evidence required to demonstrate competency in this unit</w:t>
            </w:r>
          </w:p>
        </w:tc>
        <w:tc>
          <w:tcPr>
            <w:tcW w:w="6504" w:type="dxa"/>
            <w:tcBorders>
              <w:top w:val="nil"/>
              <w:left w:val="nil"/>
              <w:bottom w:val="nil"/>
              <w:right w:val="nil"/>
            </w:tcBorders>
            <w:tcMar>
              <w:top w:w="0" w:type="dxa"/>
              <w:left w:w="62" w:type="dxa"/>
              <w:bottom w:w="0" w:type="dxa"/>
              <w:right w:w="62" w:type="dxa"/>
            </w:tcMar>
          </w:tcPr>
          <w:p w:rsidR="00000000" w:rsidRPr="006D2AC6" w:rsidP="006D2AC6">
            <w:pPr>
              <w:pStyle w:val="BodyText"/>
            </w:pPr>
            <w:r w:rsidRPr="006D2AC6">
              <w:t>A person should demonstrate the ability to inlay at least three different types of lettering, insignia and monogra</w:t>
            </w:r>
            <w:r w:rsidRPr="006D2AC6">
              <w:t>ms using solid lead, providing evidence of the ability to:</w:t>
            </w:r>
          </w:p>
          <w:p w:rsidR="00000000" w:rsidRPr="006D2AC6" w:rsidP="006D2AC6">
            <w:pPr>
              <w:pStyle w:val="ListBullet"/>
            </w:pPr>
            <w:r w:rsidRPr="006D2AC6">
              <w:t>select and use appropriate tools, equipment and processes consistent with requirements of inlaying lead to lettering or shapes on stone surfaces</w:t>
            </w:r>
          </w:p>
          <w:p w:rsidR="00000000" w:rsidRPr="006D2AC6" w:rsidP="006D2AC6">
            <w:pPr>
              <w:pStyle w:val="ListBullet"/>
            </w:pPr>
            <w:r w:rsidRPr="006D2AC6">
              <w:t>comply with WHS requirements applicable to workplac</w:t>
            </w:r>
            <w:r w:rsidRPr="006D2AC6">
              <w:t>e operations</w:t>
            </w:r>
          </w:p>
          <w:p w:rsidR="00000000" w:rsidRPr="006D2AC6" w:rsidP="006D2AC6">
            <w:pPr>
              <w:pStyle w:val="ListBullet"/>
            </w:pPr>
            <w:r w:rsidRPr="006D2AC6">
              <w:t>apply organisational quality procedures and processes within context of inlaying lead to stone</w:t>
            </w:r>
          </w:p>
          <w:p w:rsidR="00000000" w:rsidRPr="006D2AC6" w:rsidP="006D2AC6">
            <w:pPr>
              <w:pStyle w:val="ListBullet"/>
            </w:pPr>
            <w:r w:rsidRPr="006D2AC6">
              <w:t>use safe and effective procedures to inlay lead to recesses cut into stone</w:t>
            </w:r>
          </w:p>
          <w:p w:rsidR="00000000" w:rsidRPr="006D2AC6" w:rsidP="006D2AC6">
            <w:pPr>
              <w:pStyle w:val="ListBullet"/>
            </w:pPr>
            <w:r w:rsidRPr="006D2AC6">
              <w:t>complete inlaying of lead and finishing of surface to specifications</w:t>
            </w:r>
          </w:p>
          <w:p w:rsidR="00000000" w:rsidP="006D2AC6">
            <w:pPr>
              <w:pStyle w:val="ListBullet"/>
              <w:rPr>
                <w:lang w:val="en-NZ"/>
              </w:rPr>
            </w:pPr>
            <w:r w:rsidRPr="006D2AC6">
              <w:t>communicate with others to ensure safe and effective workplace operations.</w:t>
            </w:r>
          </w:p>
        </w:tc>
      </w:tr>
      <w:tr w:rsidTr="006D2AC6">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rPr>
                <w:rStyle w:val="SpecialBold"/>
              </w:rPr>
              <w:t>Context of and specific resources for assessment</w:t>
            </w:r>
          </w:p>
        </w:tc>
        <w:tc>
          <w:tcPr>
            <w:tcW w:w="6504" w:type="dxa"/>
            <w:tcBorders>
              <w:top w:val="nil"/>
              <w:left w:val="nil"/>
              <w:bottom w:val="nil"/>
              <w:right w:val="nil"/>
            </w:tcBorders>
            <w:tcMar>
              <w:top w:w="0" w:type="dxa"/>
              <w:left w:w="62" w:type="dxa"/>
              <w:bottom w:w="0" w:type="dxa"/>
              <w:right w:w="62" w:type="dxa"/>
            </w:tcMar>
          </w:tcPr>
          <w:p w:rsidR="00000000" w:rsidRPr="006D2AC6" w:rsidP="006D2AC6">
            <w:pPr>
              <w:pStyle w:val="BodyText"/>
            </w:pPr>
            <w:r w:rsidRPr="006D2AC6">
              <w:t>Assessment of this unit:</w:t>
            </w:r>
          </w:p>
          <w:p w:rsidR="00000000" w:rsidRPr="006D2AC6" w:rsidP="006D2AC6">
            <w:pPr>
              <w:pStyle w:val="ListBullet"/>
            </w:pPr>
            <w:r w:rsidRPr="006D2AC6">
              <w:t>must be in the context of the work environment</w:t>
            </w:r>
          </w:p>
          <w:p w:rsidR="00000000" w:rsidRPr="006D2AC6" w:rsidP="006D2AC6">
            <w:pPr>
              <w:pStyle w:val="ListBullet"/>
            </w:pPr>
            <w:r w:rsidRPr="006D2AC6">
              <w:t>may be conducted in an off-site context, provided it is re</w:t>
            </w:r>
            <w:r w:rsidRPr="006D2AC6">
              <w:t>alistic and sufficiently rigorous to cover all aspects of workplace performance, including task skills, task management skills, contingency management skills and job role environment skills</w:t>
            </w:r>
          </w:p>
          <w:p w:rsidR="00000000" w:rsidRPr="006D2AC6" w:rsidP="006D2AC6">
            <w:pPr>
              <w:pStyle w:val="ListBullet"/>
            </w:pPr>
            <w:r w:rsidRPr="006D2AC6">
              <w:t>must meet relevant compliance requirements.</w:t>
            </w:r>
          </w:p>
          <w:p w:rsidR="00000000" w:rsidRPr="006D2AC6" w:rsidP="006D2AC6">
            <w:pPr>
              <w:pStyle w:val="BodyText"/>
            </w:pPr>
            <w:r w:rsidRPr="006D2AC6">
              <w:t xml:space="preserve">Resource implications </w:t>
            </w:r>
            <w:r w:rsidRPr="006D2AC6">
              <w:t>for assessment may include:</w:t>
            </w:r>
          </w:p>
          <w:p w:rsidR="00000000" w:rsidRPr="006D2AC6" w:rsidP="006D2AC6">
            <w:pPr>
              <w:pStyle w:val="ListBullet"/>
            </w:pPr>
            <w:r w:rsidRPr="006D2AC6">
              <w:t>workplace location</w:t>
            </w:r>
          </w:p>
          <w:p w:rsidR="00000000" w:rsidRPr="006D2AC6" w:rsidP="006D2AC6">
            <w:pPr>
              <w:pStyle w:val="ListBullet"/>
            </w:pPr>
            <w:r w:rsidRPr="006D2AC6">
              <w:t>tools and equipment appropriate to inlaying processes</w:t>
            </w:r>
          </w:p>
          <w:p w:rsidR="00000000" w:rsidRPr="006D2AC6" w:rsidP="006D2AC6">
            <w:pPr>
              <w:pStyle w:val="ListBullet"/>
            </w:pPr>
            <w:r w:rsidRPr="006D2AC6">
              <w:t>stone with pre-cut lettering or patterns relevant to proposed activity</w:t>
            </w:r>
          </w:p>
          <w:p w:rsidR="00000000" w:rsidP="006D2AC6">
            <w:pPr>
              <w:pStyle w:val="ListBullet"/>
              <w:rPr>
                <w:lang w:val="en-NZ"/>
              </w:rPr>
            </w:pPr>
            <w:r w:rsidRPr="006D2AC6">
              <w:t>drawings, specifications and documentation relevant to activity.</w:t>
            </w:r>
          </w:p>
        </w:tc>
      </w:tr>
      <w:tr w:rsidTr="006D2AC6">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rPr>
                <w:rStyle w:val="SpecialBold"/>
              </w:rPr>
              <w:t>Method of assessm</w:t>
            </w:r>
            <w:r w:rsidRPr="006D2AC6">
              <w:rPr>
                <w:rStyle w:val="SpecialBold"/>
              </w:rPr>
              <w:t>ent</w:t>
            </w:r>
          </w:p>
        </w:tc>
        <w:tc>
          <w:tcPr>
            <w:tcW w:w="6504" w:type="dxa"/>
            <w:tcBorders>
              <w:top w:val="nil"/>
              <w:left w:val="nil"/>
              <w:bottom w:val="nil"/>
              <w:right w:val="nil"/>
            </w:tcBorders>
            <w:tcMar>
              <w:top w:w="0" w:type="dxa"/>
              <w:left w:w="62" w:type="dxa"/>
              <w:bottom w:w="0" w:type="dxa"/>
              <w:right w:w="62" w:type="dxa"/>
            </w:tcMar>
          </w:tcPr>
          <w:p w:rsidR="00000000" w:rsidRPr="006D2AC6" w:rsidP="006D2AC6">
            <w:pPr>
              <w:pStyle w:val="BodyText"/>
            </w:pPr>
            <w:r w:rsidRPr="006D2AC6">
              <w:t>Assessment for this unit must verify the practical application of the required skills and knowledge, using one or more of the following methods:</w:t>
            </w:r>
          </w:p>
          <w:p w:rsidR="00000000" w:rsidRPr="006D2AC6" w:rsidP="006D2AC6">
            <w:pPr>
              <w:pStyle w:val="ListBullet"/>
            </w:pPr>
            <w:r w:rsidRPr="006D2AC6">
              <w:t>direct observation of tasks in real or simulated work conditions</w:t>
            </w:r>
          </w:p>
          <w:p w:rsidR="00000000" w:rsidRPr="006D2AC6" w:rsidP="006D2AC6">
            <w:pPr>
              <w:pStyle w:val="ListBullet"/>
            </w:pPr>
            <w:r w:rsidRPr="006D2AC6">
              <w:t>questioning to confirm the ability to consistently identify and correctly interpret the essential underpinning knowledge required for practical application</w:t>
            </w:r>
          </w:p>
          <w:p w:rsidR="00000000" w:rsidP="006D2AC6">
            <w:pPr>
              <w:pStyle w:val="ListBullet"/>
              <w:rPr>
                <w:lang w:val="en-NZ"/>
              </w:rPr>
            </w:pPr>
            <w:r w:rsidRPr="006D2AC6">
              <w:t>review of relevant authenticated documentation from third parties, such as existing supervisors, tea</w:t>
            </w:r>
            <w:r w:rsidRPr="006D2AC6">
              <w:t>m leaders or specialist training staff.</w:t>
            </w:r>
          </w:p>
        </w:tc>
      </w:tr>
      <w:tr w:rsidTr="006D2AC6">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rPr>
                <w:rStyle w:val="SpecialBold"/>
              </w:rPr>
              <w:t>Guidance information for assessment</w:t>
            </w:r>
          </w:p>
        </w:tc>
        <w:tc>
          <w:tcPr>
            <w:tcW w:w="6504" w:type="dxa"/>
            <w:tcBorders>
              <w:top w:val="nil"/>
              <w:left w:val="nil"/>
              <w:bottom w:val="nil"/>
              <w:right w:val="nil"/>
            </w:tcBorders>
            <w:tcMar>
              <w:top w:w="0" w:type="dxa"/>
              <w:left w:w="62" w:type="dxa"/>
              <w:bottom w:w="0" w:type="dxa"/>
              <w:right w:w="62" w:type="dxa"/>
            </w:tcMar>
          </w:tcPr>
          <w:p w:rsidR="00000000" w:rsidRPr="006D2AC6" w:rsidP="006D2AC6">
            <w:pPr>
              <w:pStyle w:val="BodyText"/>
            </w:pPr>
            <w:r w:rsidRPr="006D2AC6">
              <w:t>This unit could be assessed on its own or in combination with other units relevant to the job function, for example:</w:t>
            </w:r>
          </w:p>
          <w:p w:rsidR="00000000" w:rsidRPr="006D2AC6" w:rsidP="006D2AC6">
            <w:pPr>
              <w:pStyle w:val="ListBullet"/>
            </w:pPr>
            <w:r w:rsidRPr="006D2AC6">
              <w:t>CPCCST3010A Set out and cut letters in stone</w:t>
            </w:r>
          </w:p>
          <w:p w:rsidR="00000000" w:rsidRPr="006D2AC6" w:rsidP="006D2AC6">
            <w:pPr>
              <w:pStyle w:val="ListBullet"/>
            </w:pPr>
            <w:r w:rsidRPr="006D2AC6">
              <w:t>CPCCST3015A Appl</w:t>
            </w:r>
            <w:r w:rsidRPr="006D2AC6">
              <w:t>y gilding to stone.</w:t>
            </w:r>
          </w:p>
          <w:p w:rsidR="00000000" w:rsidRPr="006D2AC6" w:rsidP="006D2AC6">
            <w:pPr>
              <w:pStyle w:val="BodyText"/>
            </w:pPr>
            <w:r w:rsidRPr="006D2AC6">
              <w:t>Reasonable adjustments for people with disabilities must be made to assessment processes where required. This could include access to modified equipment and other physical resources, and the provision of appropriate assessment support.</w:t>
            </w:r>
          </w:p>
          <w:p w:rsidR="00000000" w:rsidRPr="006D2AC6" w:rsidP="006D2AC6">
            <w:pPr>
              <w:pStyle w:val="BodyText"/>
            </w:pPr>
            <w:r w:rsidRPr="006D2AC6">
              <w:t>Assessment processes and techniques should, as far as is practical, take into account the language, literacy and numeracy capacity of the candidate in relation to the competency being assessed.</w:t>
            </w:r>
          </w:p>
        </w:tc>
      </w:tr>
    </w:tbl>
    <w:p w:rsidR="00475FA0" w:rsidP="006D2AC6">
      <w:pPr>
        <w:pStyle w:val="BodyText"/>
      </w:pPr>
    </w:p>
    <w:p w:rsidR="00475FA0" w:rsidP="006D2AC6">
      <w:pPr>
        <w:pStyle w:val="BodyText"/>
      </w:pPr>
    </w:p>
    <w:p w:rsidR="00000000" w:rsidRPr="006D2AC6" w:rsidP="006D2AC6">
      <w:pPr>
        <w:pStyle w:val="Heading1"/>
      </w:pPr>
      <w:bookmarkStart w:id="11" w:name="O_618434"/>
      <w:bookmarkEnd w:id="11"/>
      <w:r w:rsidRPr="006D2AC6">
        <w:t>Range Statement</w:t>
      </w:r>
    </w:p>
    <w:tbl>
      <w:tblPr>
        <w:tblW w:w="0" w:type="auto"/>
        <w:tblLayout w:type="fixed"/>
        <w:tblCellMar>
          <w:left w:w="62" w:type="dxa"/>
          <w:right w:w="62" w:type="dxa"/>
        </w:tblCellMar>
        <w:tblLook w:val="0000"/>
      </w:tblPr>
      <w:tblGrid>
        <w:gridCol w:w="2622"/>
        <w:gridCol w:w="6512"/>
      </w:tblGrid>
      <w:tr w:rsidTr="006D2AC6">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t>The range statement relates to the unit of competency as a whole. It allows for different work environments and situations that may affect performance</w:t>
            </w:r>
            <w:r w:rsidRPr="006D2AC6">
              <w:rPr>
                <w:rStyle w:val="BoldandItalics"/>
              </w:rPr>
              <w:t>. Bold italicised</w:t>
            </w:r>
            <w:r w:rsidRPr="006D2AC6">
              <w:t xml:space="preserve"> wording, if used in the performance criteria, is detailed below. Essential operating con</w:t>
            </w:r>
            <w:r w:rsidRPr="006D2AC6">
              <w:t>ditions that may be present with training and assessment (depending on the work situation, needs of the candidate, accessibility of the item, and local industry and regional contexts) may also be included.</w:t>
            </w:r>
          </w:p>
        </w:tc>
      </w:tr>
      <w:tr w:rsidTr="006D2AC6">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rPr>
                <w:rStyle w:val="BoldandItalics"/>
              </w:rPr>
              <w:t>Information</w:t>
            </w:r>
            <w:r w:rsidRPr="006D2AC6">
              <w:t xml:space="preserve"> may include:</w:t>
            </w:r>
          </w:p>
        </w:tc>
        <w:tc>
          <w:tcPr>
            <w:tcW w:w="6512" w:type="dxa"/>
            <w:tcBorders>
              <w:top w:val="nil"/>
              <w:left w:val="nil"/>
              <w:bottom w:val="nil"/>
              <w:right w:val="nil"/>
            </w:tcBorders>
            <w:tcMar>
              <w:top w:w="0" w:type="dxa"/>
              <w:left w:w="62" w:type="dxa"/>
              <w:bottom w:w="0" w:type="dxa"/>
              <w:right w:w="62" w:type="dxa"/>
            </w:tcMar>
          </w:tcPr>
          <w:p w:rsidR="00000000" w:rsidRPr="006D2AC6" w:rsidP="006D2AC6">
            <w:pPr>
              <w:pStyle w:val="ListBullet"/>
            </w:pPr>
            <w:r w:rsidRPr="006D2AC6">
              <w:t>diagrams or sketches</w:t>
            </w:r>
          </w:p>
          <w:p w:rsidR="00000000" w:rsidRPr="006D2AC6" w:rsidP="006D2AC6">
            <w:pPr>
              <w:pStyle w:val="ListBullet"/>
            </w:pPr>
            <w:r w:rsidRPr="006D2AC6">
              <w:t>i</w:t>
            </w:r>
            <w:r w:rsidRPr="006D2AC6">
              <w:t>nstructions issued by authorised organisational or external personnel</w:t>
            </w:r>
          </w:p>
          <w:p w:rsidR="00000000" w:rsidRPr="006D2AC6" w:rsidP="006D2AC6">
            <w:pPr>
              <w:pStyle w:val="ListBullet"/>
            </w:pPr>
            <w:r w:rsidRPr="006D2AC6">
              <w:t>memos</w:t>
            </w:r>
          </w:p>
          <w:p w:rsidR="00000000" w:rsidRPr="006D2AC6" w:rsidP="006D2AC6">
            <w:pPr>
              <w:pStyle w:val="ListBullet"/>
            </w:pPr>
            <w:r w:rsidRPr="006D2AC6">
              <w:t>regulatory and legislative requirements for handling lead and stone</w:t>
            </w:r>
          </w:p>
          <w:p w:rsidR="00000000" w:rsidRPr="006D2AC6" w:rsidP="006D2AC6">
            <w:pPr>
              <w:pStyle w:val="ListBullet"/>
            </w:pPr>
            <w:r w:rsidRPr="006D2AC6">
              <w:t>current Australian standards relating to inlaying solid lead into stone</w:t>
            </w:r>
          </w:p>
          <w:p w:rsidR="00000000" w:rsidRPr="006D2AC6" w:rsidP="006D2AC6">
            <w:pPr>
              <w:pStyle w:val="ListBullet"/>
            </w:pPr>
            <w:r w:rsidRPr="006D2AC6">
              <w:t>safe work procedures relating to handlin</w:t>
            </w:r>
            <w:r w:rsidRPr="006D2AC6">
              <w:t>g lead and stone</w:t>
            </w:r>
          </w:p>
          <w:p w:rsidR="00000000" w:rsidRPr="006D2AC6" w:rsidP="006D2AC6">
            <w:pPr>
              <w:pStyle w:val="ListBullet"/>
            </w:pPr>
            <w:r w:rsidRPr="006D2AC6">
              <w:t>safety data sheets (SDS)</w:t>
            </w:r>
          </w:p>
          <w:p w:rsidR="00000000" w:rsidRPr="006D2AC6" w:rsidP="006D2AC6">
            <w:pPr>
              <w:pStyle w:val="ListBullet"/>
            </w:pPr>
            <w:r w:rsidRPr="006D2AC6">
              <w:t>signage</w:t>
            </w:r>
          </w:p>
          <w:p w:rsidR="00000000" w:rsidRPr="006D2AC6" w:rsidP="006D2AC6">
            <w:pPr>
              <w:pStyle w:val="ListBullet"/>
            </w:pPr>
            <w:r w:rsidRPr="006D2AC6">
              <w:t>verbal, written and graphical instructions, including manufacturer specifications and instructions where specified</w:t>
            </w:r>
          </w:p>
          <w:p w:rsidR="00000000" w:rsidRPr="006D2AC6" w:rsidP="006D2AC6">
            <w:pPr>
              <w:pStyle w:val="ListBullet"/>
            </w:pPr>
            <w:r w:rsidRPr="006D2AC6">
              <w:t>work bulletins</w:t>
            </w:r>
          </w:p>
          <w:p w:rsidR="00000000" w:rsidP="006D2AC6">
            <w:pPr>
              <w:pStyle w:val="ListBullet"/>
              <w:rPr>
                <w:lang w:val="en-NZ"/>
              </w:rPr>
            </w:pPr>
            <w:r w:rsidRPr="006D2AC6">
              <w:t>work schedules, plans and specifications.</w:t>
            </w:r>
          </w:p>
        </w:tc>
      </w:tr>
      <w:tr w:rsidTr="006D2AC6">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rPr>
                <w:rStyle w:val="BoldandItalics"/>
              </w:rPr>
              <w:t>Planning</w:t>
            </w:r>
            <w:r w:rsidRPr="006D2AC6">
              <w:t xml:space="preserve"> </w:t>
            </w:r>
            <w:r w:rsidRPr="006D2AC6">
              <w:rPr>
                <w:rStyle w:val="BoldandItalics"/>
              </w:rPr>
              <w:t>and</w:t>
            </w:r>
            <w:r w:rsidRPr="006D2AC6">
              <w:t xml:space="preserve"> </w:t>
            </w:r>
            <w:r w:rsidRPr="006D2AC6">
              <w:rPr>
                <w:rStyle w:val="BoldandItalics"/>
              </w:rPr>
              <w:t>preparation</w:t>
            </w:r>
            <w:r w:rsidRPr="006D2AC6">
              <w:t xml:space="preserve"> may include:</w:t>
            </w:r>
          </w:p>
        </w:tc>
        <w:tc>
          <w:tcPr>
            <w:tcW w:w="6512" w:type="dxa"/>
            <w:tcBorders>
              <w:top w:val="nil"/>
              <w:left w:val="nil"/>
              <w:bottom w:val="nil"/>
              <w:right w:val="nil"/>
            </w:tcBorders>
            <w:tcMar>
              <w:top w:w="0" w:type="dxa"/>
              <w:left w:w="62" w:type="dxa"/>
              <w:bottom w:w="0" w:type="dxa"/>
              <w:right w:w="62" w:type="dxa"/>
            </w:tcMar>
          </w:tcPr>
          <w:p w:rsidR="00000000" w:rsidRPr="006D2AC6" w:rsidP="006D2AC6">
            <w:pPr>
              <w:pStyle w:val="ListBullet"/>
            </w:pPr>
            <w:r w:rsidRPr="006D2AC6">
              <w:t>assessing conditions and hazards</w:t>
            </w:r>
          </w:p>
          <w:p w:rsidR="00000000" w:rsidRPr="006D2AC6" w:rsidP="006D2AC6">
            <w:pPr>
              <w:pStyle w:val="ListBullet"/>
            </w:pPr>
            <w:r w:rsidRPr="006D2AC6">
              <w:t>determining work requirements and safety plans and policies</w:t>
            </w:r>
          </w:p>
          <w:p w:rsidR="00000000" w:rsidRPr="006D2AC6" w:rsidP="006D2AC6">
            <w:pPr>
              <w:pStyle w:val="ListBullet"/>
            </w:pPr>
            <w:r w:rsidRPr="006D2AC6">
              <w:t>identifying equipment defects</w:t>
            </w:r>
          </w:p>
          <w:p w:rsidR="00000000" w:rsidP="006D2AC6">
            <w:pPr>
              <w:pStyle w:val="ListBullet"/>
              <w:rPr>
                <w:lang w:val="en-NZ"/>
              </w:rPr>
            </w:pPr>
            <w:r w:rsidRPr="006D2AC6">
              <w:t>inspecting work sites.</w:t>
            </w:r>
          </w:p>
        </w:tc>
      </w:tr>
      <w:tr w:rsidTr="006D2AC6">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rPr>
                <w:rStyle w:val="BoldandItalics"/>
              </w:rPr>
              <w:t>Work health and safety</w:t>
            </w:r>
            <w:r w:rsidRPr="006D2AC6">
              <w:t xml:space="preserve"> </w:t>
            </w:r>
            <w:r w:rsidRPr="006D2AC6">
              <w:rPr>
                <w:rStyle w:val="BoldandItalics"/>
              </w:rPr>
              <w:t>requirements</w:t>
            </w:r>
            <w:r w:rsidRPr="006D2AC6">
              <w:t xml:space="preserve"> must comply with state and territory legislation and regul</w:t>
            </w:r>
            <w:r w:rsidRPr="006D2AC6">
              <w:t>ations and project safety plan and may include:</w:t>
            </w:r>
          </w:p>
        </w:tc>
        <w:tc>
          <w:tcPr>
            <w:tcW w:w="6512" w:type="dxa"/>
            <w:tcBorders>
              <w:top w:val="nil"/>
              <w:left w:val="nil"/>
              <w:bottom w:val="nil"/>
              <w:right w:val="nil"/>
            </w:tcBorders>
            <w:tcMar>
              <w:top w:w="0" w:type="dxa"/>
              <w:left w:w="62" w:type="dxa"/>
              <w:bottom w:w="0" w:type="dxa"/>
              <w:right w:w="62" w:type="dxa"/>
            </w:tcMar>
          </w:tcPr>
          <w:p w:rsidR="00000000" w:rsidRPr="006D2AC6" w:rsidP="006D2AC6">
            <w:pPr>
              <w:pStyle w:val="ListBullet"/>
            </w:pPr>
            <w:r w:rsidRPr="006D2AC6">
              <w:t>emergency procedures, including extinguishing fires, organisational first aid requirements, and evacuation procedures</w:t>
            </w:r>
          </w:p>
          <w:p w:rsidR="00000000" w:rsidRPr="006D2AC6" w:rsidP="006D2AC6">
            <w:pPr>
              <w:pStyle w:val="ListBullet"/>
            </w:pPr>
            <w:r w:rsidRPr="006D2AC6">
              <w:t>hazard control</w:t>
            </w:r>
          </w:p>
          <w:p w:rsidR="00000000" w:rsidRPr="006D2AC6" w:rsidP="006D2AC6">
            <w:pPr>
              <w:pStyle w:val="ListBullet"/>
            </w:pPr>
            <w:r w:rsidRPr="006D2AC6">
              <w:t>handling and disposal of hazardous materials and substances, especially le</w:t>
            </w:r>
            <w:r w:rsidRPr="006D2AC6">
              <w:t>ad</w:t>
            </w:r>
          </w:p>
          <w:p w:rsidR="00000000" w:rsidRPr="006D2AC6" w:rsidP="006D2AC6">
            <w:pPr>
              <w:pStyle w:val="ListBullet"/>
            </w:pPr>
            <w:r w:rsidRPr="006D2AC6">
              <w:t>personal protective equipment (PPE) prescribed under legislation, regulations and workplace policies and practices</w:t>
            </w:r>
          </w:p>
          <w:p w:rsidR="00000000" w:rsidRPr="006D2AC6" w:rsidP="006D2AC6">
            <w:pPr>
              <w:pStyle w:val="ListBullet"/>
            </w:pPr>
            <w:r w:rsidRPr="006D2AC6">
              <w:t>safe operating procedures, including operational risk assessment and treatments associated with:</w:t>
            </w:r>
          </w:p>
          <w:p w:rsidR="00000000" w:rsidRPr="006D2AC6" w:rsidP="006D2AC6">
            <w:pPr>
              <w:pStyle w:val="ListBullet2"/>
            </w:pPr>
            <w:r w:rsidRPr="006D2AC6">
              <w:t>concealed services (water, power and gas)</w:t>
            </w:r>
          </w:p>
          <w:p w:rsidR="00000000" w:rsidRPr="006D2AC6" w:rsidP="006D2AC6">
            <w:pPr>
              <w:pStyle w:val="ListBullet2"/>
            </w:pPr>
            <w:r w:rsidRPr="006D2AC6">
              <w:t>lighting</w:t>
            </w:r>
          </w:p>
          <w:p w:rsidR="00000000" w:rsidRPr="006D2AC6" w:rsidP="006D2AC6">
            <w:pPr>
              <w:pStyle w:val="ListBullet2"/>
            </w:pPr>
            <w:r w:rsidRPr="006D2AC6">
              <w:t>restricted access barriers</w:t>
            </w:r>
          </w:p>
          <w:p w:rsidR="00000000" w:rsidRPr="006D2AC6" w:rsidP="006D2AC6">
            <w:pPr>
              <w:pStyle w:val="ListBullet2"/>
            </w:pPr>
            <w:r w:rsidRPr="006D2AC6">
              <w:t>traffic control</w:t>
            </w:r>
          </w:p>
          <w:p w:rsidR="00000000" w:rsidRPr="006D2AC6" w:rsidP="006D2AC6">
            <w:pPr>
              <w:pStyle w:val="ListBullet2"/>
            </w:pPr>
            <w:r w:rsidRPr="006D2AC6">
              <w:t>working at heights</w:t>
            </w:r>
          </w:p>
          <w:p w:rsidR="00000000" w:rsidRPr="006D2AC6" w:rsidP="006D2AC6">
            <w:pPr>
              <w:pStyle w:val="ListBullet2"/>
            </w:pPr>
            <w:r w:rsidRPr="006D2AC6">
              <w:t>work site visitors and the public</w:t>
            </w:r>
          </w:p>
          <w:p w:rsidR="00000000" w:rsidRPr="006D2AC6" w:rsidP="006D2AC6">
            <w:pPr>
              <w:pStyle w:val="ListBullet2"/>
            </w:pPr>
            <w:r w:rsidRPr="006D2AC6">
              <w:t>working in proximity to others</w:t>
            </w:r>
          </w:p>
          <w:p w:rsidR="00000000" w:rsidRPr="006D2AC6" w:rsidP="006D2AC6">
            <w:pPr>
              <w:pStyle w:val="ListBullet"/>
            </w:pPr>
            <w:r w:rsidRPr="006D2AC6">
              <w:t>use of firefighting equipment</w:t>
            </w:r>
          </w:p>
          <w:p w:rsidR="00000000" w:rsidRPr="006D2AC6" w:rsidP="006D2AC6">
            <w:pPr>
              <w:pStyle w:val="ListBullet"/>
            </w:pPr>
            <w:r w:rsidRPr="006D2AC6">
              <w:t>use of tools and equipment</w:t>
            </w:r>
          </w:p>
          <w:p w:rsidR="00000000" w:rsidP="006D2AC6">
            <w:pPr>
              <w:pStyle w:val="ListBullet"/>
              <w:rPr>
                <w:lang w:val="en-NZ"/>
              </w:rPr>
            </w:pPr>
            <w:r w:rsidRPr="006D2AC6">
              <w:t>workplace environmen</w:t>
            </w:r>
            <w:r w:rsidRPr="006D2AC6">
              <w:t>tal requirements and safety.</w:t>
            </w:r>
          </w:p>
        </w:tc>
      </w:tr>
      <w:tr w:rsidTr="006D2AC6">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rPr>
                <w:rStyle w:val="BoldandItalics"/>
              </w:rPr>
              <w:t>Tools</w:t>
            </w:r>
            <w:r w:rsidRPr="006D2AC6">
              <w:t xml:space="preserve"> </w:t>
            </w:r>
            <w:r w:rsidRPr="006D2AC6">
              <w:rPr>
                <w:rStyle w:val="BoldandItalics"/>
              </w:rPr>
              <w:t>and</w:t>
            </w:r>
            <w:r w:rsidRPr="006D2AC6">
              <w:t xml:space="preserve"> </w:t>
            </w:r>
            <w:r w:rsidRPr="006D2AC6">
              <w:rPr>
                <w:rStyle w:val="BoldandItalics"/>
              </w:rPr>
              <w:t>equipment</w:t>
            </w:r>
            <w:r w:rsidRPr="006D2AC6">
              <w:t xml:space="preserve"> may include:</w:t>
            </w:r>
          </w:p>
        </w:tc>
        <w:tc>
          <w:tcPr>
            <w:tcW w:w="6512" w:type="dxa"/>
            <w:tcBorders>
              <w:top w:val="nil"/>
              <w:left w:val="nil"/>
              <w:bottom w:val="nil"/>
              <w:right w:val="nil"/>
            </w:tcBorders>
            <w:tcMar>
              <w:top w:w="0" w:type="dxa"/>
              <w:left w:w="62" w:type="dxa"/>
              <w:bottom w:w="0" w:type="dxa"/>
              <w:right w:w="62" w:type="dxa"/>
            </w:tcMar>
          </w:tcPr>
          <w:p w:rsidR="00000000" w:rsidRPr="006D2AC6" w:rsidP="006D2AC6">
            <w:pPr>
              <w:pStyle w:val="ListBullet"/>
            </w:pPr>
            <w:r w:rsidRPr="006D2AC6">
              <w:t>clamps</w:t>
            </w:r>
          </w:p>
          <w:p w:rsidR="00000000" w:rsidRPr="006D2AC6" w:rsidP="006D2AC6">
            <w:pPr>
              <w:pStyle w:val="ListBullet"/>
            </w:pPr>
            <w:r w:rsidRPr="006D2AC6">
              <w:t>cotton wool or velvet</w:t>
            </w:r>
          </w:p>
          <w:p w:rsidR="00000000" w:rsidRPr="006D2AC6" w:rsidP="006D2AC6">
            <w:pPr>
              <w:pStyle w:val="ListBullet"/>
            </w:pPr>
            <w:r w:rsidRPr="006D2AC6">
              <w:t>gelatine</w:t>
            </w:r>
          </w:p>
          <w:p w:rsidR="00000000" w:rsidRPr="006D2AC6" w:rsidP="006D2AC6">
            <w:pPr>
              <w:pStyle w:val="ListBullet"/>
            </w:pPr>
            <w:r w:rsidRPr="006D2AC6">
              <w:t>hammers</w:t>
            </w:r>
          </w:p>
          <w:p w:rsidR="00000000" w:rsidRPr="006D2AC6" w:rsidP="006D2AC6">
            <w:pPr>
              <w:pStyle w:val="ListBullet"/>
            </w:pPr>
            <w:r w:rsidRPr="006D2AC6">
              <w:t>lettering chisels</w:t>
            </w:r>
          </w:p>
          <w:p w:rsidR="00000000" w:rsidRPr="006D2AC6" w:rsidP="006D2AC6">
            <w:pPr>
              <w:pStyle w:val="ListBullet"/>
            </w:pPr>
            <w:r w:rsidRPr="006D2AC6">
              <w:t>mallets</w:t>
            </w:r>
          </w:p>
          <w:p w:rsidR="00000000" w:rsidRPr="006D2AC6" w:rsidP="006D2AC6">
            <w:pPr>
              <w:pStyle w:val="ListBullet"/>
            </w:pPr>
            <w:r w:rsidRPr="006D2AC6">
              <w:t>masonry drills</w:t>
            </w:r>
          </w:p>
          <w:p w:rsidR="00000000" w:rsidRPr="006D2AC6" w:rsidP="006D2AC6">
            <w:pPr>
              <w:pStyle w:val="ListBullet"/>
            </w:pPr>
            <w:r w:rsidRPr="006D2AC6">
              <w:t>measuring tapes and rules</w:t>
            </w:r>
          </w:p>
          <w:p w:rsidR="00000000" w:rsidRPr="006D2AC6" w:rsidP="006D2AC6">
            <w:pPr>
              <w:pStyle w:val="ListBullet"/>
            </w:pPr>
            <w:r w:rsidRPr="006D2AC6">
              <w:t>pneumatic lettering chisels</w:t>
            </w:r>
          </w:p>
          <w:p w:rsidR="00000000" w:rsidRPr="006D2AC6" w:rsidP="006D2AC6">
            <w:pPr>
              <w:pStyle w:val="ListBullet"/>
            </w:pPr>
            <w:r w:rsidRPr="006D2AC6">
              <w:t>power grinders</w:t>
            </w:r>
          </w:p>
          <w:p w:rsidR="00000000" w:rsidRPr="006D2AC6" w:rsidP="006D2AC6">
            <w:pPr>
              <w:pStyle w:val="ListBullet"/>
            </w:pPr>
            <w:r w:rsidRPr="006D2AC6">
              <w:t>power leads</w:t>
            </w:r>
          </w:p>
          <w:p w:rsidR="00000000" w:rsidRPr="006D2AC6" w:rsidP="006D2AC6">
            <w:pPr>
              <w:pStyle w:val="ListBullet"/>
            </w:pPr>
            <w:r w:rsidRPr="006D2AC6">
              <w:t>punches</w:t>
            </w:r>
          </w:p>
          <w:p w:rsidR="00000000" w:rsidRPr="006D2AC6" w:rsidP="006D2AC6">
            <w:pPr>
              <w:pStyle w:val="ListBullet"/>
            </w:pPr>
            <w:r w:rsidRPr="006D2AC6">
              <w:t>scribers</w:t>
            </w:r>
          </w:p>
          <w:p w:rsidR="00000000" w:rsidRPr="006D2AC6" w:rsidP="006D2AC6">
            <w:pPr>
              <w:pStyle w:val="ListBullet"/>
            </w:pPr>
            <w:r w:rsidRPr="006D2AC6">
              <w:t>sculptor’s chisels</w:t>
            </w:r>
          </w:p>
          <w:p w:rsidR="00000000" w:rsidRPr="006D2AC6" w:rsidP="006D2AC6">
            <w:pPr>
              <w:pStyle w:val="ListBullet"/>
            </w:pPr>
            <w:r w:rsidRPr="006D2AC6">
              <w:t>squares</w:t>
            </w:r>
          </w:p>
          <w:p w:rsidR="00000000" w:rsidP="006D2AC6">
            <w:pPr>
              <w:pStyle w:val="ListBullet"/>
              <w:rPr>
                <w:lang w:val="en-NZ"/>
              </w:rPr>
            </w:pPr>
            <w:r w:rsidRPr="006D2AC6">
              <w:t>straight edges.</w:t>
            </w:r>
          </w:p>
        </w:tc>
      </w:tr>
      <w:tr w:rsidTr="006D2AC6">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rPr>
                <w:rStyle w:val="BoldandItalics"/>
              </w:rPr>
              <w:t>Quality</w:t>
            </w:r>
            <w:r w:rsidRPr="006D2AC6">
              <w:t xml:space="preserve"> </w:t>
            </w:r>
            <w:r w:rsidRPr="006D2AC6">
              <w:rPr>
                <w:rStyle w:val="BoldandItalics"/>
              </w:rPr>
              <w:t>requirements</w:t>
            </w:r>
            <w:r w:rsidRPr="006D2AC6">
              <w:t xml:space="preserve"> may include:</w:t>
            </w:r>
          </w:p>
        </w:tc>
        <w:tc>
          <w:tcPr>
            <w:tcW w:w="6512" w:type="dxa"/>
            <w:tcBorders>
              <w:top w:val="nil"/>
              <w:left w:val="nil"/>
              <w:bottom w:val="nil"/>
              <w:right w:val="nil"/>
            </w:tcBorders>
            <w:tcMar>
              <w:top w:w="0" w:type="dxa"/>
              <w:left w:w="62" w:type="dxa"/>
              <w:bottom w:w="0" w:type="dxa"/>
              <w:right w:w="62" w:type="dxa"/>
            </w:tcMar>
          </w:tcPr>
          <w:p w:rsidR="00000000" w:rsidRPr="006D2AC6" w:rsidP="006D2AC6">
            <w:pPr>
              <w:pStyle w:val="ListBullet"/>
            </w:pPr>
            <w:r w:rsidRPr="006D2AC6">
              <w:t>attention to specifications of work</w:t>
            </w:r>
          </w:p>
          <w:p w:rsidR="00000000" w:rsidRPr="006D2AC6" w:rsidP="006D2AC6">
            <w:pPr>
              <w:pStyle w:val="ListBullet"/>
            </w:pPr>
            <w:r w:rsidRPr="006D2AC6">
              <w:t>control of handling procedures</w:t>
            </w:r>
          </w:p>
          <w:p w:rsidR="00000000" w:rsidRPr="006D2AC6" w:rsidP="006D2AC6">
            <w:pPr>
              <w:pStyle w:val="ListBullet"/>
            </w:pPr>
            <w:r w:rsidRPr="006D2AC6">
              <w:t>finishing of stone surfaces</w:t>
            </w:r>
          </w:p>
          <w:p w:rsidR="00000000" w:rsidRPr="006D2AC6" w:rsidP="006D2AC6">
            <w:pPr>
              <w:pStyle w:val="ListBullet"/>
            </w:pPr>
            <w:r w:rsidRPr="006D2AC6">
              <w:t>quality of materials</w:t>
            </w:r>
          </w:p>
          <w:p w:rsidR="00000000" w:rsidRPr="006D2AC6" w:rsidP="006D2AC6">
            <w:pPr>
              <w:pStyle w:val="ListBullet"/>
            </w:pPr>
            <w:r w:rsidRPr="006D2AC6">
              <w:t>relevant regulations, including:</w:t>
            </w:r>
          </w:p>
          <w:p w:rsidR="00000000" w:rsidRPr="006D2AC6" w:rsidP="006D2AC6">
            <w:pPr>
              <w:pStyle w:val="ListBullet2"/>
            </w:pPr>
            <w:r w:rsidRPr="006D2AC6">
              <w:t>Australian standards</w:t>
            </w:r>
          </w:p>
          <w:p w:rsidR="00000000" w:rsidRPr="006D2AC6" w:rsidP="006D2AC6">
            <w:pPr>
              <w:pStyle w:val="ListBullet2"/>
            </w:pPr>
            <w:r w:rsidRPr="006D2AC6">
              <w:t>internal organisational quality policy and standards</w:t>
            </w:r>
          </w:p>
          <w:p w:rsidR="00000000" w:rsidRPr="006D2AC6" w:rsidP="006D2AC6">
            <w:pPr>
              <w:pStyle w:val="ListBullet2"/>
            </w:pPr>
            <w:r w:rsidRPr="006D2AC6">
              <w:t>manufacturer specifications where specified</w:t>
            </w:r>
          </w:p>
          <w:p w:rsidR="00000000" w:rsidP="006D2AC6">
            <w:pPr>
              <w:pStyle w:val="ListBullet2"/>
              <w:rPr>
                <w:lang w:val="en-NZ"/>
              </w:rPr>
            </w:pPr>
            <w:r w:rsidRPr="006D2AC6">
              <w:t>workplace operations and procedures.</w:t>
            </w:r>
          </w:p>
        </w:tc>
      </w:tr>
      <w:tr w:rsidTr="006D2AC6">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rPr>
                <w:rStyle w:val="BoldandItalics"/>
              </w:rPr>
              <w:t>Environmental</w:t>
            </w:r>
            <w:r w:rsidRPr="006D2AC6">
              <w:t xml:space="preserve"> </w:t>
            </w:r>
            <w:r w:rsidRPr="006D2AC6">
              <w:rPr>
                <w:rStyle w:val="BoldandItalics"/>
              </w:rPr>
              <w:t>requirements</w:t>
            </w:r>
            <w:r w:rsidRPr="006D2AC6">
              <w:t xml:space="preserve"> may include:</w:t>
            </w:r>
          </w:p>
        </w:tc>
        <w:tc>
          <w:tcPr>
            <w:tcW w:w="6512" w:type="dxa"/>
            <w:tcBorders>
              <w:top w:val="nil"/>
              <w:left w:val="nil"/>
              <w:bottom w:val="nil"/>
              <w:right w:val="nil"/>
            </w:tcBorders>
            <w:tcMar>
              <w:top w:w="0" w:type="dxa"/>
              <w:left w:w="62" w:type="dxa"/>
              <w:bottom w:w="0" w:type="dxa"/>
              <w:right w:w="62" w:type="dxa"/>
            </w:tcMar>
          </w:tcPr>
          <w:p w:rsidR="00000000" w:rsidRPr="006D2AC6" w:rsidP="006D2AC6">
            <w:pPr>
              <w:pStyle w:val="ListBullet"/>
            </w:pPr>
            <w:r w:rsidRPr="006D2AC6">
              <w:t>clean-up management</w:t>
            </w:r>
          </w:p>
          <w:p w:rsidR="00000000" w:rsidRPr="006D2AC6" w:rsidP="006D2AC6">
            <w:pPr>
              <w:pStyle w:val="ListBullet"/>
            </w:pPr>
            <w:r w:rsidRPr="006D2AC6">
              <w:t>dust and noise control</w:t>
            </w:r>
          </w:p>
          <w:p w:rsidR="00000000" w:rsidRPr="006D2AC6" w:rsidP="006D2AC6">
            <w:pPr>
              <w:pStyle w:val="ListBullet"/>
            </w:pPr>
            <w:r w:rsidRPr="006D2AC6">
              <w:t>vibration management</w:t>
            </w:r>
          </w:p>
          <w:p w:rsidR="00000000" w:rsidP="006D2AC6">
            <w:pPr>
              <w:pStyle w:val="ListBullet"/>
              <w:rPr>
                <w:lang w:val="en-NZ"/>
              </w:rPr>
            </w:pPr>
            <w:r w:rsidRPr="006D2AC6">
              <w:t>waste management.</w:t>
            </w:r>
          </w:p>
        </w:tc>
      </w:tr>
      <w:tr w:rsidTr="006D2AC6">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6D2AC6">
            <w:pPr>
              <w:pStyle w:val="BodyText"/>
              <w:rPr>
                <w:lang w:val="en-NZ"/>
              </w:rPr>
            </w:pPr>
            <w:r w:rsidRPr="006D2AC6">
              <w:rPr>
                <w:rStyle w:val="BoldandItalics"/>
              </w:rPr>
              <w:t>Statutory</w:t>
            </w:r>
            <w:r w:rsidRPr="006D2AC6">
              <w:t xml:space="preserve"> </w:t>
            </w:r>
            <w:r w:rsidRPr="006D2AC6">
              <w:rPr>
                <w:rStyle w:val="BoldandItalics"/>
              </w:rPr>
              <w:t>and</w:t>
            </w:r>
            <w:r w:rsidRPr="006D2AC6">
              <w:t xml:space="preserve"> </w:t>
            </w:r>
            <w:r w:rsidRPr="006D2AC6">
              <w:rPr>
                <w:rStyle w:val="BoldandItalics"/>
              </w:rPr>
              <w:t>regulatory</w:t>
            </w:r>
            <w:r w:rsidRPr="006D2AC6">
              <w:t xml:space="preserve"> </w:t>
            </w:r>
            <w:r w:rsidRPr="006D2AC6">
              <w:rPr>
                <w:rStyle w:val="BoldandItalics"/>
              </w:rPr>
              <w:t>authority</w:t>
            </w:r>
            <w:r w:rsidRPr="006D2AC6">
              <w:t xml:space="preserve"> includes:</w:t>
            </w:r>
          </w:p>
        </w:tc>
        <w:tc>
          <w:tcPr>
            <w:tcW w:w="6512" w:type="dxa"/>
            <w:tcBorders>
              <w:top w:val="nil"/>
              <w:left w:val="nil"/>
              <w:bottom w:val="nil"/>
              <w:right w:val="nil"/>
            </w:tcBorders>
            <w:tcMar>
              <w:top w:w="0" w:type="dxa"/>
              <w:left w:w="62" w:type="dxa"/>
              <w:bottom w:w="0" w:type="dxa"/>
              <w:right w:w="62" w:type="dxa"/>
            </w:tcMar>
          </w:tcPr>
          <w:p w:rsidR="00000000" w:rsidRPr="006D2AC6" w:rsidP="006D2AC6">
            <w:pPr>
              <w:pStyle w:val="ListBullet"/>
            </w:pPr>
            <w:r w:rsidRPr="006D2AC6">
              <w:t>federal, state and local authorities administering applicable Acts, regulations and codes of practice.</w:t>
            </w:r>
          </w:p>
        </w:tc>
      </w:tr>
    </w:tbl>
    <w:p w:rsidR="00475FA0" w:rsidP="006D2AC6">
      <w:pPr>
        <w:pStyle w:val="BodyText"/>
      </w:pPr>
    </w:p>
    <w:p w:rsidR="00475FA0" w:rsidP="006D2AC6">
      <w:pPr>
        <w:pStyle w:val="BodyText"/>
      </w:pPr>
    </w:p>
    <w:p w:rsidR="00000000" w:rsidRPr="006D2AC6" w:rsidP="006D2AC6">
      <w:pPr>
        <w:pStyle w:val="Heading1"/>
      </w:pPr>
      <w:bookmarkStart w:id="12" w:name="O_618435"/>
      <w:bookmarkEnd w:id="12"/>
      <w:r w:rsidRPr="006D2AC6">
        <w:t>Unit Sector(s)</w:t>
      </w:r>
    </w:p>
    <w:p w:rsidR="00000000" w:rsidRPr="006D2AC6" w:rsidP="006D2AC6">
      <w:pPr>
        <w:pStyle w:val="BodyText"/>
      </w:pPr>
      <w:r w:rsidRPr="006D2AC6">
        <w:t>Construction</w:t>
      </w:r>
    </w:p>
    <w:p w:rsidR="00000000" w:rsidRPr="006D2AC6" w:rsidP="006D2AC6">
      <w:pPr>
        <w:pStyle w:val="AllowPageBreak"/>
      </w:pPr>
    </w:p>
    <w:p w:rsidR="00000000" w:rsidRPr="006D2AC6" w:rsidP="006D2AC6">
      <w:pPr>
        <w:pStyle w:val="Heading1"/>
      </w:pPr>
      <w:bookmarkStart w:id="13" w:name="O_618436"/>
      <w:bookmarkEnd w:id="13"/>
      <w:r w:rsidRPr="006D2AC6">
        <w:t>Custom Content Section</w:t>
      </w:r>
    </w:p>
    <w:p w:rsidR="00000000" w:rsidRPr="006D2AC6" w:rsidP="006D2AC6">
      <w:pPr>
        <w:pStyle w:val="BodyText"/>
      </w:pPr>
      <w:r w:rsidRPr="006D2AC6">
        <w:t>Not applicable.</w:t>
      </w:r>
    </w:p>
    <w:p w:rsidR="00000000" w:rsidRPr="006D2AC6" w:rsidP="006D2AC6"/>
    <w:sectPr w:rsidSect="006D2A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C6" w:rsidRPr="00475FA0" w:rsidP="00475F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FA0" w:rsidP="006D2A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75FA0" w:rsidP="006D2AC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75FA0" w:rsidP="006D2A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C6" w:rsidRPr="00475FA0" w:rsidP="00475F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FA0" w:rsidRPr="002D2AF8" w:rsidP="006D2AC6">
    <w:pPr>
      <w:pStyle w:val="Header"/>
      <w:framePr w:wrap="around"/>
    </w:pPr>
    <w:r>
      <w:fldChar w:fldCharType="begin"/>
    </w:r>
    <w:r>
      <w:instrText xml:space="preserve"> TITLE   \* MERGEFORMAT </w:instrText>
    </w:r>
    <w:r>
      <w:fldChar w:fldCharType="separate"/>
    </w:r>
    <w:r>
      <w:t>CPCCST3018A Inlay lead to stone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475FA0" w:rsidP="006D2A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3444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6050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9E37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A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2AC6"/>
    <w:pPr>
      <w:spacing w:before="360" w:after="60"/>
      <w:outlineLvl w:val="0"/>
    </w:pPr>
    <w:rPr>
      <w:sz w:val="32"/>
    </w:rPr>
  </w:style>
  <w:style w:type="paragraph" w:styleId="Heading2">
    <w:name w:val="heading 2"/>
    <w:basedOn w:val="HeadingBase"/>
    <w:next w:val="BodyText"/>
    <w:link w:val="Heading2Char"/>
    <w:qFormat/>
    <w:rsid w:val="006D2AC6"/>
    <w:pPr>
      <w:keepLines/>
      <w:spacing w:before="240" w:after="120"/>
      <w:outlineLvl w:val="1"/>
    </w:pPr>
    <w:rPr>
      <w:sz w:val="28"/>
      <w:szCs w:val="40"/>
    </w:rPr>
  </w:style>
  <w:style w:type="paragraph" w:styleId="Heading3">
    <w:name w:val="heading 3"/>
    <w:basedOn w:val="HeadingBase"/>
    <w:next w:val="BodyText"/>
    <w:link w:val="Heading3Char"/>
    <w:qFormat/>
    <w:rsid w:val="006D2AC6"/>
    <w:pPr>
      <w:spacing w:before="180" w:after="120"/>
      <w:outlineLvl w:val="2"/>
    </w:pPr>
    <w:rPr>
      <w:spacing w:val="-10"/>
      <w:kern w:val="32"/>
    </w:rPr>
  </w:style>
  <w:style w:type="paragraph" w:styleId="Heading4">
    <w:name w:val="heading 4"/>
    <w:basedOn w:val="HeadingBase"/>
    <w:next w:val="BodyText"/>
    <w:link w:val="Heading4Char"/>
    <w:qFormat/>
    <w:rsid w:val="006D2AC6"/>
    <w:pPr>
      <w:spacing w:before="160" w:after="120"/>
      <w:outlineLvl w:val="3"/>
    </w:pPr>
    <w:rPr>
      <w:sz w:val="22"/>
    </w:rPr>
  </w:style>
  <w:style w:type="paragraph" w:styleId="Heading5">
    <w:name w:val="heading 5"/>
    <w:basedOn w:val="HeadingBase"/>
    <w:next w:val="Normal"/>
    <w:link w:val="Heading5Char"/>
    <w:qFormat/>
    <w:rsid w:val="006D2AC6"/>
    <w:pPr>
      <w:spacing w:before="80"/>
      <w:outlineLvl w:val="4"/>
    </w:pPr>
    <w:rPr>
      <w:color w:val="918585"/>
      <w:sz w:val="20"/>
    </w:rPr>
  </w:style>
  <w:style w:type="paragraph" w:styleId="Heading6">
    <w:name w:val="heading 6"/>
    <w:basedOn w:val="HeadingBase"/>
    <w:next w:val="Normal"/>
    <w:link w:val="Heading6Char"/>
    <w:qFormat/>
    <w:rsid w:val="006D2AC6"/>
    <w:pPr>
      <w:spacing w:before="60"/>
      <w:outlineLvl w:val="5"/>
    </w:pPr>
    <w:rPr>
      <w:color w:val="918585"/>
      <w:sz w:val="20"/>
    </w:rPr>
  </w:style>
  <w:style w:type="paragraph" w:styleId="Heading7">
    <w:name w:val="heading 7"/>
    <w:basedOn w:val="Normal"/>
    <w:next w:val="Normal"/>
    <w:link w:val="Heading7Char"/>
    <w:qFormat/>
    <w:rsid w:val="006D2AC6"/>
    <w:pPr>
      <w:ind w:left="720"/>
      <w:outlineLvl w:val="6"/>
    </w:pPr>
    <w:rPr>
      <w:i/>
    </w:rPr>
  </w:style>
  <w:style w:type="paragraph" w:styleId="Heading8">
    <w:name w:val="heading 8"/>
    <w:basedOn w:val="Normal"/>
    <w:next w:val="Normal"/>
    <w:link w:val="Heading8Char"/>
    <w:qFormat/>
    <w:rsid w:val="006D2AC6"/>
    <w:pPr>
      <w:ind w:left="720"/>
      <w:outlineLvl w:val="7"/>
    </w:pPr>
    <w:rPr>
      <w:i/>
    </w:rPr>
  </w:style>
  <w:style w:type="paragraph" w:styleId="Heading9">
    <w:name w:val="heading 9"/>
    <w:basedOn w:val="Normal"/>
    <w:next w:val="Normal"/>
    <w:link w:val="Heading9Char"/>
    <w:qFormat/>
    <w:rsid w:val="006D2AC6"/>
    <w:pPr>
      <w:ind w:left="720"/>
      <w:outlineLvl w:val="8"/>
    </w:pPr>
    <w:rPr>
      <w:i/>
    </w:rPr>
  </w:style>
  <w:style w:type="character" w:default="1" w:styleId="DefaultParagraphFont">
    <w:name w:val="Default Paragraph Font"/>
    <w:uiPriority w:val="1"/>
    <w:unhideWhenUsed/>
    <w:rsid w:val="006D2A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AC6"/>
  </w:style>
  <w:style w:type="character" w:customStyle="1" w:styleId="Heading1Char">
    <w:name w:val="Heading 1 Char"/>
    <w:basedOn w:val="DefaultParagraphFont"/>
    <w:link w:val="Heading1"/>
    <w:rsid w:val="006D2AC6"/>
    <w:rPr>
      <w:rFonts w:ascii="Times New Roman" w:eastAsia="Times New Roman" w:hAnsi="Times New Roman" w:cs="Times New Roman"/>
      <w:b/>
      <w:sz w:val="32"/>
      <w:szCs w:val="20"/>
      <w:lang w:eastAsia="en-US"/>
    </w:rPr>
  </w:style>
  <w:style w:type="paragraph" w:styleId="BodyText">
    <w:name w:val="Body Text"/>
    <w:basedOn w:val="Normal"/>
    <w:link w:val="BodyTextChar"/>
    <w:rsid w:val="006D2A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2AC6"/>
    <w:rPr>
      <w:rFonts w:ascii="Times New Roman" w:eastAsia="Times New Roman" w:hAnsi="Times New Roman" w:cs="Times New Roman"/>
      <w:sz w:val="24"/>
      <w:lang w:eastAsia="en-US"/>
    </w:rPr>
  </w:style>
  <w:style w:type="paragraph" w:styleId="ListBullet">
    <w:name w:val="List Bullet"/>
    <w:basedOn w:val="List"/>
    <w:rsid w:val="006D2AC6"/>
    <w:pPr>
      <w:numPr>
        <w:numId w:val="13"/>
      </w:numPr>
      <w:tabs>
        <w:tab w:val="clear" w:pos="340"/>
      </w:tabs>
      <w:spacing w:before="40" w:after="40"/>
    </w:pPr>
  </w:style>
  <w:style w:type="character" w:customStyle="1" w:styleId="SpecialBold">
    <w:name w:val="Special Bold"/>
    <w:basedOn w:val="DefaultParagraphFont"/>
    <w:rsid w:val="006D2AC6"/>
    <w:rPr>
      <w:b/>
      <w:spacing w:val="0"/>
    </w:rPr>
  </w:style>
  <w:style w:type="paragraph" w:styleId="ListBullet2">
    <w:name w:val="List Bullet 2"/>
    <w:basedOn w:val="List2"/>
    <w:rsid w:val="006D2AC6"/>
    <w:pPr>
      <w:numPr>
        <w:numId w:val="14"/>
      </w:numPr>
      <w:tabs>
        <w:tab w:val="clear" w:pos="680"/>
      </w:tabs>
    </w:pPr>
  </w:style>
  <w:style w:type="paragraph" w:customStyle="1" w:styleId="SuperHeading">
    <w:name w:val="SuperHeading"/>
    <w:basedOn w:val="Normal"/>
    <w:rsid w:val="006D2AC6"/>
    <w:pPr>
      <w:spacing w:before="240" w:after="120"/>
      <w:outlineLvl w:val="0"/>
    </w:pPr>
    <w:rPr>
      <w:rFonts w:ascii="Times New Roman" w:hAnsi="Times New Roman"/>
      <w:b/>
      <w:sz w:val="32"/>
    </w:rPr>
  </w:style>
  <w:style w:type="paragraph" w:customStyle="1" w:styleId="AllowPageBreak">
    <w:name w:val="AllowPageBreak"/>
    <w:rsid w:val="006D2A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2AC6"/>
    <w:rPr>
      <w:b/>
      <w:i/>
      <w:u w:val="none"/>
    </w:rPr>
  </w:style>
  <w:style w:type="character" w:customStyle="1" w:styleId="Heading2Char">
    <w:name w:val="Heading 2 Char"/>
    <w:basedOn w:val="DefaultParagraphFont"/>
    <w:link w:val="Heading2"/>
    <w:rsid w:val="006D2A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2A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A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A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A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A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2A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2AC6"/>
    <w:rPr>
      <w:rFonts w:ascii="Courier New" w:eastAsia="Times New Roman" w:hAnsi="Courier New" w:cs="Times New Roman"/>
      <w:i/>
      <w:szCs w:val="20"/>
      <w:lang w:eastAsia="en-US"/>
    </w:rPr>
  </w:style>
  <w:style w:type="paragraph" w:customStyle="1" w:styleId="HeadingBase">
    <w:name w:val="Heading Base"/>
    <w:rsid w:val="006D2A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AC6"/>
    <w:pPr>
      <w:tabs>
        <w:tab w:val="right" w:leader="dot" w:pos="9072"/>
      </w:tabs>
      <w:ind w:left="567"/>
    </w:pPr>
    <w:rPr>
      <w:szCs w:val="22"/>
    </w:rPr>
  </w:style>
  <w:style w:type="paragraph" w:customStyle="1" w:styleId="TOCBase">
    <w:name w:val="TOC Base"/>
    <w:rsid w:val="006D2A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AC6"/>
    <w:pPr>
      <w:tabs>
        <w:tab w:val="right" w:leader="dot" w:pos="9072"/>
      </w:tabs>
      <w:spacing w:before="40" w:after="40"/>
      <w:ind w:left="284"/>
    </w:pPr>
    <w:rPr>
      <w:rFonts w:ascii="Times New Roman" w:hAnsi="Times New Roman"/>
    </w:rPr>
  </w:style>
  <w:style w:type="paragraph" w:styleId="TOC1">
    <w:name w:val="toc 1"/>
    <w:basedOn w:val="TOCBase"/>
    <w:next w:val="Normal"/>
    <w:rsid w:val="006D2A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2A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AC6"/>
    <w:rPr>
      <w:rFonts w:ascii="Times New Roman" w:eastAsia="Times New Roman" w:hAnsi="Times New Roman" w:cs="Times New Roman"/>
      <w:sz w:val="16"/>
      <w:lang w:eastAsia="en-US"/>
    </w:rPr>
  </w:style>
  <w:style w:type="paragraph" w:styleId="Title">
    <w:name w:val="Title"/>
    <w:basedOn w:val="HeadingBase"/>
    <w:link w:val="TitleChar"/>
    <w:qFormat/>
    <w:rsid w:val="006D2AC6"/>
    <w:pPr>
      <w:spacing w:before="5040"/>
      <w:jc w:val="center"/>
    </w:pPr>
    <w:rPr>
      <w:sz w:val="48"/>
      <w:szCs w:val="72"/>
      <w:lang w:val="en-US"/>
    </w:rPr>
  </w:style>
  <w:style w:type="character" w:customStyle="1" w:styleId="TitleChar">
    <w:name w:val="Title Char"/>
    <w:basedOn w:val="DefaultParagraphFont"/>
    <w:link w:val="Title"/>
    <w:rsid w:val="006D2A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AC6"/>
    <w:pPr>
      <w:tabs>
        <w:tab w:val="left" w:pos="3600"/>
        <w:tab w:val="left" w:pos="3958"/>
      </w:tabs>
    </w:pPr>
  </w:style>
  <w:style w:type="paragraph" w:styleId="List">
    <w:name w:val="List"/>
    <w:basedOn w:val="BodyText"/>
    <w:next w:val="BodyText"/>
    <w:rsid w:val="006D2AC6"/>
    <w:pPr>
      <w:tabs>
        <w:tab w:val="left" w:pos="340"/>
      </w:tabs>
      <w:spacing w:before="60" w:after="60"/>
      <w:ind w:left="340" w:hanging="340"/>
    </w:pPr>
  </w:style>
  <w:style w:type="paragraph" w:customStyle="1" w:styleId="Note">
    <w:name w:val="Note"/>
    <w:basedOn w:val="BodyText"/>
    <w:rsid w:val="006D2A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AC6"/>
    <w:pPr>
      <w:framePr w:wrap="auto" w:hAnchor="text" w:y="6049"/>
    </w:pPr>
    <w:rPr>
      <w:color w:val="000000"/>
      <w:sz w:val="40"/>
    </w:rPr>
  </w:style>
  <w:style w:type="paragraph" w:customStyle="1" w:styleId="TOCTitle">
    <w:name w:val="TOCTitle"/>
    <w:basedOn w:val="Heading1"/>
    <w:rsid w:val="006D2AC6"/>
    <w:pPr>
      <w:spacing w:after="240"/>
      <w:jc w:val="center"/>
      <w:outlineLvl w:val="9"/>
    </w:pPr>
    <w:rPr>
      <w:caps/>
    </w:rPr>
  </w:style>
  <w:style w:type="paragraph" w:customStyle="1" w:styleId="Version">
    <w:name w:val="Version"/>
    <w:rsid w:val="006D2A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2AC6"/>
    <w:pPr>
      <w:keepNext w:val="0"/>
      <w:tabs>
        <w:tab w:val="right" w:pos="4176"/>
      </w:tabs>
      <w:ind w:left="198" w:hanging="198"/>
    </w:pPr>
    <w:rPr>
      <w:rFonts w:ascii="Garamond" w:hAnsi="Garamond"/>
    </w:rPr>
  </w:style>
  <w:style w:type="paragraph" w:styleId="IndexHeading">
    <w:name w:val="index heading"/>
    <w:basedOn w:val="Normal"/>
    <w:next w:val="Index1"/>
    <w:semiHidden/>
    <w:rsid w:val="006D2AC6"/>
    <w:pPr>
      <w:spacing w:before="120" w:after="120"/>
    </w:pPr>
    <w:rPr>
      <w:rFonts w:ascii="Arial" w:hAnsi="Arial"/>
      <w:b/>
      <w:color w:val="918585"/>
      <w:sz w:val="24"/>
    </w:rPr>
  </w:style>
  <w:style w:type="paragraph" w:styleId="Header">
    <w:name w:val="header"/>
    <w:basedOn w:val="Normal"/>
    <w:link w:val="HeaderChar"/>
    <w:rsid w:val="006D2A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AC6"/>
    <w:rPr>
      <w:rFonts w:ascii="Times New Roman" w:eastAsia="Times New Roman" w:hAnsi="Times New Roman" w:cs="Times New Roman"/>
      <w:sz w:val="16"/>
      <w:szCs w:val="20"/>
      <w:lang w:val="en-GB" w:eastAsia="en-US"/>
    </w:rPr>
  </w:style>
  <w:style w:type="paragraph" w:customStyle="1" w:styleId="Chapter">
    <w:name w:val="Chapter"/>
    <w:basedOn w:val="Normal"/>
    <w:rsid w:val="006D2AC6"/>
    <w:pPr>
      <w:spacing w:before="240"/>
    </w:pPr>
    <w:rPr>
      <w:rFonts w:ascii="Times New Roman" w:hAnsi="Times New Roman"/>
      <w:smallCaps/>
      <w:spacing w:val="80"/>
      <w:sz w:val="28"/>
    </w:rPr>
  </w:style>
  <w:style w:type="paragraph" w:customStyle="1" w:styleId="InChapter">
    <w:name w:val="InChapter"/>
    <w:basedOn w:val="Heading3"/>
    <w:rsid w:val="006D2AC6"/>
    <w:pPr>
      <w:spacing w:after="240"/>
      <w:outlineLvl w:val="9"/>
    </w:pPr>
    <w:rPr>
      <w:noProof/>
    </w:rPr>
  </w:style>
  <w:style w:type="paragraph" w:styleId="Index2">
    <w:name w:val="index 2"/>
    <w:basedOn w:val="Normal"/>
    <w:next w:val="Normal"/>
    <w:semiHidden/>
    <w:rsid w:val="006D2AC6"/>
    <w:pPr>
      <w:tabs>
        <w:tab w:val="right" w:pos="4176"/>
      </w:tabs>
      <w:ind w:left="568" w:hanging="284"/>
    </w:pPr>
    <w:rPr>
      <w:rFonts w:ascii="Garamond" w:hAnsi="Garamond"/>
    </w:rPr>
  </w:style>
  <w:style w:type="paragraph" w:customStyle="1" w:styleId="Byline">
    <w:name w:val="Byline"/>
    <w:rsid w:val="006D2A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AC6"/>
    <w:pPr>
      <w:tabs>
        <w:tab w:val="clear" w:pos="3600"/>
        <w:tab w:val="clear" w:pos="3958"/>
      </w:tabs>
      <w:jc w:val="right"/>
    </w:pPr>
  </w:style>
  <w:style w:type="character" w:styleId="Emphasis">
    <w:name w:val="Emphasis"/>
    <w:basedOn w:val="DefaultParagraphFont"/>
    <w:qFormat/>
    <w:rsid w:val="006D2AC6"/>
    <w:rPr>
      <w:i/>
    </w:rPr>
  </w:style>
  <w:style w:type="paragraph" w:styleId="Caption">
    <w:name w:val="caption"/>
    <w:basedOn w:val="BodyText"/>
    <w:next w:val="Normal"/>
    <w:qFormat/>
    <w:rsid w:val="006D2AC6"/>
    <w:pPr>
      <w:framePr w:w="2268" w:hSpace="181" w:vSpace="181" w:wrap="around" w:vAnchor="text" w:hAnchor="page" w:x="1135" w:y="285" w:anchorLock="1"/>
    </w:pPr>
    <w:rPr>
      <w:i/>
    </w:rPr>
  </w:style>
  <w:style w:type="paragraph" w:customStyle="1" w:styleId="MiniTOCTitle">
    <w:name w:val="MiniTOCTitle"/>
    <w:basedOn w:val="Heading4"/>
    <w:rsid w:val="006D2AC6"/>
    <w:pPr>
      <w:spacing w:before="240"/>
      <w:outlineLvl w:val="9"/>
    </w:pPr>
    <w:rPr>
      <w:noProof/>
      <w:sz w:val="24"/>
    </w:rPr>
  </w:style>
  <w:style w:type="paragraph" w:customStyle="1" w:styleId="MiniTOCItem">
    <w:name w:val="MiniTOCItem"/>
    <w:basedOn w:val="ListBullet"/>
    <w:rsid w:val="006D2AC6"/>
    <w:pPr>
      <w:numPr>
        <w:numId w:val="0"/>
      </w:numPr>
      <w:tabs>
        <w:tab w:val="right" w:leader="dot" w:pos="6521"/>
      </w:tabs>
      <w:spacing w:before="0" w:after="0"/>
    </w:pPr>
  </w:style>
  <w:style w:type="paragraph" w:customStyle="1" w:styleId="TOFTitle">
    <w:name w:val="TOFTitle"/>
    <w:basedOn w:val="TOCTitle"/>
    <w:rsid w:val="006D2AC6"/>
  </w:style>
  <w:style w:type="paragraph" w:styleId="TableofFigures">
    <w:name w:val="table of figures"/>
    <w:basedOn w:val="Normal"/>
    <w:next w:val="Normal"/>
    <w:semiHidden/>
    <w:rsid w:val="006D2AC6"/>
    <w:pPr>
      <w:tabs>
        <w:tab w:val="right" w:leader="dot" w:pos="9072"/>
      </w:tabs>
      <w:ind w:left="970" w:hanging="403"/>
    </w:pPr>
    <w:rPr>
      <w:rFonts w:ascii="Times New Roman" w:hAnsi="Times New Roman"/>
      <w:b/>
    </w:rPr>
  </w:style>
  <w:style w:type="paragraph" w:styleId="ListNumber">
    <w:name w:val="List Number"/>
    <w:basedOn w:val="List"/>
    <w:rsid w:val="006D2AC6"/>
    <w:pPr>
      <w:numPr>
        <w:numId w:val="11"/>
      </w:numPr>
    </w:pPr>
  </w:style>
  <w:style w:type="character" w:customStyle="1" w:styleId="WingdingSymbols">
    <w:name w:val="Wingding Symbols"/>
    <w:rsid w:val="006D2AC6"/>
    <w:rPr>
      <w:rFonts w:ascii="Wingdings" w:hAnsi="Wingdings"/>
    </w:rPr>
  </w:style>
  <w:style w:type="paragraph" w:customStyle="1" w:styleId="TableHeading">
    <w:name w:val="Table Heading"/>
    <w:basedOn w:val="HeadingBase"/>
    <w:rsid w:val="006D2AC6"/>
    <w:pPr>
      <w:keepLines/>
      <w:pBdr>
        <w:bottom w:val="single" w:sz="6" w:space="1" w:color="918585"/>
      </w:pBdr>
      <w:spacing w:before="240"/>
    </w:pPr>
  </w:style>
  <w:style w:type="character" w:customStyle="1" w:styleId="HotSpot">
    <w:name w:val="HotSpot"/>
    <w:rsid w:val="006D2AC6"/>
    <w:rPr>
      <w:color w:val="0033CC"/>
      <w:u w:val="none"/>
    </w:rPr>
  </w:style>
  <w:style w:type="paragraph" w:customStyle="1" w:styleId="BodyTextRight">
    <w:name w:val="Body Text Right"/>
    <w:basedOn w:val="BodyText"/>
    <w:rsid w:val="006D2AC6"/>
    <w:pPr>
      <w:spacing w:before="0" w:after="0"/>
      <w:jc w:val="right"/>
    </w:pPr>
  </w:style>
  <w:style w:type="paragraph" w:styleId="Index3">
    <w:name w:val="index 3"/>
    <w:basedOn w:val="ListNumber2"/>
    <w:next w:val="Normal"/>
    <w:semiHidden/>
    <w:rsid w:val="006D2AC6"/>
    <w:pPr>
      <w:numPr>
        <w:numId w:val="0"/>
      </w:numPr>
      <w:tabs>
        <w:tab w:val="right" w:leader="dot" w:pos="4176"/>
      </w:tabs>
    </w:pPr>
  </w:style>
  <w:style w:type="paragraph" w:styleId="ListNumber2">
    <w:name w:val="List Number 2"/>
    <w:basedOn w:val="List2"/>
    <w:rsid w:val="006D2AC6"/>
    <w:pPr>
      <w:numPr>
        <w:numId w:val="10"/>
      </w:numPr>
      <w:tabs>
        <w:tab w:val="clear" w:pos="1060"/>
      </w:tabs>
    </w:pPr>
  </w:style>
  <w:style w:type="paragraph" w:customStyle="1" w:styleId="MarginNote">
    <w:name w:val="Margin Note"/>
    <w:basedOn w:val="BodyText"/>
    <w:rsid w:val="006D2A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A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A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2AC6"/>
    <w:rPr>
      <w:sz w:val="32"/>
    </w:rPr>
  </w:style>
  <w:style w:type="paragraph" w:customStyle="1" w:styleId="HeadingProcedure">
    <w:name w:val="Heading Procedure"/>
    <w:basedOn w:val="HeadingBase"/>
    <w:next w:val="Normal"/>
    <w:rsid w:val="006D2AC6"/>
    <w:pPr>
      <w:tabs>
        <w:tab w:val="left" w:pos="0"/>
      </w:tabs>
      <w:spacing w:before="120" w:after="60"/>
    </w:pPr>
    <w:rPr>
      <w:i/>
      <w:color w:val="918585"/>
      <w:sz w:val="22"/>
    </w:rPr>
  </w:style>
  <w:style w:type="paragraph" w:customStyle="1" w:styleId="TableBodyText">
    <w:name w:val="Table Body Text"/>
    <w:basedOn w:val="BodyText"/>
    <w:rsid w:val="006D2AC6"/>
    <w:pPr>
      <w:spacing w:before="60" w:after="60"/>
    </w:pPr>
  </w:style>
  <w:style w:type="paragraph" w:styleId="ListContinue">
    <w:name w:val="List Continue"/>
    <w:basedOn w:val="List"/>
    <w:rsid w:val="006D2AC6"/>
    <w:pPr>
      <w:ind w:firstLine="0"/>
    </w:pPr>
  </w:style>
  <w:style w:type="paragraph" w:customStyle="1" w:styleId="ListNote">
    <w:name w:val="List Note"/>
    <w:basedOn w:val="List"/>
    <w:rsid w:val="006D2AC6"/>
    <w:pPr>
      <w:pBdr>
        <w:top w:val="single" w:sz="6" w:space="2" w:color="918585"/>
        <w:bottom w:val="single" w:sz="6" w:space="2" w:color="918585"/>
      </w:pBdr>
      <w:tabs>
        <w:tab w:val="left" w:pos="1021"/>
      </w:tabs>
      <w:ind w:firstLine="0"/>
    </w:pPr>
  </w:style>
  <w:style w:type="paragraph" w:customStyle="1" w:styleId="Warning">
    <w:name w:val="Warning"/>
    <w:basedOn w:val="BodyText"/>
    <w:rsid w:val="006D2AC6"/>
    <w:pPr>
      <w:shd w:val="clear" w:color="auto" w:fill="D9D9D9"/>
      <w:tabs>
        <w:tab w:val="left" w:pos="992"/>
      </w:tabs>
      <w:ind w:left="119" w:right="119"/>
    </w:pPr>
    <w:rPr>
      <w:sz w:val="20"/>
    </w:rPr>
  </w:style>
  <w:style w:type="paragraph" w:customStyle="1" w:styleId="MarginIcons">
    <w:name w:val="Margin Icons"/>
    <w:basedOn w:val="BodyText"/>
    <w:rsid w:val="006D2A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AC6"/>
    <w:rPr>
      <w:rFonts w:ascii="Courier New" w:hAnsi="Courier New"/>
    </w:rPr>
  </w:style>
  <w:style w:type="paragraph" w:customStyle="1" w:styleId="NoteBullet">
    <w:name w:val="Note Bullet"/>
    <w:basedOn w:val="Note"/>
    <w:rsid w:val="006D2AC6"/>
    <w:pPr>
      <w:tabs>
        <w:tab w:val="clear" w:pos="680"/>
      </w:tabs>
      <w:spacing w:before="60" w:after="60"/>
    </w:pPr>
  </w:style>
  <w:style w:type="paragraph" w:customStyle="1" w:styleId="SubHeading2">
    <w:name w:val="SubHeading2"/>
    <w:basedOn w:val="HeadingBase"/>
    <w:rsid w:val="006D2AC6"/>
    <w:pPr>
      <w:spacing w:before="240" w:after="60"/>
    </w:pPr>
    <w:rPr>
      <w:sz w:val="20"/>
    </w:rPr>
  </w:style>
  <w:style w:type="paragraph" w:customStyle="1" w:styleId="SubHeading1">
    <w:name w:val="SubHeading1"/>
    <w:basedOn w:val="HeadingBase"/>
    <w:rsid w:val="006D2AC6"/>
    <w:pPr>
      <w:spacing w:before="240" w:after="60"/>
    </w:pPr>
    <w:rPr>
      <w:color w:val="918585"/>
      <w:sz w:val="22"/>
    </w:rPr>
  </w:style>
  <w:style w:type="paragraph" w:customStyle="1" w:styleId="SideHeading">
    <w:name w:val="Side Heading"/>
    <w:basedOn w:val="HeadingBase"/>
    <w:rsid w:val="006D2A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AC6"/>
    <w:pPr>
      <w:numPr>
        <w:numId w:val="12"/>
      </w:numPr>
    </w:pPr>
  </w:style>
  <w:style w:type="paragraph" w:styleId="PlainText">
    <w:name w:val="Plain Text"/>
    <w:basedOn w:val="Normal"/>
    <w:link w:val="PlainTextChar"/>
    <w:rsid w:val="006D2AC6"/>
    <w:rPr>
      <w:sz w:val="20"/>
    </w:rPr>
  </w:style>
  <w:style w:type="character" w:customStyle="1" w:styleId="PlainTextChar">
    <w:name w:val="Plain Text Char"/>
    <w:basedOn w:val="DefaultParagraphFont"/>
    <w:link w:val="PlainText"/>
    <w:rsid w:val="006D2AC6"/>
    <w:rPr>
      <w:rFonts w:ascii="Courier New" w:eastAsia="Times New Roman" w:hAnsi="Courier New" w:cs="Times New Roman"/>
      <w:sz w:val="20"/>
      <w:szCs w:val="20"/>
      <w:lang w:eastAsia="en-US"/>
    </w:rPr>
  </w:style>
  <w:style w:type="character" w:customStyle="1" w:styleId="MenuOption">
    <w:name w:val="Menu Option"/>
    <w:basedOn w:val="DefaultParagraphFont"/>
    <w:rsid w:val="006D2AC6"/>
    <w:rPr>
      <w:b/>
      <w:smallCaps/>
    </w:rPr>
  </w:style>
  <w:style w:type="paragraph" w:customStyle="1" w:styleId="TableListNumber">
    <w:name w:val="Table List Number"/>
    <w:basedOn w:val="ListNumber"/>
    <w:rsid w:val="006D2AC6"/>
    <w:pPr>
      <w:numPr>
        <w:numId w:val="0"/>
      </w:numPr>
    </w:pPr>
  </w:style>
  <w:style w:type="paragraph" w:styleId="TOC4">
    <w:name w:val="toc 4"/>
    <w:basedOn w:val="TOCBase"/>
    <w:next w:val="Normal"/>
    <w:semiHidden/>
    <w:rsid w:val="006D2AC6"/>
    <w:pPr>
      <w:tabs>
        <w:tab w:val="right" w:leader="dot" w:pos="9071"/>
      </w:tabs>
      <w:ind w:left="1701"/>
    </w:pPr>
  </w:style>
  <w:style w:type="paragraph" w:customStyle="1" w:styleId="ListAlpha">
    <w:name w:val="List Alpha"/>
    <w:basedOn w:val="List"/>
    <w:rsid w:val="006D2AC6"/>
    <w:pPr>
      <w:numPr>
        <w:numId w:val="9"/>
      </w:numPr>
    </w:pPr>
  </w:style>
  <w:style w:type="paragraph" w:customStyle="1" w:styleId="ListAlpha2">
    <w:name w:val="List Alpha 2"/>
    <w:basedOn w:val="List2"/>
    <w:rsid w:val="006D2AC6"/>
    <w:pPr>
      <w:numPr>
        <w:numId w:val="8"/>
      </w:numPr>
    </w:pPr>
  </w:style>
  <w:style w:type="paragraph" w:styleId="List2">
    <w:name w:val="List 2"/>
    <w:basedOn w:val="BodyText"/>
    <w:rsid w:val="006D2AC6"/>
    <w:pPr>
      <w:tabs>
        <w:tab w:val="left" w:pos="680"/>
      </w:tabs>
      <w:spacing w:before="60" w:after="60"/>
      <w:ind w:left="680" w:hanging="340"/>
    </w:pPr>
  </w:style>
  <w:style w:type="paragraph" w:styleId="List3">
    <w:name w:val="List 3"/>
    <w:basedOn w:val="BodyText"/>
    <w:rsid w:val="006D2AC6"/>
    <w:pPr>
      <w:tabs>
        <w:tab w:val="left" w:pos="1021"/>
      </w:tabs>
      <w:spacing w:before="60" w:after="60"/>
      <w:ind w:left="1020" w:hanging="340"/>
    </w:pPr>
  </w:style>
  <w:style w:type="paragraph" w:styleId="List4">
    <w:name w:val="List 4"/>
    <w:basedOn w:val="BodyText"/>
    <w:rsid w:val="006D2AC6"/>
    <w:pPr>
      <w:tabs>
        <w:tab w:val="left" w:pos="1361"/>
      </w:tabs>
      <w:spacing w:before="60" w:after="60"/>
      <w:ind w:left="1361" w:hanging="340"/>
    </w:pPr>
  </w:style>
  <w:style w:type="paragraph" w:styleId="List5">
    <w:name w:val="List 5"/>
    <w:basedOn w:val="BodyText"/>
    <w:rsid w:val="006D2AC6"/>
    <w:pPr>
      <w:tabs>
        <w:tab w:val="left" w:pos="1701"/>
      </w:tabs>
      <w:spacing w:before="60" w:after="60"/>
      <w:ind w:left="1701" w:hanging="340"/>
    </w:pPr>
  </w:style>
  <w:style w:type="paragraph" w:styleId="ListBullet3">
    <w:name w:val="List Bullet 3"/>
    <w:basedOn w:val="List3"/>
    <w:rsid w:val="006D2AC6"/>
    <w:pPr>
      <w:numPr>
        <w:numId w:val="15"/>
      </w:numPr>
      <w:tabs>
        <w:tab w:val="clear" w:pos="1021"/>
      </w:tabs>
      <w:ind w:left="1037" w:hanging="357"/>
    </w:pPr>
  </w:style>
  <w:style w:type="paragraph" w:styleId="ListBullet4">
    <w:name w:val="List Bullet 4"/>
    <w:basedOn w:val="List4"/>
    <w:rsid w:val="006D2AC6"/>
    <w:pPr>
      <w:numPr>
        <w:numId w:val="3"/>
      </w:numPr>
    </w:pPr>
  </w:style>
  <w:style w:type="paragraph" w:styleId="ListBullet5">
    <w:name w:val="List Bullet 5"/>
    <w:basedOn w:val="List5"/>
    <w:rsid w:val="006D2AC6"/>
    <w:pPr>
      <w:numPr>
        <w:numId w:val="4"/>
      </w:numPr>
    </w:pPr>
  </w:style>
  <w:style w:type="paragraph" w:styleId="ListContinue2">
    <w:name w:val="List Continue 2"/>
    <w:basedOn w:val="List2"/>
    <w:rsid w:val="006D2AC6"/>
    <w:pPr>
      <w:ind w:firstLine="0"/>
    </w:pPr>
  </w:style>
  <w:style w:type="paragraph" w:styleId="ListContinue3">
    <w:name w:val="List Continue 3"/>
    <w:basedOn w:val="List3"/>
    <w:rsid w:val="006D2AC6"/>
    <w:pPr>
      <w:ind w:left="1021" w:firstLine="0"/>
    </w:pPr>
  </w:style>
  <w:style w:type="paragraph" w:styleId="ListContinue4">
    <w:name w:val="List Continue 4"/>
    <w:basedOn w:val="List4"/>
    <w:rsid w:val="006D2AC6"/>
    <w:pPr>
      <w:ind w:firstLine="0"/>
    </w:pPr>
  </w:style>
  <w:style w:type="paragraph" w:styleId="ListContinue5">
    <w:name w:val="List Continue 5"/>
    <w:basedOn w:val="List5"/>
    <w:rsid w:val="006D2AC6"/>
    <w:pPr>
      <w:ind w:firstLine="0"/>
    </w:pPr>
  </w:style>
  <w:style w:type="paragraph" w:styleId="ListNumber3">
    <w:name w:val="List Number 3"/>
    <w:basedOn w:val="List3"/>
    <w:rsid w:val="006D2AC6"/>
    <w:pPr>
      <w:numPr>
        <w:numId w:val="5"/>
      </w:numPr>
    </w:pPr>
  </w:style>
  <w:style w:type="paragraph" w:styleId="ListNumber4">
    <w:name w:val="List Number 4"/>
    <w:basedOn w:val="List4"/>
    <w:rsid w:val="006D2AC6"/>
    <w:pPr>
      <w:numPr>
        <w:numId w:val="6"/>
      </w:numPr>
    </w:pPr>
  </w:style>
  <w:style w:type="paragraph" w:styleId="ListNumber5">
    <w:name w:val="List Number 5"/>
    <w:basedOn w:val="List5"/>
    <w:rsid w:val="006D2AC6"/>
    <w:pPr>
      <w:numPr>
        <w:numId w:val="7"/>
      </w:numPr>
    </w:pPr>
  </w:style>
  <w:style w:type="paragraph" w:styleId="BlockText">
    <w:name w:val="Block Text"/>
    <w:basedOn w:val="Normal"/>
    <w:rsid w:val="006D2AC6"/>
    <w:pPr>
      <w:spacing w:after="120"/>
      <w:ind w:left="1440" w:right="1440"/>
    </w:pPr>
  </w:style>
  <w:style w:type="character" w:customStyle="1" w:styleId="Subscript">
    <w:name w:val="Subscript"/>
    <w:basedOn w:val="DefaultParagraphFont"/>
    <w:rsid w:val="006D2AC6"/>
    <w:rPr>
      <w:sz w:val="16"/>
      <w:vertAlign w:val="subscript"/>
    </w:rPr>
  </w:style>
  <w:style w:type="character" w:customStyle="1" w:styleId="Superscript">
    <w:name w:val="Superscript"/>
    <w:basedOn w:val="DefaultParagraphFont"/>
    <w:rsid w:val="006D2AC6"/>
    <w:rPr>
      <w:sz w:val="16"/>
      <w:vertAlign w:val="superscript"/>
    </w:rPr>
  </w:style>
  <w:style w:type="character" w:customStyle="1" w:styleId="Symbols">
    <w:name w:val="Symbols"/>
    <w:basedOn w:val="DefaultParagraphFont"/>
    <w:rsid w:val="006D2AC6"/>
    <w:rPr>
      <w:rFonts w:ascii="Symbol" w:hAnsi="Symbol"/>
    </w:rPr>
  </w:style>
  <w:style w:type="character" w:customStyle="1" w:styleId="MenuOptions">
    <w:name w:val="Menu Options"/>
    <w:basedOn w:val="DefaultParagraphFont"/>
    <w:rsid w:val="006D2AC6"/>
    <w:rPr>
      <w:rFonts w:ascii="Arial Narrow" w:hAnsi="Arial Narrow"/>
      <w:smallCaps/>
    </w:rPr>
  </w:style>
  <w:style w:type="character" w:customStyle="1" w:styleId="Buttons">
    <w:name w:val="Buttons"/>
    <w:basedOn w:val="DefaultParagraphFont"/>
    <w:rsid w:val="006D2AC6"/>
    <w:rPr>
      <w:b/>
    </w:rPr>
  </w:style>
  <w:style w:type="character" w:customStyle="1" w:styleId="Underlined">
    <w:name w:val="Underlined"/>
    <w:basedOn w:val="DefaultParagraphFont"/>
    <w:rsid w:val="006D2AC6"/>
    <w:rPr>
      <w:u w:val="single"/>
    </w:rPr>
  </w:style>
  <w:style w:type="paragraph" w:customStyle="1" w:styleId="TableBodyTextRight">
    <w:name w:val="Table Body Text Right"/>
    <w:basedOn w:val="TableBodyText"/>
    <w:rsid w:val="006D2AC6"/>
    <w:pPr>
      <w:widowControl w:val="0"/>
      <w:autoSpaceDE w:val="0"/>
      <w:autoSpaceDN w:val="0"/>
      <w:adjustRightInd w:val="0"/>
      <w:jc w:val="right"/>
    </w:pPr>
    <w:rPr>
      <w:rFonts w:cs="Arial"/>
      <w:szCs w:val="18"/>
    </w:rPr>
  </w:style>
  <w:style w:type="paragraph" w:customStyle="1" w:styleId="CopyrightText">
    <w:name w:val="Copyright Text"/>
    <w:basedOn w:val="BodyText"/>
    <w:rsid w:val="006D2AC6"/>
    <w:rPr>
      <w:sz w:val="18"/>
    </w:rPr>
  </w:style>
  <w:style w:type="paragraph" w:customStyle="1" w:styleId="BodySmallRight">
    <w:name w:val="Body Small Right"/>
    <w:basedOn w:val="BodyTextRight"/>
    <w:rsid w:val="006D2AC6"/>
    <w:rPr>
      <w:sz w:val="18"/>
      <w:szCs w:val="18"/>
    </w:rPr>
  </w:style>
  <w:style w:type="paragraph" w:customStyle="1" w:styleId="MarginEdition">
    <w:name w:val="Margin Edition"/>
    <w:basedOn w:val="MarginNote"/>
    <w:rsid w:val="006D2AC6"/>
    <w:pPr>
      <w:spacing w:before="0" w:after="0"/>
    </w:pPr>
    <w:rPr>
      <w:rFonts w:ascii="Times New Roman" w:hAnsi="Times New Roman"/>
      <w:color w:val="999999"/>
    </w:rPr>
  </w:style>
  <w:style w:type="paragraph" w:customStyle="1" w:styleId="Spacer">
    <w:name w:val="Spacer"/>
    <w:basedOn w:val="Normal"/>
    <w:rsid w:val="006D2AC6"/>
    <w:rPr>
      <w:sz w:val="2"/>
      <w:szCs w:val="2"/>
    </w:rPr>
  </w:style>
  <w:style w:type="character" w:customStyle="1" w:styleId="Small">
    <w:name w:val="Small"/>
    <w:basedOn w:val="DefaultParagraphFont"/>
    <w:rsid w:val="006D2AC6"/>
    <w:rPr>
      <w:sz w:val="16"/>
    </w:rPr>
  </w:style>
  <w:style w:type="paragraph" w:customStyle="1" w:styleId="WideTable">
    <w:name w:val="Wide Table"/>
    <w:basedOn w:val="Normal"/>
    <w:rsid w:val="006D2AC6"/>
    <w:pPr>
      <w:ind w:left="-1418"/>
    </w:pPr>
    <w:rPr>
      <w:sz w:val="2"/>
      <w:szCs w:val="2"/>
    </w:rPr>
  </w:style>
  <w:style w:type="character" w:styleId="PageNumber">
    <w:name w:val="page number"/>
    <w:basedOn w:val="DefaultParagraphFont"/>
    <w:rsid w:val="006D2AC6"/>
  </w:style>
  <w:style w:type="paragraph" w:styleId="Quote">
    <w:name w:val="Quote"/>
    <w:basedOn w:val="Heading1"/>
    <w:link w:val="QuoteChar"/>
    <w:qFormat/>
    <w:rsid w:val="006D2AC6"/>
    <w:rPr>
      <w:b w:val="0"/>
      <w:sz w:val="72"/>
      <w:szCs w:val="72"/>
      <w:lang w:val="en-NZ"/>
    </w:rPr>
  </w:style>
  <w:style w:type="character" w:customStyle="1" w:styleId="QuoteChar">
    <w:name w:val="Quote Char"/>
    <w:basedOn w:val="DefaultParagraphFont"/>
    <w:link w:val="Quote"/>
    <w:rsid w:val="006D2A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AC6"/>
    <w:pPr>
      <w:pageBreakBefore/>
    </w:pPr>
  </w:style>
  <w:style w:type="paragraph" w:customStyle="1" w:styleId="Border">
    <w:name w:val="Border"/>
    <w:basedOn w:val="Normal"/>
    <w:qFormat/>
    <w:rsid w:val="006D2A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AC6"/>
    <w:rPr>
      <w:b/>
      <w:bCs/>
      <w:i/>
      <w:iCs/>
      <w:color w:val="auto"/>
    </w:rPr>
  </w:style>
  <w:style w:type="paragraph" w:styleId="IntenseQuote">
    <w:name w:val="Intense Quote"/>
    <w:basedOn w:val="Normal"/>
    <w:next w:val="Normal"/>
    <w:link w:val="IntenseQuoteChar"/>
    <w:uiPriority w:val="30"/>
    <w:qFormat/>
    <w:rsid w:val="006D2A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A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2AC6"/>
    <w:rPr>
      <w:smallCaps/>
      <w:color w:val="auto"/>
      <w:u w:val="single"/>
    </w:rPr>
  </w:style>
  <w:style w:type="character" w:styleId="IntenseReference">
    <w:name w:val="Intense Reference"/>
    <w:basedOn w:val="DefaultParagraphFont"/>
    <w:uiPriority w:val="32"/>
    <w:qFormat/>
    <w:rsid w:val="006D2AC6"/>
    <w:rPr>
      <w:b/>
      <w:bCs/>
      <w:smallCaps/>
      <w:color w:val="auto"/>
      <w:spacing w:val="5"/>
      <w:u w:val="single"/>
    </w:rPr>
  </w:style>
  <w:style w:type="paragraph" w:customStyle="1" w:styleId="2ColumnHeading">
    <w:name w:val="2Column Heading"/>
    <w:basedOn w:val="BodyText"/>
    <w:qFormat/>
    <w:rsid w:val="006D2AC6"/>
    <w:pPr>
      <w:spacing w:after="60"/>
      <w:ind w:left="-2268"/>
    </w:pPr>
    <w:rPr>
      <w:b/>
    </w:rPr>
  </w:style>
  <w:style w:type="paragraph" w:customStyle="1" w:styleId="Heading1TOC">
    <w:name w:val="Heading1 TOC"/>
    <w:basedOn w:val="Normal"/>
    <w:qFormat/>
    <w:rsid w:val="006D2AC6"/>
    <w:pPr>
      <w:spacing w:before="240" w:after="120"/>
    </w:pPr>
    <w:rPr>
      <w:rFonts w:ascii="Times New Roman" w:hAnsi="Times New Roman"/>
      <w:b/>
      <w:sz w:val="32"/>
    </w:rPr>
  </w:style>
  <w:style w:type="paragraph" w:customStyle="1" w:styleId="Heading2TOC">
    <w:name w:val="Heading2 TOC"/>
    <w:basedOn w:val="Normal"/>
    <w:qFormat/>
    <w:rsid w:val="006D2AC6"/>
    <w:pPr>
      <w:spacing w:before="240" w:after="60"/>
    </w:pPr>
    <w:rPr>
      <w:rFonts w:ascii="Times New Roman" w:hAnsi="Times New Roman"/>
      <w:b/>
      <w:sz w:val="28"/>
    </w:rPr>
  </w:style>
  <w:style w:type="character" w:customStyle="1" w:styleId="Underline">
    <w:name w:val="Underline"/>
    <w:basedOn w:val="DefaultParagraphFont"/>
    <w:qFormat/>
    <w:rsid w:val="006D2AC6"/>
    <w:rPr>
      <w:u w:val="single"/>
    </w:rPr>
  </w:style>
  <w:style w:type="paragraph" w:styleId="BalloonText">
    <w:name w:val="Balloon Text"/>
    <w:basedOn w:val="Normal"/>
    <w:link w:val="BalloonTextChar"/>
    <w:rsid w:val="006D2AC6"/>
    <w:rPr>
      <w:rFonts w:ascii="Tahoma" w:hAnsi="Tahoma" w:cs="Tahoma"/>
      <w:sz w:val="16"/>
      <w:szCs w:val="16"/>
    </w:rPr>
  </w:style>
  <w:style w:type="character" w:customStyle="1" w:styleId="BalloonTextChar">
    <w:name w:val="Balloon Text Char"/>
    <w:basedOn w:val="DefaultParagraphFont"/>
    <w:link w:val="BalloonText"/>
    <w:rsid w:val="006D2A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2A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2A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2AC6"/>
    <w:rPr>
      <w:b/>
      <w:color w:val="660033"/>
      <w:spacing w:val="0"/>
    </w:rPr>
  </w:style>
  <w:style w:type="paragraph" w:customStyle="1" w:styleId="Nameditemlist">
    <w:name w:val="Named item list"/>
    <w:basedOn w:val="BodyText"/>
    <w:qFormat/>
    <w:rsid w:val="006D2A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1452</Words>
  <Characters>9172</Characters>
  <Application>Microsoft Office Word</Application>
  <DocSecurity>0</DocSecurity>
  <Lines>332</Lines>
  <Paragraphs>185</Paragraphs>
  <ScaleCrop>false</ScaleCrop>
  <Company>Author-it Software Corporation Ltd.</Company>
  <LinksUpToDate>false</LinksUpToDate>
  <CharactersWithSpaces>10542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CPCCST3018A Inlay lead to stone</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2014-01-17T12:27:59Z</dcterms:created>
  <dcterms:modified xsi:type="dcterms:W3CDTF">2014-01-16T02:40:00Z</dcterms:modified>
</cp:coreProperties>
</file>