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F4E" w:rsidP="00A94F4E">
      <w:pPr>
        <w:pStyle w:val="Title"/>
      </w:pPr>
      <w:r>
        <w:fldChar w:fldCharType="begin"/>
      </w:r>
      <w:r>
        <w:instrText xml:space="preserve"> TITLE   \* MERGEFORMAT </w:instrText>
      </w:r>
      <w:r>
        <w:fldChar w:fldCharType="separate"/>
      </w:r>
      <w:r>
        <w:t>CPCCST3015A Apply gilding to stone</w:t>
      </w:r>
      <w:r>
        <w:fldChar w:fldCharType="end"/>
      </w:r>
    </w:p>
    <w:p w:rsidR="00A94F4E" w:rsidP="00A94F4E">
      <w:pPr>
        <w:pStyle w:val="Version"/>
        <w:sectPr w:rsidSect="00CF1C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C25" w:rsidP="00CF1C25">
      <w:pPr>
        <w:pStyle w:val="SuperHeading"/>
      </w:pPr>
      <w:r w:rsidRPr="00CF1C25">
        <w:t>CPCCST3015A Apply gilding to stone</w:t>
      </w:r>
    </w:p>
    <w:p w:rsidR="00000000" w:rsidRPr="00CF1C25" w:rsidP="00CF1C25">
      <w:pPr>
        <w:pStyle w:val="Heading1"/>
      </w:pPr>
      <w:bookmarkStart w:id="1" w:name="O_618347"/>
      <w:bookmarkEnd w:id="1"/>
      <w:r w:rsidRPr="00CF1C25">
        <w:t>Modification History</w:t>
      </w:r>
    </w:p>
    <w:p w:rsidR="00000000" w:rsidRPr="00CF1C25" w:rsidP="00CF1C25">
      <w:pPr>
        <w:pStyle w:val="BodyText"/>
      </w:pPr>
      <w:r w:rsidRPr="00CF1C25">
        <w:t>New unit based on superseded unit BCG3083A Apply gilding to stone</w:t>
      </w:r>
    </w:p>
    <w:p w:rsidR="00000000" w:rsidRPr="00CF1C25" w:rsidP="00CF1C25">
      <w:pPr>
        <w:pStyle w:val="BodyText"/>
      </w:pPr>
      <w:r w:rsidRPr="00CF1C25">
        <w:t>This version first released with CPC08 Construction, Plumbing and Services Training Package Version 9.</w:t>
      </w:r>
    </w:p>
    <w:p w:rsidR="00000000" w:rsidRPr="00CF1C25" w:rsidP="00CF1C25">
      <w:pPr>
        <w:pStyle w:val="BodyText"/>
      </w:pPr>
      <w:r w:rsidRPr="00CF1C25">
        <w:t>Not equivalent to superseded BCG unit</w:t>
      </w:r>
    </w:p>
    <w:p w:rsidR="00000000" w:rsidRPr="00CF1C25" w:rsidP="00CF1C25">
      <w:pPr>
        <w:pStyle w:val="AllowPageBreak"/>
      </w:pPr>
    </w:p>
    <w:p w:rsidR="00000000" w:rsidRPr="00CF1C25" w:rsidP="00CF1C25">
      <w:pPr>
        <w:pStyle w:val="Heading1"/>
      </w:pPr>
      <w:bookmarkStart w:id="2" w:name="O_618348"/>
      <w:bookmarkEnd w:id="2"/>
      <w:r w:rsidRPr="00CF1C25">
        <w:t>Unit Descri</w:t>
      </w:r>
      <w:r w:rsidRPr="00CF1C25">
        <w:t>ptor</w:t>
      </w:r>
    </w:p>
    <w:p w:rsidR="00000000" w:rsidRPr="00CF1C25" w:rsidP="00CF1C25">
      <w:pPr>
        <w:pStyle w:val="BodyText"/>
      </w:pPr>
      <w:r w:rsidRPr="00CF1C25">
        <w:t>This unit of competency specifies the outcomes required to apply gilding to lettering or shapes carved into stone surfaces. It may include working with others and in a team.</w:t>
      </w:r>
    </w:p>
    <w:p w:rsidR="00000000" w:rsidRPr="00CF1C25" w:rsidP="00CF1C25">
      <w:pPr>
        <w:pStyle w:val="AllowPageBreak"/>
      </w:pPr>
    </w:p>
    <w:p w:rsidR="00000000" w:rsidRPr="00CF1C25" w:rsidP="00CF1C25">
      <w:pPr>
        <w:pStyle w:val="Heading1"/>
      </w:pPr>
      <w:bookmarkStart w:id="3" w:name="O_618349"/>
      <w:bookmarkEnd w:id="3"/>
      <w:r w:rsidRPr="00CF1C25">
        <w:t>Application of the Unit</w:t>
      </w:r>
    </w:p>
    <w:p w:rsidR="00000000" w:rsidRPr="00CF1C25" w:rsidP="00CF1C25">
      <w:pPr>
        <w:pStyle w:val="BodyText"/>
      </w:pPr>
      <w:r w:rsidRPr="00CF1C25">
        <w:t>This unit of competency applies to s</w:t>
      </w:r>
      <w:r w:rsidRPr="00CF1C25">
        <w:t>tonemasons who inlay gold into stone.</w:t>
      </w:r>
    </w:p>
    <w:p w:rsidR="00000000" w:rsidRPr="00CF1C25" w:rsidP="00CF1C25">
      <w:pPr>
        <w:pStyle w:val="AllowPageBreak"/>
      </w:pPr>
    </w:p>
    <w:p w:rsidR="00000000" w:rsidRPr="00CF1C25" w:rsidP="00CF1C25">
      <w:pPr>
        <w:pStyle w:val="Heading1"/>
      </w:pPr>
      <w:bookmarkStart w:id="4" w:name="O_618350"/>
      <w:bookmarkEnd w:id="4"/>
      <w:r w:rsidRPr="00CF1C25">
        <w:t>Licensing/Regulatory Information</w:t>
      </w:r>
    </w:p>
    <w:p w:rsidR="00000000" w:rsidRPr="00CF1C25" w:rsidP="00CF1C25">
      <w:pPr>
        <w:pStyle w:val="BodyText"/>
      </w:pPr>
      <w:r w:rsidRPr="00CF1C25">
        <w:t>Check with relevant state and territory licensing and regulatory authorities. State and territory jurisdictions may have different regulatory requirements for work carr</w:t>
      </w:r>
      <w:r w:rsidRPr="00CF1C25">
        <w:t>ied out on heritage structures.</w:t>
      </w:r>
    </w:p>
    <w:p w:rsidR="00000000" w:rsidRPr="00CF1C25" w:rsidP="00CF1C25">
      <w:pPr>
        <w:pStyle w:val="AllowPageBreak"/>
      </w:pPr>
    </w:p>
    <w:p w:rsidR="00000000" w:rsidRPr="00CF1C25" w:rsidP="00CF1C25">
      <w:pPr>
        <w:pStyle w:val="Heading1"/>
      </w:pPr>
      <w:bookmarkStart w:id="5" w:name="O_618351"/>
      <w:bookmarkEnd w:id="5"/>
      <w:r w:rsidRPr="00CF1C25">
        <w:t>Pre-Requisites</w:t>
      </w:r>
    </w:p>
    <w:tbl>
      <w:tblPr>
        <w:tblW w:w="0" w:type="auto"/>
        <w:tblLayout w:type="fixed"/>
        <w:tblCellMar>
          <w:left w:w="62" w:type="dxa"/>
          <w:right w:w="62" w:type="dxa"/>
        </w:tblCellMar>
        <w:tblLook w:val="0000"/>
      </w:tblPr>
      <w:tblGrid>
        <w:gridCol w:w="2623"/>
        <w:gridCol w:w="6511"/>
      </w:tblGrid>
      <w:tr w:rsidTr="00CF1C25">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CPCCOHS2001A</w:t>
            </w:r>
          </w:p>
        </w:tc>
        <w:tc>
          <w:tcPr>
            <w:tcW w:w="6511"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Apply OHS requirements, policies and procedures in the construction industry</w:t>
            </w:r>
          </w:p>
        </w:tc>
      </w:tr>
    </w:tbl>
    <w:p w:rsidR="00A94F4E" w:rsidP="00CF1C25">
      <w:pPr>
        <w:pStyle w:val="BodyText"/>
      </w:pPr>
    </w:p>
    <w:p w:rsidR="00A94F4E" w:rsidP="00CF1C25">
      <w:pPr>
        <w:pStyle w:val="BodyText"/>
      </w:pPr>
    </w:p>
    <w:p w:rsidR="00000000" w:rsidRPr="00CF1C25" w:rsidP="00CF1C25">
      <w:pPr>
        <w:pStyle w:val="Heading1"/>
      </w:pPr>
      <w:bookmarkStart w:id="6" w:name="O_618352"/>
      <w:bookmarkEnd w:id="6"/>
      <w:r w:rsidRPr="00CF1C25">
        <w:t>Employability Skills Information</w:t>
      </w:r>
    </w:p>
    <w:p w:rsidR="00000000" w:rsidRPr="00CF1C25" w:rsidP="00CF1C25">
      <w:pPr>
        <w:pStyle w:val="BodyText"/>
      </w:pPr>
      <w:r w:rsidRPr="00CF1C25">
        <w:t>This unit contains employability skills.</w:t>
      </w:r>
    </w:p>
    <w:p w:rsidR="00000000" w:rsidRPr="00CF1C25" w:rsidP="00CF1C25">
      <w:pPr>
        <w:pStyle w:val="AllowPageBreak"/>
      </w:pPr>
    </w:p>
    <w:p w:rsidR="00000000" w:rsidRPr="00CF1C25" w:rsidP="00CF1C25">
      <w:pPr>
        <w:pStyle w:val="Heading1"/>
      </w:pPr>
      <w:bookmarkStart w:id="7" w:name="O_618353"/>
      <w:bookmarkEnd w:id="7"/>
      <w:r w:rsidRPr="00CF1C25">
        <w:t>Elements and Performance Criteria Pre-Content</w:t>
      </w:r>
    </w:p>
    <w:tbl>
      <w:tblPr>
        <w:tblW w:w="0" w:type="auto"/>
        <w:tblLayout w:type="fixed"/>
        <w:tblCellMar>
          <w:left w:w="62" w:type="dxa"/>
          <w:right w:w="62" w:type="dxa"/>
        </w:tblCellMar>
        <w:tblLook w:val="0000"/>
      </w:tblPr>
      <w:tblGrid>
        <w:gridCol w:w="2838"/>
        <w:gridCol w:w="5842"/>
      </w:tblGrid>
      <w:tr w:rsidTr="00CF1C2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 xml:space="preserve">Performance criteria describe the required performance needed to demonstrate achievement of the element. Where </w:t>
            </w:r>
            <w:r w:rsidRPr="00CF1C25">
              <w:rPr>
                <w:rStyle w:val="BoldandItalics"/>
              </w:rPr>
              <w:t>bold italicised</w:t>
            </w:r>
            <w:r w:rsidRPr="00CF1C25">
              <w:t xml:space="preserve"> t</w:t>
            </w:r>
            <w:r w:rsidRPr="00CF1C25">
              <w:t>ext is used, further information is detailed in the required skills and knowledge and/or the range statement. Assessment of performance is to be consistent with the evidence guide.</w:t>
            </w:r>
          </w:p>
        </w:tc>
      </w:tr>
    </w:tbl>
    <w:p w:rsidR="00000000" w:rsidRPr="00CF1C25" w:rsidP="00CF1C25">
      <w:pPr>
        <w:pStyle w:val="BodyText"/>
      </w:pPr>
    </w:p>
    <w:p w:rsidR="00000000" w:rsidRPr="00CF1C25" w:rsidP="00CF1C25">
      <w:pPr>
        <w:pStyle w:val="AllowPageBreak"/>
      </w:pPr>
    </w:p>
    <w:p w:rsidR="00000000" w:rsidRPr="00CF1C25" w:rsidP="00CF1C25">
      <w:pPr>
        <w:pStyle w:val="Heading1"/>
      </w:pPr>
      <w:bookmarkStart w:id="8" w:name="O_618354"/>
      <w:bookmarkEnd w:id="8"/>
      <w:r w:rsidRPr="00CF1C25">
        <w:t>Elements and Performance Criteria</w:t>
      </w:r>
    </w:p>
    <w:p w:rsidR="00000000" w:rsidRPr="00CF1C25" w:rsidP="00CF1C25">
      <w:pPr>
        <w:pStyle w:val="BodyText"/>
      </w:pPr>
    </w:p>
    <w:tbl>
      <w:tblPr>
        <w:tblW w:w="0" w:type="auto"/>
        <w:tblLayout w:type="fixed"/>
        <w:tblCellMar>
          <w:left w:w="62" w:type="dxa"/>
          <w:right w:w="62" w:type="dxa"/>
        </w:tblCellMar>
        <w:tblLook w:val="0000"/>
      </w:tblPr>
      <w:tblGrid>
        <w:gridCol w:w="678"/>
        <w:gridCol w:w="1962"/>
        <w:gridCol w:w="770"/>
        <w:gridCol w:w="5610"/>
      </w:tblGrid>
      <w:tr w:rsidTr="00CF1C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1</w:t>
            </w:r>
          </w:p>
        </w:tc>
        <w:tc>
          <w:tcPr>
            <w:tcW w:w="1962" w:type="dxa"/>
            <w:vMerge w:val="restart"/>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Plan and prepare.</w:t>
            </w: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1</w:t>
            </w:r>
            <w:r w:rsidRPr="00CF1C25">
              <w:t>.1</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 xml:space="preserve">Work instructions are obtained using relevant </w:t>
            </w:r>
            <w:r w:rsidRPr="00CF1C25">
              <w:rPr>
                <w:rStyle w:val="BoldandItalics"/>
              </w:rPr>
              <w:t>information</w:t>
            </w:r>
            <w:r w:rsidRPr="00CF1C25">
              <w:t xml:space="preserve">, confirmed and applied for </w:t>
            </w:r>
            <w:r w:rsidRPr="00CF1C25">
              <w:rPr>
                <w:rStyle w:val="BoldandItalics"/>
              </w:rPr>
              <w:t>planning</w:t>
            </w:r>
            <w:r w:rsidRPr="00CF1C25">
              <w:t xml:space="preserve"> </w:t>
            </w:r>
            <w:r w:rsidRPr="00CF1C25">
              <w:rPr>
                <w:rStyle w:val="BoldandItalics"/>
              </w:rPr>
              <w:t>and</w:t>
            </w:r>
            <w:r w:rsidRPr="00CF1C25">
              <w:t xml:space="preserve"> </w:t>
            </w:r>
            <w:r w:rsidRPr="00CF1C25">
              <w:rPr>
                <w:rStyle w:val="BoldandItalics"/>
              </w:rPr>
              <w:t>preparation</w:t>
            </w:r>
            <w:r w:rsidRPr="00CF1C25">
              <w:t xml:space="preserve"> purposes. </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1.2</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Work health and safety (WHS) requirements</w:t>
            </w:r>
            <w:r w:rsidRPr="00CF1C25">
              <w:t xml:space="preserve"> are followed according to safety plans and policies. </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1.3</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Tools</w:t>
            </w:r>
            <w:r w:rsidRPr="00CF1C25">
              <w:t xml:space="preserve"> </w:t>
            </w:r>
            <w:r w:rsidRPr="00CF1C25">
              <w:rPr>
                <w:rStyle w:val="BoldandItalics"/>
              </w:rPr>
              <w:t>and</w:t>
            </w:r>
            <w:r w:rsidRPr="00CF1C25">
              <w:t xml:space="preserve"> </w:t>
            </w:r>
            <w:r w:rsidRPr="00CF1C25">
              <w:rPr>
                <w:rStyle w:val="BoldandItalics"/>
              </w:rPr>
              <w:t>equipment</w:t>
            </w:r>
            <w:r w:rsidRPr="00CF1C25">
              <w:t xml:space="preserve"> selected to carry out tasks are consistent with job requirements, checked for serviceability, and faults are rectified and reported before work begins. </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1.4</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Gilding materials</w:t>
            </w:r>
            <w:r w:rsidRPr="00CF1C25">
              <w:t xml:space="preserve"> product range is assessed and materials are selected according to job specifi</w:t>
            </w:r>
            <w:r w:rsidRPr="00CF1C25">
              <w:t xml:space="preserve">cations and </w:t>
            </w:r>
            <w:r w:rsidRPr="00CF1C25">
              <w:rPr>
                <w:rStyle w:val="BoldandItalics"/>
              </w:rPr>
              <w:t>quality</w:t>
            </w:r>
            <w:r w:rsidRPr="00CF1C25">
              <w:t xml:space="preserve"> </w:t>
            </w:r>
            <w:r w:rsidRPr="00CF1C25">
              <w:rPr>
                <w:rStyle w:val="BoldandItalics"/>
              </w:rPr>
              <w:t>requirements</w:t>
            </w:r>
            <w:r w:rsidRPr="00CF1C25">
              <w:t xml:space="preserve">. </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1.5</w:t>
            </w:r>
          </w:p>
        </w:tc>
        <w:tc>
          <w:tcPr>
            <w:tcW w:w="5610"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rPr>
                <w:rStyle w:val="BoldandItalics"/>
              </w:rPr>
              <w:t>Environmental</w:t>
            </w:r>
            <w:r w:rsidRPr="00CF1C25">
              <w:t xml:space="preserve"> </w:t>
            </w:r>
            <w:r w:rsidRPr="00CF1C25">
              <w:rPr>
                <w:rStyle w:val="BoldandItalics"/>
              </w:rPr>
              <w:t>requirements</w:t>
            </w:r>
            <w:r w:rsidRPr="00CF1C25">
              <w:t xml:space="preserve"> are identified for the project according to environmental plans and </w:t>
            </w:r>
            <w:r w:rsidRPr="00CF1C25">
              <w:rPr>
                <w:rStyle w:val="BoldandItalics"/>
              </w:rPr>
              <w:t>statutory</w:t>
            </w:r>
            <w:r w:rsidRPr="00CF1C25">
              <w:t xml:space="preserve"> </w:t>
            </w:r>
            <w:r w:rsidRPr="00CF1C25">
              <w:rPr>
                <w:rStyle w:val="BoldandItalics"/>
              </w:rPr>
              <w:t>and</w:t>
            </w:r>
            <w:r w:rsidRPr="00CF1C25">
              <w:t xml:space="preserve"> </w:t>
            </w:r>
            <w:r w:rsidRPr="00CF1C25">
              <w:rPr>
                <w:rStyle w:val="BoldandItalics"/>
              </w:rPr>
              <w:t>regulatory</w:t>
            </w:r>
            <w:r w:rsidRPr="00CF1C25">
              <w:t xml:space="preserve"> </w:t>
            </w:r>
            <w:r w:rsidRPr="00CF1C25">
              <w:rPr>
                <w:rStyle w:val="BoldandItalics"/>
              </w:rPr>
              <w:t>authority</w:t>
            </w:r>
            <w:r w:rsidRPr="00CF1C25">
              <w:t xml:space="preserve"> requirements.</w:t>
            </w:r>
          </w:p>
        </w:tc>
      </w:tr>
    </w:tbl>
    <w:p w:rsidR="00000000" w:rsidRPr="00CF1C25" w:rsidP="00CF1C25">
      <w:pPr>
        <w:pStyle w:val="BodyText"/>
      </w:pPr>
    </w:p>
    <w:tbl>
      <w:tblPr>
        <w:tblW w:w="0" w:type="auto"/>
        <w:tblLayout w:type="fixed"/>
        <w:tblCellMar>
          <w:left w:w="62" w:type="dxa"/>
          <w:right w:w="62" w:type="dxa"/>
        </w:tblCellMar>
        <w:tblLook w:val="0000"/>
      </w:tblPr>
      <w:tblGrid>
        <w:gridCol w:w="678"/>
        <w:gridCol w:w="1962"/>
        <w:gridCol w:w="770"/>
        <w:gridCol w:w="5610"/>
      </w:tblGrid>
      <w:tr w:rsidTr="00CF1C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2</w:t>
            </w:r>
          </w:p>
        </w:tc>
        <w:tc>
          <w:tcPr>
            <w:tcW w:w="1962" w:type="dxa"/>
            <w:vMerge w:val="restart"/>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Apply surface gilding to lettering or shapes on stone surfaces.</w:t>
            </w: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2.1</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Stone surface, with pre-cut lettering or shapes, is prepared for gilding according to job specifications and workplace procedures.</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2.2</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Size and specified colour are mixed and applied to stone surface according to job specifications, ensuring size is contained within lettering or shape areas.</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2.3</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Potential material shrinkage is determined and gilding material is cut to required size and</w:t>
            </w:r>
            <w:r w:rsidRPr="00CF1C25">
              <w:t xml:space="preserve"> shape according to job specifications.</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2.4</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Sized stone surface is checked for stickiness and gilding material is applied according to workplace procedures.</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2.5</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 xml:space="preserve">Excess gilding material is trimmed and removed at edges of lettering or shapes according </w:t>
            </w:r>
            <w:r w:rsidRPr="00CF1C25">
              <w:t>to job specifications.</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2.6</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Gilding material is burnished to ensure loose particles are removed.</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2.7</w:t>
            </w:r>
          </w:p>
        </w:tc>
        <w:tc>
          <w:tcPr>
            <w:tcW w:w="5610"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Cleaning procedure and materials are selected and applied to clean gilded letters and shapes and surrounding surface according to job specifications.</w:t>
            </w:r>
          </w:p>
        </w:tc>
      </w:tr>
    </w:tbl>
    <w:p w:rsidR="00000000" w:rsidRPr="00CF1C25" w:rsidP="00CF1C25">
      <w:pPr>
        <w:pStyle w:val="BodyText"/>
      </w:pPr>
    </w:p>
    <w:tbl>
      <w:tblPr>
        <w:tblW w:w="0" w:type="auto"/>
        <w:tblLayout w:type="fixed"/>
        <w:tblCellMar>
          <w:left w:w="62" w:type="dxa"/>
          <w:right w:w="62" w:type="dxa"/>
        </w:tblCellMar>
        <w:tblLook w:val="0000"/>
      </w:tblPr>
      <w:tblGrid>
        <w:gridCol w:w="678"/>
        <w:gridCol w:w="1962"/>
        <w:gridCol w:w="770"/>
        <w:gridCol w:w="5610"/>
      </w:tblGrid>
      <w:tr w:rsidTr="00CF1C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3</w:t>
            </w:r>
          </w:p>
        </w:tc>
        <w:tc>
          <w:tcPr>
            <w:tcW w:w="1962" w:type="dxa"/>
            <w:vMerge w:val="restart"/>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Clean up.</w:t>
            </w: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3.1</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Waste and unwanted material are disposed of safely according to workplace requirements.</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3.2</w:t>
            </w:r>
          </w:p>
        </w:tc>
        <w:tc>
          <w:tcPr>
            <w:tcW w:w="561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Re-usable and recyclable materials are salvaged and stored according to workplace requirements.</w:t>
            </w:r>
          </w:p>
        </w:tc>
      </w:tr>
      <w:tr w:rsidTr="00CF1C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3.3</w:t>
            </w:r>
          </w:p>
        </w:tc>
        <w:tc>
          <w:tcPr>
            <w:tcW w:w="5610"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Tools and equipme</w:t>
            </w:r>
            <w:r w:rsidRPr="00CF1C25">
              <w:t>nt are cleaned, maintained and stored according to workplace requirements.</w:t>
            </w:r>
          </w:p>
        </w:tc>
      </w:tr>
    </w:tbl>
    <w:p w:rsidR="00A94F4E" w:rsidP="00CF1C25">
      <w:pPr>
        <w:pStyle w:val="BodyText"/>
      </w:pPr>
    </w:p>
    <w:p w:rsidR="00A94F4E" w:rsidP="00CF1C25">
      <w:pPr>
        <w:pStyle w:val="BodyText"/>
      </w:pPr>
    </w:p>
    <w:p w:rsidR="00000000" w:rsidRPr="00CF1C25" w:rsidP="00CF1C25">
      <w:pPr>
        <w:pStyle w:val="Heading1"/>
      </w:pPr>
      <w:bookmarkStart w:id="9" w:name="O_618355"/>
      <w:bookmarkEnd w:id="9"/>
      <w:r w:rsidRPr="00CF1C25">
        <w:t>Required Skills and Knowledge</w:t>
      </w:r>
    </w:p>
    <w:tbl>
      <w:tblPr>
        <w:tblW w:w="0" w:type="auto"/>
        <w:tblLayout w:type="fixed"/>
        <w:tblCellMar>
          <w:left w:w="62" w:type="dxa"/>
          <w:right w:w="62" w:type="dxa"/>
        </w:tblCellMar>
        <w:tblLook w:val="0000"/>
      </w:tblPr>
      <w:tblGrid>
        <w:gridCol w:w="9134"/>
      </w:tblGrid>
      <w:tr w:rsidTr="00CF1C2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This section describes the skills and knowledge required for this unit.</w:t>
            </w:r>
          </w:p>
        </w:tc>
      </w:tr>
      <w:tr w:rsidTr="00CF1C2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SpecialBold"/>
              </w:rPr>
              <w:t>Required skills</w:t>
            </w:r>
          </w:p>
        </w:tc>
      </w:tr>
      <w:tr w:rsidTr="00CF1C2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communication skills to:</w:t>
            </w:r>
          </w:p>
          <w:p w:rsidR="00000000" w:rsidRPr="00CF1C25" w:rsidP="00CF1C25">
            <w:pPr>
              <w:pStyle w:val="ListBullet2"/>
            </w:pPr>
            <w:r w:rsidRPr="00CF1C25">
              <w:t>enable clear and direct communication</w:t>
            </w:r>
          </w:p>
          <w:p w:rsidR="00000000" w:rsidRPr="00CF1C25" w:rsidP="00CF1C25">
            <w:pPr>
              <w:pStyle w:val="ListBullet2"/>
            </w:pPr>
            <w:r w:rsidRPr="00CF1C25">
              <w:t>use questioning to identify and confirm requirements</w:t>
            </w:r>
          </w:p>
          <w:p w:rsidR="00000000" w:rsidRPr="00CF1C25" w:rsidP="00CF1C25">
            <w:pPr>
              <w:pStyle w:val="ListBullet2"/>
            </w:pPr>
            <w:r w:rsidRPr="00CF1C25">
              <w:t>share information</w:t>
            </w:r>
          </w:p>
          <w:p w:rsidR="00000000" w:rsidRPr="00CF1C25" w:rsidP="00CF1C25">
            <w:pPr>
              <w:pStyle w:val="ListBullet2"/>
            </w:pPr>
            <w:r w:rsidRPr="00CF1C25">
              <w:t>follow instructions</w:t>
            </w:r>
          </w:p>
          <w:p w:rsidR="00000000" w:rsidRPr="00CF1C25" w:rsidP="00CF1C25">
            <w:pPr>
              <w:pStyle w:val="ListBullet2"/>
            </w:pPr>
            <w:r w:rsidRPr="00CF1C25">
              <w:t>use and interpret non-verbal communication</w:t>
            </w:r>
          </w:p>
          <w:p w:rsidR="00000000" w:rsidRPr="00CF1C25" w:rsidP="00CF1C25">
            <w:pPr>
              <w:pStyle w:val="ListBullet2"/>
            </w:pPr>
            <w:r w:rsidRPr="00CF1C25">
              <w:t>use language and concepts appropriate to cultural differences</w:t>
            </w:r>
          </w:p>
          <w:p w:rsidR="00000000" w:rsidRPr="00CF1C25" w:rsidP="00CF1C25">
            <w:pPr>
              <w:pStyle w:val="ListBullet"/>
            </w:pPr>
            <w:r w:rsidRPr="00CF1C25">
              <w:t>innovation skills to select appropriate tools and equipment, respond to workplace challenges and put ideas into action</w:t>
            </w:r>
          </w:p>
          <w:p w:rsidR="00000000" w:rsidRPr="00CF1C25" w:rsidP="00CF1C25">
            <w:pPr>
              <w:pStyle w:val="ListBullet"/>
            </w:pPr>
            <w:r w:rsidRPr="00CF1C25">
              <w:t>numeracy skills to apply measurements and calculate material requirements</w:t>
            </w:r>
          </w:p>
          <w:p w:rsidR="00000000" w:rsidRPr="00CF1C25" w:rsidP="00CF1C25">
            <w:pPr>
              <w:pStyle w:val="ListBullet"/>
            </w:pPr>
            <w:r w:rsidRPr="00CF1C25">
              <w:t xml:space="preserve">planning and organising skills to identify requirements, apply </w:t>
            </w:r>
            <w:r w:rsidRPr="00CF1C25">
              <w:t>relevant resources and sequence tasks</w:t>
            </w:r>
          </w:p>
          <w:p w:rsidR="00000000" w:rsidRPr="00CF1C25" w:rsidP="00CF1C25">
            <w:pPr>
              <w:pStyle w:val="ListBullet"/>
            </w:pPr>
            <w:r w:rsidRPr="00CF1C25">
              <w:t>problem-solving skills to recognise and take action to rectify minor faults and problems</w:t>
            </w:r>
          </w:p>
          <w:p w:rsidR="00000000" w:rsidRPr="00CF1C25" w:rsidP="00CF1C25">
            <w:pPr>
              <w:pStyle w:val="ListBullet"/>
            </w:pPr>
            <w:r w:rsidRPr="00CF1C25">
              <w:t>reading skills to read and interpret drawings and specifications</w:t>
            </w:r>
          </w:p>
          <w:p w:rsidR="00000000" w:rsidP="00CF1C25">
            <w:pPr>
              <w:pStyle w:val="ListBullet"/>
              <w:rPr>
                <w:lang w:val="en-NZ"/>
              </w:rPr>
            </w:pPr>
            <w:r w:rsidRPr="00CF1C25">
              <w:t>teamwork skills to work with others to action tasks</w:t>
            </w:r>
          </w:p>
        </w:tc>
      </w:tr>
      <w:tr w:rsidTr="00CF1C2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CF1C25" w:rsidP="00CF1C25">
            <w:pPr>
              <w:pStyle w:val="BodyText"/>
            </w:pPr>
          </w:p>
          <w:p w:rsidR="00000000" w:rsidP="00CF1C25">
            <w:pPr>
              <w:pStyle w:val="BodyText"/>
              <w:rPr>
                <w:lang w:val="en-NZ"/>
              </w:rPr>
            </w:pPr>
            <w:r w:rsidRPr="00CF1C25">
              <w:rPr>
                <w:rStyle w:val="SpecialBold"/>
              </w:rPr>
              <w:t>Required knowledge</w:t>
            </w:r>
          </w:p>
        </w:tc>
      </w:tr>
      <w:tr w:rsidTr="00CF1C2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 xml:space="preserve">drawing conventions and construction terminology used in plans and specifications </w:t>
            </w:r>
          </w:p>
          <w:p w:rsidR="00000000" w:rsidRPr="00CF1C25" w:rsidP="00CF1C25">
            <w:pPr>
              <w:pStyle w:val="ListBullet"/>
            </w:pPr>
            <w:r w:rsidRPr="00CF1C25">
              <w:t>finishing techniques for gilding and gilded surfaces</w:t>
            </w:r>
          </w:p>
          <w:p w:rsidR="00000000" w:rsidRPr="00CF1C25" w:rsidP="00CF1C25">
            <w:pPr>
              <w:pStyle w:val="ListBullet"/>
            </w:pPr>
            <w:r w:rsidRPr="00CF1C25">
              <w:t>gilding materials suitable for application to letters and shapes cut into stone, and their characte</w:t>
            </w:r>
            <w:r w:rsidRPr="00CF1C25">
              <w:t>ristics</w:t>
            </w:r>
          </w:p>
          <w:p w:rsidR="00000000" w:rsidRPr="00CF1C25" w:rsidP="00CF1C25">
            <w:pPr>
              <w:pStyle w:val="ListBullet"/>
            </w:pPr>
            <w:r w:rsidRPr="00CF1C25">
              <w:t>job safety analyses (JSA) and safe work method statements (SWMS)</w:t>
            </w:r>
          </w:p>
          <w:p w:rsidR="00000000" w:rsidRPr="00CF1C25" w:rsidP="00CF1C25">
            <w:pPr>
              <w:pStyle w:val="ListBullet"/>
            </w:pPr>
            <w:r w:rsidRPr="00CF1C25">
              <w:t>methods for applying gilding to stone</w:t>
            </w:r>
          </w:p>
          <w:p w:rsidR="00000000" w:rsidRPr="00CF1C25" w:rsidP="00CF1C25">
            <w:pPr>
              <w:pStyle w:val="ListBullet"/>
            </w:pPr>
            <w:r w:rsidRPr="00CF1C25">
              <w:t>types of stone and their characteristics</w:t>
            </w:r>
          </w:p>
          <w:p w:rsidR="00000000" w:rsidRPr="00CF1C25" w:rsidP="00CF1C25">
            <w:pPr>
              <w:pStyle w:val="ListBullet"/>
            </w:pPr>
            <w:r w:rsidRPr="00CF1C25">
              <w:t>workplace and equipment safety requirements that apply to the use of gilding tools and equipment</w:t>
            </w:r>
          </w:p>
        </w:tc>
      </w:tr>
    </w:tbl>
    <w:p w:rsidR="00000000" w:rsidRPr="00CF1C25" w:rsidP="00CF1C25">
      <w:pPr>
        <w:pStyle w:val="BodyText"/>
      </w:pPr>
    </w:p>
    <w:p w:rsidR="00000000" w:rsidRPr="00CF1C25" w:rsidP="00CF1C25">
      <w:pPr>
        <w:pStyle w:val="AllowPageBreak"/>
      </w:pPr>
    </w:p>
    <w:p w:rsidR="00000000" w:rsidRPr="00CF1C25" w:rsidP="00CF1C25">
      <w:pPr>
        <w:pStyle w:val="Heading1"/>
      </w:pPr>
      <w:bookmarkStart w:id="10" w:name="O_618356"/>
      <w:bookmarkEnd w:id="10"/>
      <w:r w:rsidRPr="00CF1C25">
        <w:t>Evidence Guide</w:t>
      </w:r>
    </w:p>
    <w:tbl>
      <w:tblPr>
        <w:tblW w:w="0" w:type="auto"/>
        <w:tblLayout w:type="fixed"/>
        <w:tblCellMar>
          <w:left w:w="62" w:type="dxa"/>
          <w:right w:w="62" w:type="dxa"/>
        </w:tblCellMar>
        <w:tblLook w:val="0000"/>
      </w:tblPr>
      <w:tblGrid>
        <w:gridCol w:w="2630"/>
        <w:gridCol w:w="6504"/>
      </w:tblGrid>
      <w:tr w:rsidTr="00CF1C25">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The evidence guide provides advice on assessment and must be read in conjunction with the performance criteria, required skills and knowledge, range statement and the Assessment Guidelines for the Training Package.</w:t>
            </w:r>
          </w:p>
        </w:tc>
      </w:tr>
      <w:tr w:rsidTr="00CF1C25">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SpecialBold"/>
              </w:rPr>
              <w:t>Overview of assessment</w:t>
            </w:r>
          </w:p>
        </w:tc>
        <w:tc>
          <w:tcPr>
            <w:tcW w:w="650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This unit of competency could be assessed in the workplace or a close simulation of the workplace environment, provided that simulated or project-based assessment techniques fully replicate construction workplace conditions, material</w:t>
            </w:r>
            <w:r w:rsidRPr="00CF1C25">
              <w:t>s, activities, responsibilities and procedures.</w:t>
            </w:r>
          </w:p>
        </w:tc>
      </w:tr>
      <w:tr w:rsidTr="00CF1C25">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SpecialBold"/>
              </w:rPr>
              <w:t>Critical aspects for assessment and evidence required to demonstrate competency in this unit</w:t>
            </w:r>
          </w:p>
        </w:tc>
        <w:tc>
          <w:tcPr>
            <w:tcW w:w="6504"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 xml:space="preserve">A person should demonstrate the ability to apply gilding to at least three different types of lettering, insignia </w:t>
            </w:r>
            <w:r w:rsidRPr="00CF1C25">
              <w:t>and monograms, providing evidence of the ability to:</w:t>
            </w:r>
          </w:p>
          <w:p w:rsidR="00000000" w:rsidRPr="00CF1C25" w:rsidP="00CF1C25">
            <w:pPr>
              <w:pStyle w:val="ListBullet"/>
            </w:pPr>
            <w:r w:rsidRPr="00CF1C25">
              <w:t>select and use appropriate tools, equipment and processes consistent with requirements of activity</w:t>
            </w:r>
          </w:p>
          <w:p w:rsidR="00000000" w:rsidRPr="00CF1C25" w:rsidP="00CF1C25">
            <w:pPr>
              <w:pStyle w:val="ListBullet"/>
            </w:pPr>
            <w:r w:rsidRPr="00CF1C25">
              <w:t>comply with WHS requirements applicable to workplace operations</w:t>
            </w:r>
          </w:p>
          <w:p w:rsidR="00000000" w:rsidRPr="00CF1C25" w:rsidP="00CF1C25">
            <w:pPr>
              <w:pStyle w:val="ListBullet"/>
            </w:pPr>
            <w:r w:rsidRPr="00CF1C25">
              <w:t>apply organisational quality procedures and processes within the context of applying gilding to stone</w:t>
            </w:r>
          </w:p>
          <w:p w:rsidR="00000000" w:rsidRPr="00CF1C25" w:rsidP="00CF1C25">
            <w:pPr>
              <w:pStyle w:val="ListBullet"/>
            </w:pPr>
            <w:r w:rsidRPr="00CF1C25">
              <w:t>provide appropriate protection to surrounding areas</w:t>
            </w:r>
          </w:p>
          <w:p w:rsidR="00000000" w:rsidRPr="00CF1C25" w:rsidP="00CF1C25">
            <w:pPr>
              <w:pStyle w:val="ListBullet"/>
            </w:pPr>
            <w:r w:rsidRPr="00CF1C25">
              <w:t>use safe and effective procedures to apply gilding recesses in stone</w:t>
            </w:r>
          </w:p>
          <w:p w:rsidR="00000000" w:rsidRPr="00CF1C25" w:rsidP="00CF1C25">
            <w:pPr>
              <w:pStyle w:val="ListBullet"/>
            </w:pPr>
            <w:r w:rsidRPr="00CF1C25">
              <w:t xml:space="preserve">apply gilding and finish surface </w:t>
            </w:r>
            <w:r w:rsidRPr="00CF1C25">
              <w:t>to specifications</w:t>
            </w:r>
          </w:p>
          <w:p w:rsidR="00000000" w:rsidP="00CF1C25">
            <w:pPr>
              <w:pStyle w:val="ListBullet"/>
              <w:rPr>
                <w:lang w:val="en-NZ"/>
              </w:rPr>
            </w:pPr>
            <w:r w:rsidRPr="00CF1C25">
              <w:t>communicate with others to ensure safe and effective workplace operations.</w:t>
            </w:r>
          </w:p>
        </w:tc>
      </w:tr>
      <w:tr w:rsidTr="00CF1C25">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SpecialBold"/>
              </w:rPr>
              <w:t>Context of and specific resources for assessment</w:t>
            </w:r>
          </w:p>
        </w:tc>
        <w:tc>
          <w:tcPr>
            <w:tcW w:w="6504"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Assessment of this unit:</w:t>
            </w:r>
          </w:p>
          <w:p w:rsidR="00000000" w:rsidRPr="00CF1C25" w:rsidP="00CF1C25">
            <w:pPr>
              <w:pStyle w:val="ListBullet"/>
            </w:pPr>
            <w:r w:rsidRPr="00CF1C25">
              <w:t>must be in the context of the work environment</w:t>
            </w:r>
          </w:p>
          <w:p w:rsidR="00000000" w:rsidRPr="00CF1C25" w:rsidP="00CF1C25">
            <w:pPr>
              <w:pStyle w:val="ListBullet"/>
            </w:pPr>
            <w:r w:rsidRPr="00CF1C25">
              <w:t>may be conducted in an off-site context,</w:t>
            </w:r>
            <w:r w:rsidRPr="00CF1C25">
              <w:t xml:space="preserve"> provided it is realistic and sufficiently rigorous to cover all aspects of workplace performance, including task skills, task management skills, contingency management skills and job role environment skills</w:t>
            </w:r>
          </w:p>
          <w:p w:rsidR="00000000" w:rsidRPr="00CF1C25" w:rsidP="00CF1C25">
            <w:pPr>
              <w:pStyle w:val="ListBullet"/>
            </w:pPr>
            <w:r w:rsidRPr="00CF1C25">
              <w:t>must meet relevant compliance requirements.</w:t>
            </w:r>
          </w:p>
          <w:p w:rsidR="00000000" w:rsidRPr="00CF1C25" w:rsidP="00CF1C25">
            <w:pPr>
              <w:pStyle w:val="BodyText"/>
            </w:pPr>
            <w:r w:rsidRPr="00CF1C25">
              <w:t>Reso</w:t>
            </w:r>
            <w:r w:rsidRPr="00CF1C25">
              <w:t>urce implications for assessment may include:</w:t>
            </w:r>
          </w:p>
          <w:p w:rsidR="00000000" w:rsidRPr="00CF1C25" w:rsidP="00CF1C25">
            <w:pPr>
              <w:pStyle w:val="ListBullet"/>
            </w:pPr>
            <w:r w:rsidRPr="00CF1C25">
              <w:t>workplace location</w:t>
            </w:r>
          </w:p>
          <w:p w:rsidR="00000000" w:rsidRPr="00CF1C25" w:rsidP="00CF1C25">
            <w:pPr>
              <w:pStyle w:val="ListBullet"/>
            </w:pPr>
            <w:r w:rsidRPr="00CF1C25">
              <w:t>tools and equipment appropriate to gilding processes</w:t>
            </w:r>
          </w:p>
          <w:p w:rsidR="00000000" w:rsidRPr="00CF1C25" w:rsidP="00CF1C25">
            <w:pPr>
              <w:pStyle w:val="ListBullet"/>
            </w:pPr>
            <w:r w:rsidRPr="00CF1C25">
              <w:t>stone relevant to proposed activity</w:t>
            </w:r>
          </w:p>
          <w:p w:rsidR="00000000" w:rsidP="00CF1C25">
            <w:pPr>
              <w:pStyle w:val="ListBullet"/>
              <w:rPr>
                <w:lang w:val="en-NZ"/>
              </w:rPr>
            </w:pPr>
            <w:r w:rsidRPr="00CF1C25">
              <w:t>drawings, specifications and documentation relevant to activity.</w:t>
            </w:r>
          </w:p>
        </w:tc>
      </w:tr>
      <w:tr w:rsidTr="00CF1C25">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SpecialBold"/>
              </w:rPr>
              <w:t>Method of assessment</w:t>
            </w:r>
          </w:p>
        </w:tc>
        <w:tc>
          <w:tcPr>
            <w:tcW w:w="6504"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Assessment for this unit must verify the practical application of the required skills and knowledge, using one or more of the following methods:</w:t>
            </w:r>
          </w:p>
          <w:p w:rsidR="00000000" w:rsidRPr="00CF1C25" w:rsidP="00CF1C25">
            <w:pPr>
              <w:pStyle w:val="ListBullet"/>
            </w:pPr>
            <w:r w:rsidRPr="00CF1C25">
              <w:t>direct observation of tasks in real or simulated work conditions</w:t>
            </w:r>
          </w:p>
          <w:p w:rsidR="00000000" w:rsidRPr="00CF1C25" w:rsidP="00CF1C25">
            <w:pPr>
              <w:pStyle w:val="ListBullet"/>
            </w:pPr>
            <w:r w:rsidRPr="00CF1C25">
              <w:t>questioning to confirm the ability to consist</w:t>
            </w:r>
            <w:r w:rsidRPr="00CF1C25">
              <w:t>ently identify and correctly interpret the essential underpinning knowledge required for practical application</w:t>
            </w:r>
          </w:p>
          <w:p w:rsidR="00000000" w:rsidP="00CF1C25">
            <w:pPr>
              <w:pStyle w:val="ListBullet"/>
              <w:rPr>
                <w:lang w:val="en-NZ"/>
              </w:rPr>
            </w:pPr>
            <w:r w:rsidRPr="00CF1C25">
              <w:t>review of relevant authenticated documentation from third parties, such as existing supervisors, team leaders or specialist training staff.</w:t>
            </w:r>
          </w:p>
        </w:tc>
      </w:tr>
      <w:tr w:rsidTr="00CF1C25">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SpecialBold"/>
              </w:rPr>
              <w:t>Guid</w:t>
            </w:r>
            <w:r w:rsidRPr="00CF1C25">
              <w:rPr>
                <w:rStyle w:val="SpecialBold"/>
              </w:rPr>
              <w:t>ance information for assessment</w:t>
            </w:r>
          </w:p>
        </w:tc>
        <w:tc>
          <w:tcPr>
            <w:tcW w:w="6504" w:type="dxa"/>
            <w:tcBorders>
              <w:top w:val="nil"/>
              <w:left w:val="nil"/>
              <w:bottom w:val="nil"/>
              <w:right w:val="nil"/>
            </w:tcBorders>
            <w:tcMar>
              <w:top w:w="0" w:type="dxa"/>
              <w:left w:w="62" w:type="dxa"/>
              <w:bottom w:w="0" w:type="dxa"/>
              <w:right w:w="62" w:type="dxa"/>
            </w:tcMar>
          </w:tcPr>
          <w:p w:rsidR="00000000" w:rsidRPr="00CF1C25" w:rsidP="00CF1C25">
            <w:pPr>
              <w:pStyle w:val="BodyText"/>
            </w:pPr>
            <w:r w:rsidRPr="00CF1C25">
              <w:t>This unit could be assessed on its own or in combination with other units relevant to the job function, for example:</w:t>
            </w:r>
          </w:p>
          <w:p w:rsidR="00000000" w:rsidRPr="00CF1C25" w:rsidP="00CF1C25">
            <w:pPr>
              <w:pStyle w:val="ListBullet"/>
            </w:pPr>
            <w:r w:rsidRPr="00CF1C25">
              <w:t>CPCCST3010A Set out and cut letters in stone</w:t>
            </w:r>
          </w:p>
          <w:p w:rsidR="00000000" w:rsidRPr="00CF1C25" w:rsidP="00CF1C25">
            <w:pPr>
              <w:pStyle w:val="ListBullet"/>
            </w:pPr>
            <w:r w:rsidRPr="00CF1C25">
              <w:t>CPCCST3018A Inlay lead to stone.</w:t>
            </w:r>
          </w:p>
          <w:p w:rsidR="00000000" w:rsidRPr="00CF1C25" w:rsidP="00CF1C25">
            <w:pPr>
              <w:pStyle w:val="BodyText"/>
            </w:pPr>
            <w:r w:rsidRPr="00CF1C25">
              <w:t>Reasonable adjustments for p</w:t>
            </w:r>
            <w:r w:rsidRPr="00CF1C25">
              <w:t>eople with disabilities must be made to assessment processes where required. This could include access to modified equipment and other physical resources, and the provision of appropriate assessment support.</w:t>
            </w:r>
          </w:p>
          <w:p w:rsidR="00000000" w:rsidRPr="00CF1C25" w:rsidP="00CF1C25">
            <w:pPr>
              <w:pStyle w:val="BodyText"/>
            </w:pPr>
            <w:r w:rsidRPr="00CF1C25">
              <w:t>Assessment processes and techniques should, as f</w:t>
            </w:r>
            <w:r w:rsidRPr="00CF1C25">
              <w:t>ar as is practical, take into account the language, literacy and numeracy capacity of the candidate in relation to the competency being assessed.</w:t>
            </w:r>
          </w:p>
        </w:tc>
      </w:tr>
    </w:tbl>
    <w:p w:rsidR="00A94F4E" w:rsidP="00CF1C25">
      <w:pPr>
        <w:pStyle w:val="BodyText"/>
      </w:pPr>
    </w:p>
    <w:p w:rsidR="00A94F4E" w:rsidP="00CF1C25">
      <w:pPr>
        <w:pStyle w:val="BodyText"/>
      </w:pPr>
    </w:p>
    <w:p w:rsidR="00000000" w:rsidRPr="00CF1C25" w:rsidP="00CF1C25">
      <w:pPr>
        <w:pStyle w:val="Heading1"/>
      </w:pPr>
      <w:bookmarkStart w:id="11" w:name="O_618357"/>
      <w:bookmarkEnd w:id="11"/>
      <w:r w:rsidRPr="00CF1C25">
        <w:t>Range Statement</w:t>
      </w:r>
    </w:p>
    <w:tbl>
      <w:tblPr>
        <w:tblW w:w="0" w:type="auto"/>
        <w:tblLayout w:type="fixed"/>
        <w:tblCellMar>
          <w:left w:w="62" w:type="dxa"/>
          <w:right w:w="62" w:type="dxa"/>
        </w:tblCellMar>
        <w:tblLook w:val="0000"/>
      </w:tblPr>
      <w:tblGrid>
        <w:gridCol w:w="2634"/>
        <w:gridCol w:w="6500"/>
      </w:tblGrid>
      <w:tr w:rsidTr="00CF1C25">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t>The range statement relates to the unit of competency as a whole. It a</w:t>
            </w:r>
            <w:r w:rsidRPr="00CF1C25">
              <w:t xml:space="preserve">llows for different work environments and situations that may affect performance. </w:t>
            </w:r>
            <w:r w:rsidRPr="00CF1C25">
              <w:rPr>
                <w:rStyle w:val="BoldandItalics"/>
              </w:rPr>
              <w:t>Bold italicised</w:t>
            </w:r>
            <w:r w:rsidRPr="00CF1C25">
              <w:t xml:space="preserve"> wording, if used in the performance criteria, is detailed below. Essential operating conditions that may be present with training and assessment (depending on</w:t>
            </w:r>
            <w:r w:rsidRPr="00CF1C25">
              <w:t xml:space="preserve"> the work situation, needs of the candidate, accessibility of </w:t>
            </w:r>
            <w:r w:rsidRPr="00CF1C25">
              <w:t>the item, and local industry and regional contexts) may also be included.</w:t>
            </w:r>
          </w:p>
        </w:tc>
      </w:tr>
      <w:tr w:rsidTr="00CF1C2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Information</w:t>
            </w:r>
            <w:r w:rsidRPr="00CF1C25">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diagrams or sketches</w:t>
            </w:r>
          </w:p>
          <w:p w:rsidR="00000000" w:rsidRPr="00CF1C25" w:rsidP="00CF1C25">
            <w:pPr>
              <w:pStyle w:val="ListBullet"/>
            </w:pPr>
            <w:r w:rsidRPr="00CF1C25">
              <w:t>instructions issued by authorised organisational or external personnel</w:t>
            </w:r>
          </w:p>
          <w:p w:rsidR="00000000" w:rsidRPr="00CF1C25" w:rsidP="00CF1C25">
            <w:pPr>
              <w:pStyle w:val="ListBullet"/>
            </w:pPr>
            <w:r w:rsidRPr="00CF1C25">
              <w:t>memos</w:t>
            </w:r>
          </w:p>
          <w:p w:rsidR="00000000" w:rsidRPr="00CF1C25" w:rsidP="00CF1C25">
            <w:pPr>
              <w:pStyle w:val="ListBullet"/>
            </w:pPr>
            <w:r w:rsidRPr="00CF1C25">
              <w:t>regulatory and legislative requirements for handling stone</w:t>
            </w:r>
          </w:p>
          <w:p w:rsidR="00000000" w:rsidRPr="00CF1C25" w:rsidP="00CF1C25">
            <w:pPr>
              <w:pStyle w:val="ListBullet"/>
            </w:pPr>
            <w:r w:rsidRPr="00CF1C25">
              <w:t>current Australian standards relating to the application of gilding to stone</w:t>
            </w:r>
          </w:p>
          <w:p w:rsidR="00000000" w:rsidRPr="00CF1C25" w:rsidP="00CF1C25">
            <w:pPr>
              <w:pStyle w:val="ListBullet"/>
            </w:pPr>
            <w:r w:rsidRPr="00CF1C25">
              <w:t>safe work procedures relating to handling stone</w:t>
            </w:r>
          </w:p>
          <w:p w:rsidR="00000000" w:rsidRPr="00CF1C25" w:rsidP="00CF1C25">
            <w:pPr>
              <w:pStyle w:val="ListBullet"/>
            </w:pPr>
            <w:r w:rsidRPr="00CF1C25">
              <w:t>safety data sheets (SDS)</w:t>
            </w:r>
          </w:p>
          <w:p w:rsidR="00000000" w:rsidRPr="00CF1C25" w:rsidP="00CF1C25">
            <w:pPr>
              <w:pStyle w:val="ListBullet"/>
            </w:pPr>
            <w:r w:rsidRPr="00CF1C25">
              <w:t>signage</w:t>
            </w:r>
          </w:p>
          <w:p w:rsidR="00000000" w:rsidRPr="00CF1C25" w:rsidP="00CF1C25">
            <w:pPr>
              <w:pStyle w:val="ListBullet"/>
            </w:pPr>
            <w:r w:rsidRPr="00CF1C25">
              <w:t>verbal, written and graphical ins</w:t>
            </w:r>
            <w:r w:rsidRPr="00CF1C25">
              <w:t>tructions, including manufacturer specifications and instructions where specified</w:t>
            </w:r>
          </w:p>
          <w:p w:rsidR="00000000" w:rsidRPr="00CF1C25" w:rsidP="00CF1C25">
            <w:pPr>
              <w:pStyle w:val="ListBullet"/>
            </w:pPr>
            <w:r w:rsidRPr="00CF1C25">
              <w:t>work bulletins</w:t>
            </w:r>
          </w:p>
          <w:p w:rsidR="00000000" w:rsidP="00CF1C25">
            <w:pPr>
              <w:pStyle w:val="ListBullet"/>
              <w:rPr>
                <w:lang w:val="en-NZ"/>
              </w:rPr>
            </w:pPr>
            <w:r w:rsidRPr="00CF1C25">
              <w:t>work schedules, plans and specifications.</w:t>
            </w:r>
          </w:p>
        </w:tc>
      </w:tr>
      <w:tr w:rsidTr="00CF1C2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Planning</w:t>
            </w:r>
            <w:r w:rsidRPr="00CF1C25">
              <w:t xml:space="preserve"> </w:t>
            </w:r>
            <w:r w:rsidRPr="00CF1C25">
              <w:rPr>
                <w:rStyle w:val="BoldandItalics"/>
              </w:rPr>
              <w:t>and</w:t>
            </w:r>
            <w:r w:rsidRPr="00CF1C25">
              <w:t xml:space="preserve"> </w:t>
            </w:r>
            <w:r w:rsidRPr="00CF1C25">
              <w:rPr>
                <w:rStyle w:val="BoldandItalics"/>
              </w:rPr>
              <w:t>preparation</w:t>
            </w:r>
            <w:r w:rsidRPr="00CF1C25">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assessing conditions and hazards</w:t>
            </w:r>
          </w:p>
          <w:p w:rsidR="00000000" w:rsidRPr="00CF1C25" w:rsidP="00CF1C25">
            <w:pPr>
              <w:pStyle w:val="ListBullet"/>
            </w:pPr>
            <w:r w:rsidRPr="00CF1C25">
              <w:t>determining work requirements and safety pla</w:t>
            </w:r>
            <w:r w:rsidRPr="00CF1C25">
              <w:t>ns and policies</w:t>
            </w:r>
          </w:p>
          <w:p w:rsidR="00000000" w:rsidRPr="00CF1C25" w:rsidP="00CF1C25">
            <w:pPr>
              <w:pStyle w:val="ListBullet"/>
            </w:pPr>
            <w:r w:rsidRPr="00CF1C25">
              <w:t>identifying equipment defects</w:t>
            </w:r>
          </w:p>
          <w:p w:rsidR="00000000" w:rsidP="00CF1C25">
            <w:pPr>
              <w:pStyle w:val="ListBullet"/>
              <w:rPr>
                <w:lang w:val="en-NZ"/>
              </w:rPr>
            </w:pPr>
            <w:r w:rsidRPr="00CF1C25">
              <w:t>inspecting work sites.</w:t>
            </w:r>
          </w:p>
        </w:tc>
      </w:tr>
      <w:tr w:rsidTr="00CF1C2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Work health and safety requirements</w:t>
            </w:r>
            <w:r w:rsidRPr="00CF1C25">
              <w:t xml:space="preserve"> must comply with state and territory legislation and regulations and project safety plan and may include:</w:t>
            </w:r>
          </w:p>
        </w:tc>
        <w:tc>
          <w:tcPr>
            <w:tcW w:w="6500"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emergency procedures, including extinguishing fires, organisational first aid requirements, and evacuation procedures</w:t>
            </w:r>
          </w:p>
          <w:p w:rsidR="00000000" w:rsidRPr="00CF1C25" w:rsidP="00CF1C25">
            <w:pPr>
              <w:pStyle w:val="ListBullet"/>
            </w:pPr>
            <w:r w:rsidRPr="00CF1C25">
              <w:t>hazard control</w:t>
            </w:r>
          </w:p>
          <w:p w:rsidR="00000000" w:rsidRPr="00CF1C25" w:rsidP="00CF1C25">
            <w:pPr>
              <w:pStyle w:val="ListBullet"/>
            </w:pPr>
            <w:r w:rsidRPr="00CF1C25">
              <w:t>hazardous materials and substances</w:t>
            </w:r>
          </w:p>
          <w:p w:rsidR="00000000" w:rsidRPr="00CF1C25" w:rsidP="00CF1C25">
            <w:pPr>
              <w:pStyle w:val="ListBullet"/>
            </w:pPr>
            <w:r w:rsidRPr="00CF1C25">
              <w:t>personal protective equipment (PPE) prescribed under legislation, regulations and workpl</w:t>
            </w:r>
            <w:r w:rsidRPr="00CF1C25">
              <w:t>ace policies and practices</w:t>
            </w:r>
          </w:p>
          <w:p w:rsidR="00000000" w:rsidRPr="00CF1C25" w:rsidP="00CF1C25">
            <w:pPr>
              <w:pStyle w:val="ListBullet"/>
            </w:pPr>
            <w:r w:rsidRPr="00CF1C25">
              <w:t>safe operating procedures, including operational risk assessment and treatments associated with:</w:t>
            </w:r>
          </w:p>
          <w:p w:rsidR="00000000" w:rsidRPr="00CF1C25" w:rsidP="00CF1C25">
            <w:pPr>
              <w:pStyle w:val="ListBullet2"/>
            </w:pPr>
            <w:r w:rsidRPr="00CF1C25">
              <w:t>concealed services (water, power and gas)</w:t>
            </w:r>
          </w:p>
          <w:p w:rsidR="00000000" w:rsidRPr="00CF1C25" w:rsidP="00CF1C25">
            <w:pPr>
              <w:pStyle w:val="ListBullet2"/>
            </w:pPr>
            <w:r w:rsidRPr="00CF1C25">
              <w:t>lighting</w:t>
            </w:r>
          </w:p>
          <w:p w:rsidR="00000000" w:rsidRPr="00CF1C25" w:rsidP="00CF1C25">
            <w:pPr>
              <w:pStyle w:val="ListBullet2"/>
            </w:pPr>
            <w:r w:rsidRPr="00CF1C25">
              <w:t>restricted access barriers</w:t>
            </w:r>
          </w:p>
          <w:p w:rsidR="00000000" w:rsidRPr="00CF1C25" w:rsidP="00CF1C25">
            <w:pPr>
              <w:pStyle w:val="ListBullet2"/>
            </w:pPr>
            <w:r w:rsidRPr="00CF1C25">
              <w:t>traffic control</w:t>
            </w:r>
          </w:p>
          <w:p w:rsidR="00000000" w:rsidRPr="00CF1C25" w:rsidP="00CF1C25">
            <w:pPr>
              <w:pStyle w:val="ListBullet2"/>
            </w:pPr>
            <w:r w:rsidRPr="00CF1C25">
              <w:t>working at heights</w:t>
            </w:r>
          </w:p>
          <w:p w:rsidR="00000000" w:rsidRPr="00CF1C25" w:rsidP="00CF1C25">
            <w:pPr>
              <w:pStyle w:val="ListBullet2"/>
            </w:pPr>
            <w:r w:rsidRPr="00CF1C25">
              <w:t>work site visi</w:t>
            </w:r>
            <w:r w:rsidRPr="00CF1C25">
              <w:t>tors and the public</w:t>
            </w:r>
          </w:p>
          <w:p w:rsidR="00000000" w:rsidRPr="00CF1C25" w:rsidP="00CF1C25">
            <w:pPr>
              <w:pStyle w:val="ListBullet2"/>
            </w:pPr>
            <w:r w:rsidRPr="00CF1C25">
              <w:t>working in proximity to others</w:t>
            </w:r>
          </w:p>
          <w:p w:rsidR="00000000" w:rsidRPr="00CF1C25" w:rsidP="00CF1C25">
            <w:pPr>
              <w:pStyle w:val="ListBullet"/>
            </w:pPr>
            <w:r w:rsidRPr="00CF1C25">
              <w:t>use of firefighting equipment</w:t>
            </w:r>
          </w:p>
          <w:p w:rsidR="00000000" w:rsidRPr="00CF1C25" w:rsidP="00CF1C25">
            <w:pPr>
              <w:pStyle w:val="ListBullet"/>
            </w:pPr>
            <w:r w:rsidRPr="00CF1C25">
              <w:t>use of tools and equipment</w:t>
            </w:r>
          </w:p>
          <w:p w:rsidR="00000000" w:rsidP="00CF1C25">
            <w:pPr>
              <w:pStyle w:val="ListBullet"/>
              <w:rPr>
                <w:lang w:val="en-NZ"/>
              </w:rPr>
            </w:pPr>
            <w:r w:rsidRPr="00CF1C25">
              <w:t>workplace environmental requirements and safety.</w:t>
            </w:r>
          </w:p>
        </w:tc>
      </w:tr>
      <w:tr w:rsidTr="00CF1C2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Tools</w:t>
            </w:r>
            <w:r w:rsidRPr="00CF1C25">
              <w:t xml:space="preserve"> </w:t>
            </w:r>
            <w:r w:rsidRPr="00CF1C25">
              <w:rPr>
                <w:rStyle w:val="BoldandItalics"/>
              </w:rPr>
              <w:t>and</w:t>
            </w:r>
            <w:r w:rsidRPr="00CF1C25">
              <w:t xml:space="preserve"> </w:t>
            </w:r>
            <w:r w:rsidRPr="00CF1C25">
              <w:rPr>
                <w:rStyle w:val="BoldandItalics"/>
              </w:rPr>
              <w:t>equipment</w:t>
            </w:r>
            <w:r w:rsidRPr="00CF1C25">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clamps</w:t>
            </w:r>
          </w:p>
          <w:p w:rsidR="00000000" w:rsidRPr="00CF1C25" w:rsidP="00CF1C25">
            <w:pPr>
              <w:pStyle w:val="ListBullet"/>
            </w:pPr>
            <w:r w:rsidRPr="00CF1C25">
              <w:t>cotton wool or velvet</w:t>
            </w:r>
          </w:p>
          <w:p w:rsidR="00000000" w:rsidRPr="00CF1C25" w:rsidP="00CF1C25">
            <w:pPr>
              <w:pStyle w:val="ListBullet"/>
            </w:pPr>
            <w:r w:rsidRPr="00CF1C25">
              <w:t>gelatine</w:t>
            </w:r>
          </w:p>
          <w:p w:rsidR="00000000" w:rsidRPr="00CF1C25" w:rsidP="00CF1C25">
            <w:pPr>
              <w:pStyle w:val="ListBullet"/>
            </w:pPr>
            <w:r w:rsidRPr="00CF1C25">
              <w:t>hammers</w:t>
            </w:r>
          </w:p>
          <w:p w:rsidR="00000000" w:rsidRPr="00CF1C25" w:rsidP="00CF1C25">
            <w:pPr>
              <w:pStyle w:val="ListBullet"/>
            </w:pPr>
            <w:r w:rsidRPr="00CF1C25">
              <w:t xml:space="preserve">gilding tools, including: </w:t>
            </w:r>
          </w:p>
          <w:p w:rsidR="00000000" w:rsidRPr="00CF1C25" w:rsidP="00CF1C25">
            <w:pPr>
              <w:pStyle w:val="ListBullet2"/>
            </w:pPr>
            <w:r w:rsidRPr="00CF1C25">
              <w:t>pad</w:t>
            </w:r>
          </w:p>
          <w:p w:rsidR="00000000" w:rsidRPr="00CF1C25" w:rsidP="00CF1C25">
            <w:pPr>
              <w:pStyle w:val="ListBullet2"/>
            </w:pPr>
            <w:r w:rsidRPr="00CF1C25">
              <w:t>knife</w:t>
            </w:r>
          </w:p>
          <w:p w:rsidR="00000000" w:rsidRPr="00CF1C25" w:rsidP="00CF1C25">
            <w:pPr>
              <w:pStyle w:val="ListBullet2"/>
            </w:pPr>
            <w:r w:rsidRPr="00CF1C25">
              <w:t>mop</w:t>
            </w:r>
          </w:p>
          <w:p w:rsidR="00000000" w:rsidRPr="00CF1C25" w:rsidP="00CF1C25">
            <w:pPr>
              <w:pStyle w:val="ListBullet2"/>
            </w:pPr>
            <w:r w:rsidRPr="00CF1C25">
              <w:t>mug</w:t>
            </w:r>
          </w:p>
          <w:p w:rsidR="00000000" w:rsidRPr="00CF1C25" w:rsidP="00CF1C25">
            <w:pPr>
              <w:pStyle w:val="ListBullet2"/>
            </w:pPr>
            <w:r w:rsidRPr="00CF1C25">
              <w:t>tip</w:t>
            </w:r>
          </w:p>
          <w:p w:rsidR="00000000" w:rsidRPr="00CF1C25" w:rsidP="00CF1C25">
            <w:pPr>
              <w:pStyle w:val="ListBullet2"/>
            </w:pPr>
            <w:r w:rsidRPr="00CF1C25">
              <w:t>heating pot</w:t>
            </w:r>
          </w:p>
          <w:p w:rsidR="00000000" w:rsidRPr="00CF1C25" w:rsidP="00CF1C25">
            <w:pPr>
              <w:pStyle w:val="ListBullet2"/>
            </w:pPr>
            <w:r w:rsidRPr="00CF1C25">
              <w:t>stove</w:t>
            </w:r>
          </w:p>
          <w:p w:rsidR="00000000" w:rsidRPr="00CF1C25" w:rsidP="00CF1C25">
            <w:pPr>
              <w:pStyle w:val="ListBullet"/>
            </w:pPr>
            <w:r w:rsidRPr="00CF1C25">
              <w:t>lettering chisels</w:t>
            </w:r>
          </w:p>
          <w:p w:rsidR="00000000" w:rsidRPr="00CF1C25" w:rsidP="00CF1C25">
            <w:pPr>
              <w:pStyle w:val="ListBullet"/>
            </w:pPr>
            <w:r w:rsidRPr="00CF1C25">
              <w:t>mallets</w:t>
            </w:r>
          </w:p>
          <w:p w:rsidR="00000000" w:rsidRPr="00CF1C25" w:rsidP="00CF1C25">
            <w:pPr>
              <w:pStyle w:val="ListBullet"/>
            </w:pPr>
            <w:r w:rsidRPr="00CF1C25">
              <w:t>masonry drills</w:t>
            </w:r>
          </w:p>
          <w:p w:rsidR="00000000" w:rsidRPr="00CF1C25" w:rsidP="00CF1C25">
            <w:pPr>
              <w:pStyle w:val="ListBullet"/>
            </w:pPr>
            <w:r w:rsidRPr="00CF1C25">
              <w:t>measuring tapes and rules</w:t>
            </w:r>
          </w:p>
          <w:p w:rsidR="00000000" w:rsidRPr="00CF1C25" w:rsidP="00CF1C25">
            <w:pPr>
              <w:pStyle w:val="ListBullet"/>
            </w:pPr>
            <w:r w:rsidRPr="00CF1C25">
              <w:t>pneumatic lettering chisels</w:t>
            </w:r>
          </w:p>
          <w:p w:rsidR="00000000" w:rsidRPr="00CF1C25" w:rsidP="00CF1C25">
            <w:pPr>
              <w:pStyle w:val="ListBullet"/>
            </w:pPr>
            <w:r w:rsidRPr="00CF1C25">
              <w:t>power grinders</w:t>
            </w:r>
          </w:p>
          <w:p w:rsidR="00000000" w:rsidRPr="00CF1C25" w:rsidP="00CF1C25">
            <w:pPr>
              <w:pStyle w:val="ListBullet"/>
            </w:pPr>
            <w:r w:rsidRPr="00CF1C25">
              <w:t>power leads</w:t>
            </w:r>
          </w:p>
          <w:p w:rsidR="00000000" w:rsidRPr="00CF1C25" w:rsidP="00CF1C25">
            <w:pPr>
              <w:pStyle w:val="ListBullet"/>
            </w:pPr>
            <w:r w:rsidRPr="00CF1C25">
              <w:t>punches</w:t>
            </w:r>
          </w:p>
          <w:p w:rsidR="00000000" w:rsidRPr="00CF1C25" w:rsidP="00CF1C25">
            <w:pPr>
              <w:pStyle w:val="ListBullet"/>
            </w:pPr>
            <w:r w:rsidRPr="00CF1C25">
              <w:t>scribers</w:t>
            </w:r>
          </w:p>
          <w:p w:rsidR="00000000" w:rsidRPr="00CF1C25" w:rsidP="00CF1C25">
            <w:pPr>
              <w:pStyle w:val="ListBullet"/>
            </w:pPr>
            <w:r w:rsidRPr="00CF1C25">
              <w:t>sculptor’s chisels</w:t>
            </w:r>
          </w:p>
          <w:p w:rsidR="00000000" w:rsidRPr="00CF1C25" w:rsidP="00CF1C25">
            <w:pPr>
              <w:pStyle w:val="ListBullet"/>
            </w:pPr>
            <w:r w:rsidRPr="00CF1C25">
              <w:t>squares</w:t>
            </w:r>
          </w:p>
          <w:p w:rsidR="00000000" w:rsidP="00CF1C25">
            <w:pPr>
              <w:pStyle w:val="ListBullet"/>
              <w:rPr>
                <w:lang w:val="en-NZ"/>
              </w:rPr>
            </w:pPr>
            <w:r w:rsidRPr="00CF1C25">
              <w:t>straight edges.</w:t>
            </w:r>
          </w:p>
        </w:tc>
      </w:tr>
      <w:tr w:rsidTr="00CF1C2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Gilding materials</w:t>
            </w:r>
            <w:r w:rsidRPr="00CF1C25">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loose leaf metals, such as:</w:t>
            </w:r>
          </w:p>
          <w:p w:rsidR="00000000" w:rsidRPr="00CF1C25" w:rsidP="00CF1C25">
            <w:pPr>
              <w:pStyle w:val="ListBullet2"/>
            </w:pPr>
            <w:r w:rsidRPr="00CF1C25">
              <w:t>gold</w:t>
            </w:r>
          </w:p>
          <w:p w:rsidR="00000000" w:rsidRPr="00CF1C25" w:rsidP="00CF1C25">
            <w:pPr>
              <w:pStyle w:val="ListBullet2"/>
            </w:pPr>
            <w:r w:rsidRPr="00CF1C25">
              <w:t>silver</w:t>
            </w:r>
          </w:p>
          <w:p w:rsidR="00000000" w:rsidRPr="00CF1C25" w:rsidP="00CF1C25">
            <w:pPr>
              <w:pStyle w:val="ListBullet2"/>
            </w:pPr>
            <w:r w:rsidRPr="00CF1C25">
              <w:t>aluminium</w:t>
            </w:r>
          </w:p>
          <w:p w:rsidR="00000000" w:rsidRPr="00CF1C25" w:rsidP="00CF1C25">
            <w:pPr>
              <w:pStyle w:val="ListBullet2"/>
            </w:pPr>
            <w:r w:rsidRPr="00CF1C25">
              <w:t>Dutch metal</w:t>
            </w:r>
          </w:p>
          <w:p w:rsidR="00000000" w:rsidRPr="00CF1C25" w:rsidP="00CF1C25">
            <w:pPr>
              <w:pStyle w:val="ListBullet2"/>
            </w:pPr>
            <w:r w:rsidRPr="00CF1C25">
              <w:t>copper</w:t>
            </w:r>
          </w:p>
          <w:p w:rsidR="00000000" w:rsidRPr="00CF1C25" w:rsidP="00CF1C25">
            <w:pPr>
              <w:pStyle w:val="ListBullet2"/>
            </w:pPr>
            <w:r w:rsidRPr="00CF1C25">
              <w:t>variegated leaf</w:t>
            </w:r>
          </w:p>
          <w:p w:rsidR="00000000" w:rsidP="00CF1C25">
            <w:pPr>
              <w:pStyle w:val="ListBullet2"/>
              <w:rPr>
                <w:lang w:val="en-NZ"/>
              </w:rPr>
            </w:pPr>
            <w:r w:rsidRPr="00CF1C25">
              <w:t>water-based size.</w:t>
            </w:r>
          </w:p>
        </w:tc>
      </w:tr>
      <w:tr w:rsidTr="00CF1C2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Quality</w:t>
            </w:r>
            <w:r w:rsidRPr="00CF1C25">
              <w:t xml:space="preserve"> </w:t>
            </w:r>
            <w:r w:rsidRPr="00CF1C25">
              <w:rPr>
                <w:rStyle w:val="BoldandItalics"/>
              </w:rPr>
              <w:t>requirements</w:t>
            </w:r>
            <w:r w:rsidRPr="00CF1C25">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attention to specifications of work</w:t>
            </w:r>
          </w:p>
          <w:p w:rsidR="00000000" w:rsidRPr="00CF1C25" w:rsidP="00CF1C25">
            <w:pPr>
              <w:pStyle w:val="ListBullet"/>
            </w:pPr>
            <w:r w:rsidRPr="00CF1C25">
              <w:t>control of handling procedures</w:t>
            </w:r>
          </w:p>
          <w:p w:rsidR="00000000" w:rsidRPr="00CF1C25" w:rsidP="00CF1C25">
            <w:pPr>
              <w:pStyle w:val="ListBullet"/>
            </w:pPr>
            <w:r w:rsidRPr="00CF1C25">
              <w:t>finishing of stone surfaces</w:t>
            </w:r>
          </w:p>
          <w:p w:rsidR="00000000" w:rsidRPr="00CF1C25" w:rsidP="00CF1C25">
            <w:pPr>
              <w:pStyle w:val="ListBullet"/>
            </w:pPr>
            <w:r w:rsidRPr="00CF1C25">
              <w:t>quality of materials</w:t>
            </w:r>
          </w:p>
          <w:p w:rsidR="00000000" w:rsidRPr="00CF1C25" w:rsidP="00CF1C25">
            <w:pPr>
              <w:pStyle w:val="ListBullet"/>
            </w:pPr>
            <w:r w:rsidRPr="00CF1C25">
              <w:t>relevant regulations, including:</w:t>
            </w:r>
          </w:p>
          <w:p w:rsidR="00000000" w:rsidRPr="00CF1C25" w:rsidP="00CF1C25">
            <w:pPr>
              <w:pStyle w:val="ListBullet2"/>
            </w:pPr>
            <w:r w:rsidRPr="00CF1C25">
              <w:t>Australian standards</w:t>
            </w:r>
          </w:p>
          <w:p w:rsidR="00000000" w:rsidRPr="00CF1C25" w:rsidP="00CF1C25">
            <w:pPr>
              <w:pStyle w:val="ListBullet2"/>
            </w:pPr>
            <w:r w:rsidRPr="00CF1C25">
              <w:t>internal organisational quality policy and standards</w:t>
            </w:r>
          </w:p>
          <w:p w:rsidR="00000000" w:rsidRPr="00CF1C25" w:rsidP="00CF1C25">
            <w:pPr>
              <w:pStyle w:val="ListBullet2"/>
            </w:pPr>
            <w:r w:rsidRPr="00CF1C25">
              <w:t>manufacturer specifications where specified</w:t>
            </w:r>
          </w:p>
          <w:p w:rsidR="00000000" w:rsidP="00CF1C25">
            <w:pPr>
              <w:pStyle w:val="ListBullet2"/>
              <w:rPr>
                <w:lang w:val="en-NZ"/>
              </w:rPr>
            </w:pPr>
            <w:r w:rsidRPr="00CF1C25">
              <w:t>workplace operations and procedures.</w:t>
            </w:r>
          </w:p>
        </w:tc>
      </w:tr>
      <w:tr w:rsidTr="00CF1C2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Environmental</w:t>
            </w:r>
            <w:r w:rsidRPr="00CF1C25">
              <w:t xml:space="preserve"> </w:t>
            </w:r>
            <w:r w:rsidRPr="00CF1C25">
              <w:rPr>
                <w:rStyle w:val="BoldandItalics"/>
              </w:rPr>
              <w:t>requirements</w:t>
            </w:r>
            <w:r w:rsidRPr="00CF1C25">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clean-up management</w:t>
            </w:r>
          </w:p>
          <w:p w:rsidR="00000000" w:rsidRPr="00CF1C25" w:rsidP="00CF1C25">
            <w:pPr>
              <w:pStyle w:val="ListBullet"/>
            </w:pPr>
            <w:r w:rsidRPr="00CF1C25">
              <w:t>dust and noise control</w:t>
            </w:r>
          </w:p>
          <w:p w:rsidR="00000000" w:rsidRPr="00CF1C25" w:rsidP="00CF1C25">
            <w:pPr>
              <w:pStyle w:val="ListBullet"/>
            </w:pPr>
            <w:r w:rsidRPr="00CF1C25">
              <w:t>vibration management</w:t>
            </w:r>
          </w:p>
          <w:p w:rsidR="00000000" w:rsidP="00CF1C25">
            <w:pPr>
              <w:pStyle w:val="ListBullet"/>
              <w:rPr>
                <w:lang w:val="en-NZ"/>
              </w:rPr>
            </w:pPr>
            <w:r w:rsidRPr="00CF1C25">
              <w:t>waste management.</w:t>
            </w:r>
          </w:p>
        </w:tc>
      </w:tr>
      <w:tr w:rsidTr="00CF1C25">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F1C25">
            <w:pPr>
              <w:pStyle w:val="BodyText"/>
              <w:rPr>
                <w:lang w:val="en-NZ"/>
              </w:rPr>
            </w:pPr>
            <w:r w:rsidRPr="00CF1C25">
              <w:rPr>
                <w:rStyle w:val="BoldandItalics"/>
              </w:rPr>
              <w:t>Statutory</w:t>
            </w:r>
            <w:r w:rsidRPr="00CF1C25">
              <w:t xml:space="preserve"> </w:t>
            </w:r>
            <w:r w:rsidRPr="00CF1C25">
              <w:rPr>
                <w:rStyle w:val="BoldandItalics"/>
              </w:rPr>
              <w:t>and</w:t>
            </w:r>
            <w:r w:rsidRPr="00CF1C25">
              <w:t xml:space="preserve"> </w:t>
            </w:r>
            <w:r w:rsidRPr="00CF1C25">
              <w:rPr>
                <w:rStyle w:val="BoldandItalics"/>
              </w:rPr>
              <w:t>regulatory</w:t>
            </w:r>
            <w:r w:rsidRPr="00CF1C25">
              <w:t xml:space="preserve"> </w:t>
            </w:r>
            <w:r w:rsidRPr="00CF1C25">
              <w:rPr>
                <w:rStyle w:val="BoldandItalics"/>
              </w:rPr>
              <w:t>authority</w:t>
            </w:r>
            <w:r w:rsidRPr="00CF1C25">
              <w:t xml:space="preserve"> includes:</w:t>
            </w:r>
          </w:p>
        </w:tc>
        <w:tc>
          <w:tcPr>
            <w:tcW w:w="6500" w:type="dxa"/>
            <w:tcBorders>
              <w:top w:val="nil"/>
              <w:left w:val="nil"/>
              <w:bottom w:val="nil"/>
              <w:right w:val="nil"/>
            </w:tcBorders>
            <w:tcMar>
              <w:top w:w="0" w:type="dxa"/>
              <w:left w:w="62" w:type="dxa"/>
              <w:bottom w:w="0" w:type="dxa"/>
              <w:right w:w="62" w:type="dxa"/>
            </w:tcMar>
          </w:tcPr>
          <w:p w:rsidR="00000000" w:rsidRPr="00CF1C25" w:rsidP="00CF1C25">
            <w:pPr>
              <w:pStyle w:val="ListBullet"/>
            </w:pPr>
            <w:r w:rsidRPr="00CF1C25">
              <w:t>federal, state and local authorities administering applicable Acts, regulations and codes of practic</w:t>
            </w:r>
            <w:r w:rsidRPr="00CF1C25">
              <w:t>e.</w:t>
            </w:r>
          </w:p>
        </w:tc>
      </w:tr>
    </w:tbl>
    <w:p w:rsidR="00A94F4E" w:rsidP="00CF1C25">
      <w:pPr>
        <w:pStyle w:val="BodyText"/>
      </w:pPr>
    </w:p>
    <w:p w:rsidR="00A94F4E" w:rsidP="00CF1C25">
      <w:pPr>
        <w:pStyle w:val="BodyText"/>
      </w:pPr>
    </w:p>
    <w:p w:rsidR="00000000" w:rsidRPr="00CF1C25" w:rsidP="00CF1C25">
      <w:pPr>
        <w:pStyle w:val="Heading1"/>
      </w:pPr>
      <w:bookmarkStart w:id="12" w:name="O_618358"/>
      <w:bookmarkEnd w:id="12"/>
      <w:r w:rsidRPr="00CF1C25">
        <w:t>Unit Sector(s)</w:t>
      </w:r>
    </w:p>
    <w:p w:rsidR="00000000" w:rsidRPr="00CF1C25" w:rsidP="00CF1C25">
      <w:pPr>
        <w:pStyle w:val="BodyText"/>
      </w:pPr>
      <w:r w:rsidRPr="00CF1C25">
        <w:t>Construction</w:t>
      </w:r>
    </w:p>
    <w:p w:rsidR="00000000" w:rsidRPr="00CF1C25" w:rsidP="00CF1C25">
      <w:pPr>
        <w:pStyle w:val="AllowPageBreak"/>
      </w:pPr>
    </w:p>
    <w:p w:rsidR="00000000" w:rsidRPr="00CF1C25" w:rsidP="00CF1C25">
      <w:pPr>
        <w:pStyle w:val="Heading1"/>
      </w:pPr>
      <w:bookmarkStart w:id="13" w:name="O_618359"/>
      <w:bookmarkEnd w:id="13"/>
      <w:r w:rsidRPr="00CF1C25">
        <w:t>Custom Content Section</w:t>
      </w:r>
    </w:p>
    <w:p w:rsidR="00000000" w:rsidRPr="00CF1C25" w:rsidP="00CF1C25">
      <w:pPr>
        <w:pStyle w:val="BodyText"/>
      </w:pPr>
      <w:r w:rsidRPr="00CF1C25">
        <w:t>Not applicable.</w:t>
      </w:r>
    </w:p>
    <w:p w:rsidR="00000000" w:rsidRPr="00CF1C25" w:rsidP="00CF1C25"/>
    <w:sectPr w:rsidSect="00CF1C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25" w:rsidRPr="00A94F4E" w:rsidP="00A94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4E" w:rsidP="00CF1C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94F4E" w:rsidP="00CF1C2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94F4E" w:rsidP="00CF1C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25" w:rsidRPr="00A94F4E" w:rsidP="00A94F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4E" w:rsidRPr="002D2AF8" w:rsidP="00CF1C25">
    <w:pPr>
      <w:pStyle w:val="Header"/>
      <w:framePr w:wrap="around"/>
    </w:pPr>
    <w:r>
      <w:fldChar w:fldCharType="begin"/>
    </w:r>
    <w:r>
      <w:instrText xml:space="preserve"> TITLE   \* MERGEFORMAT </w:instrText>
    </w:r>
    <w:r>
      <w:fldChar w:fldCharType="separate"/>
    </w:r>
    <w:r>
      <w:t>CPCCST3015A Apply gilding to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A94F4E" w:rsidP="00CF1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CC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0C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94A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C25"/>
    <w:pPr>
      <w:spacing w:before="360" w:after="60"/>
      <w:outlineLvl w:val="0"/>
    </w:pPr>
    <w:rPr>
      <w:sz w:val="32"/>
    </w:rPr>
  </w:style>
  <w:style w:type="paragraph" w:styleId="Heading2">
    <w:name w:val="heading 2"/>
    <w:basedOn w:val="HeadingBase"/>
    <w:next w:val="BodyText"/>
    <w:link w:val="Heading2Char"/>
    <w:qFormat/>
    <w:rsid w:val="00CF1C25"/>
    <w:pPr>
      <w:keepLines/>
      <w:spacing w:before="240" w:after="120"/>
      <w:outlineLvl w:val="1"/>
    </w:pPr>
    <w:rPr>
      <w:sz w:val="28"/>
      <w:szCs w:val="40"/>
    </w:rPr>
  </w:style>
  <w:style w:type="paragraph" w:styleId="Heading3">
    <w:name w:val="heading 3"/>
    <w:basedOn w:val="HeadingBase"/>
    <w:next w:val="BodyText"/>
    <w:link w:val="Heading3Char"/>
    <w:qFormat/>
    <w:rsid w:val="00CF1C25"/>
    <w:pPr>
      <w:spacing w:before="180" w:after="120"/>
      <w:outlineLvl w:val="2"/>
    </w:pPr>
    <w:rPr>
      <w:spacing w:val="-10"/>
      <w:kern w:val="32"/>
    </w:rPr>
  </w:style>
  <w:style w:type="paragraph" w:styleId="Heading4">
    <w:name w:val="heading 4"/>
    <w:basedOn w:val="HeadingBase"/>
    <w:next w:val="BodyText"/>
    <w:link w:val="Heading4Char"/>
    <w:qFormat/>
    <w:rsid w:val="00CF1C25"/>
    <w:pPr>
      <w:spacing w:before="160" w:after="120"/>
      <w:outlineLvl w:val="3"/>
    </w:pPr>
    <w:rPr>
      <w:sz w:val="22"/>
    </w:rPr>
  </w:style>
  <w:style w:type="paragraph" w:styleId="Heading5">
    <w:name w:val="heading 5"/>
    <w:basedOn w:val="HeadingBase"/>
    <w:next w:val="Normal"/>
    <w:link w:val="Heading5Char"/>
    <w:qFormat/>
    <w:rsid w:val="00CF1C25"/>
    <w:pPr>
      <w:spacing w:before="80"/>
      <w:outlineLvl w:val="4"/>
    </w:pPr>
    <w:rPr>
      <w:color w:val="918585"/>
      <w:sz w:val="20"/>
    </w:rPr>
  </w:style>
  <w:style w:type="paragraph" w:styleId="Heading6">
    <w:name w:val="heading 6"/>
    <w:basedOn w:val="HeadingBase"/>
    <w:next w:val="Normal"/>
    <w:link w:val="Heading6Char"/>
    <w:qFormat/>
    <w:rsid w:val="00CF1C25"/>
    <w:pPr>
      <w:spacing w:before="60"/>
      <w:outlineLvl w:val="5"/>
    </w:pPr>
    <w:rPr>
      <w:color w:val="918585"/>
      <w:sz w:val="20"/>
    </w:rPr>
  </w:style>
  <w:style w:type="paragraph" w:styleId="Heading7">
    <w:name w:val="heading 7"/>
    <w:basedOn w:val="Normal"/>
    <w:next w:val="Normal"/>
    <w:link w:val="Heading7Char"/>
    <w:qFormat/>
    <w:rsid w:val="00CF1C25"/>
    <w:pPr>
      <w:ind w:left="720"/>
      <w:outlineLvl w:val="6"/>
    </w:pPr>
    <w:rPr>
      <w:i/>
    </w:rPr>
  </w:style>
  <w:style w:type="paragraph" w:styleId="Heading8">
    <w:name w:val="heading 8"/>
    <w:basedOn w:val="Normal"/>
    <w:next w:val="Normal"/>
    <w:link w:val="Heading8Char"/>
    <w:qFormat/>
    <w:rsid w:val="00CF1C25"/>
    <w:pPr>
      <w:ind w:left="720"/>
      <w:outlineLvl w:val="7"/>
    </w:pPr>
    <w:rPr>
      <w:i/>
    </w:rPr>
  </w:style>
  <w:style w:type="paragraph" w:styleId="Heading9">
    <w:name w:val="heading 9"/>
    <w:basedOn w:val="Normal"/>
    <w:next w:val="Normal"/>
    <w:link w:val="Heading9Char"/>
    <w:qFormat/>
    <w:rsid w:val="00CF1C25"/>
    <w:pPr>
      <w:ind w:left="720"/>
      <w:outlineLvl w:val="8"/>
    </w:pPr>
    <w:rPr>
      <w:i/>
    </w:rPr>
  </w:style>
  <w:style w:type="character" w:default="1" w:styleId="DefaultParagraphFont">
    <w:name w:val="Default Paragraph Font"/>
    <w:uiPriority w:val="1"/>
    <w:unhideWhenUsed/>
    <w:rsid w:val="00CF1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C25"/>
  </w:style>
  <w:style w:type="character" w:customStyle="1" w:styleId="Heading1Char">
    <w:name w:val="Heading 1 Char"/>
    <w:basedOn w:val="DefaultParagraphFont"/>
    <w:link w:val="Heading1"/>
    <w:rsid w:val="00CF1C25"/>
    <w:rPr>
      <w:rFonts w:ascii="Times New Roman" w:eastAsia="Times New Roman" w:hAnsi="Times New Roman" w:cs="Times New Roman"/>
      <w:b/>
      <w:sz w:val="32"/>
      <w:szCs w:val="20"/>
      <w:lang w:eastAsia="en-US"/>
    </w:rPr>
  </w:style>
  <w:style w:type="paragraph" w:styleId="BodyText">
    <w:name w:val="Body Text"/>
    <w:basedOn w:val="Normal"/>
    <w:link w:val="BodyTextChar"/>
    <w:rsid w:val="00CF1C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C25"/>
    <w:rPr>
      <w:rFonts w:ascii="Times New Roman" w:eastAsia="Times New Roman" w:hAnsi="Times New Roman" w:cs="Times New Roman"/>
      <w:sz w:val="24"/>
      <w:lang w:eastAsia="en-US"/>
    </w:rPr>
  </w:style>
  <w:style w:type="paragraph" w:styleId="ListBullet">
    <w:name w:val="List Bullet"/>
    <w:basedOn w:val="List"/>
    <w:rsid w:val="00CF1C25"/>
    <w:pPr>
      <w:numPr>
        <w:numId w:val="13"/>
      </w:numPr>
      <w:tabs>
        <w:tab w:val="clear" w:pos="340"/>
      </w:tabs>
      <w:spacing w:before="40" w:after="40"/>
    </w:pPr>
  </w:style>
  <w:style w:type="character" w:customStyle="1" w:styleId="SpecialBold">
    <w:name w:val="Special Bold"/>
    <w:basedOn w:val="DefaultParagraphFont"/>
    <w:rsid w:val="00CF1C25"/>
    <w:rPr>
      <w:b/>
      <w:spacing w:val="0"/>
    </w:rPr>
  </w:style>
  <w:style w:type="paragraph" w:styleId="ListBullet2">
    <w:name w:val="List Bullet 2"/>
    <w:basedOn w:val="List2"/>
    <w:rsid w:val="00CF1C25"/>
    <w:pPr>
      <w:numPr>
        <w:numId w:val="14"/>
      </w:numPr>
      <w:tabs>
        <w:tab w:val="clear" w:pos="680"/>
      </w:tabs>
    </w:pPr>
  </w:style>
  <w:style w:type="paragraph" w:customStyle="1" w:styleId="SuperHeading">
    <w:name w:val="SuperHeading"/>
    <w:basedOn w:val="Normal"/>
    <w:rsid w:val="00CF1C25"/>
    <w:pPr>
      <w:spacing w:before="240" w:after="120"/>
      <w:outlineLvl w:val="0"/>
    </w:pPr>
    <w:rPr>
      <w:rFonts w:ascii="Times New Roman" w:hAnsi="Times New Roman"/>
      <w:b/>
      <w:sz w:val="32"/>
    </w:rPr>
  </w:style>
  <w:style w:type="paragraph" w:customStyle="1" w:styleId="AllowPageBreak">
    <w:name w:val="AllowPageBreak"/>
    <w:rsid w:val="00CF1C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1C25"/>
    <w:rPr>
      <w:b/>
      <w:i/>
      <w:u w:val="none"/>
    </w:rPr>
  </w:style>
  <w:style w:type="character" w:customStyle="1" w:styleId="Heading2Char">
    <w:name w:val="Heading 2 Char"/>
    <w:basedOn w:val="DefaultParagraphFont"/>
    <w:link w:val="Heading2"/>
    <w:rsid w:val="00CF1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C25"/>
    <w:rPr>
      <w:rFonts w:ascii="Courier New" w:eastAsia="Times New Roman" w:hAnsi="Courier New" w:cs="Times New Roman"/>
      <w:i/>
      <w:szCs w:val="20"/>
      <w:lang w:eastAsia="en-US"/>
    </w:rPr>
  </w:style>
  <w:style w:type="paragraph" w:customStyle="1" w:styleId="HeadingBase">
    <w:name w:val="Heading Base"/>
    <w:rsid w:val="00CF1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C25"/>
    <w:pPr>
      <w:tabs>
        <w:tab w:val="right" w:leader="dot" w:pos="9072"/>
      </w:tabs>
      <w:ind w:left="567"/>
    </w:pPr>
    <w:rPr>
      <w:szCs w:val="22"/>
    </w:rPr>
  </w:style>
  <w:style w:type="paragraph" w:customStyle="1" w:styleId="TOCBase">
    <w:name w:val="TOC Base"/>
    <w:rsid w:val="00CF1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C25"/>
    <w:pPr>
      <w:tabs>
        <w:tab w:val="right" w:leader="dot" w:pos="9072"/>
      </w:tabs>
      <w:spacing w:before="40" w:after="40"/>
      <w:ind w:left="284"/>
    </w:pPr>
    <w:rPr>
      <w:rFonts w:ascii="Times New Roman" w:hAnsi="Times New Roman"/>
    </w:rPr>
  </w:style>
  <w:style w:type="paragraph" w:styleId="TOC1">
    <w:name w:val="toc 1"/>
    <w:basedOn w:val="TOCBase"/>
    <w:next w:val="Normal"/>
    <w:rsid w:val="00CF1C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C25"/>
    <w:rPr>
      <w:rFonts w:ascii="Times New Roman" w:eastAsia="Times New Roman" w:hAnsi="Times New Roman" w:cs="Times New Roman"/>
      <w:sz w:val="16"/>
      <w:lang w:eastAsia="en-US"/>
    </w:rPr>
  </w:style>
  <w:style w:type="paragraph" w:styleId="Title">
    <w:name w:val="Title"/>
    <w:basedOn w:val="HeadingBase"/>
    <w:link w:val="TitleChar"/>
    <w:qFormat/>
    <w:rsid w:val="00CF1C25"/>
    <w:pPr>
      <w:spacing w:before="5040"/>
      <w:jc w:val="center"/>
    </w:pPr>
    <w:rPr>
      <w:sz w:val="48"/>
      <w:szCs w:val="72"/>
      <w:lang w:val="en-US"/>
    </w:rPr>
  </w:style>
  <w:style w:type="character" w:customStyle="1" w:styleId="TitleChar">
    <w:name w:val="Title Char"/>
    <w:basedOn w:val="DefaultParagraphFont"/>
    <w:link w:val="Title"/>
    <w:rsid w:val="00CF1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C25"/>
    <w:pPr>
      <w:tabs>
        <w:tab w:val="left" w:pos="3600"/>
        <w:tab w:val="left" w:pos="3958"/>
      </w:tabs>
    </w:pPr>
  </w:style>
  <w:style w:type="paragraph" w:styleId="List">
    <w:name w:val="List"/>
    <w:basedOn w:val="BodyText"/>
    <w:next w:val="BodyText"/>
    <w:rsid w:val="00CF1C25"/>
    <w:pPr>
      <w:tabs>
        <w:tab w:val="left" w:pos="340"/>
      </w:tabs>
      <w:spacing w:before="60" w:after="60"/>
      <w:ind w:left="340" w:hanging="340"/>
    </w:pPr>
  </w:style>
  <w:style w:type="paragraph" w:customStyle="1" w:styleId="Note">
    <w:name w:val="Note"/>
    <w:basedOn w:val="BodyText"/>
    <w:rsid w:val="00CF1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C25"/>
    <w:pPr>
      <w:framePr w:wrap="auto" w:hAnchor="text" w:y="6049"/>
    </w:pPr>
    <w:rPr>
      <w:color w:val="000000"/>
      <w:sz w:val="40"/>
    </w:rPr>
  </w:style>
  <w:style w:type="paragraph" w:customStyle="1" w:styleId="TOCTitle">
    <w:name w:val="TOCTitle"/>
    <w:basedOn w:val="Heading1"/>
    <w:rsid w:val="00CF1C25"/>
    <w:pPr>
      <w:spacing w:after="240"/>
      <w:jc w:val="center"/>
      <w:outlineLvl w:val="9"/>
    </w:pPr>
    <w:rPr>
      <w:caps/>
    </w:rPr>
  </w:style>
  <w:style w:type="paragraph" w:customStyle="1" w:styleId="Version">
    <w:name w:val="Version"/>
    <w:rsid w:val="00CF1C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C25"/>
    <w:pPr>
      <w:keepNext w:val="0"/>
      <w:tabs>
        <w:tab w:val="right" w:pos="4176"/>
      </w:tabs>
      <w:ind w:left="198" w:hanging="198"/>
    </w:pPr>
    <w:rPr>
      <w:rFonts w:ascii="Garamond" w:hAnsi="Garamond"/>
    </w:rPr>
  </w:style>
  <w:style w:type="paragraph" w:styleId="IndexHeading">
    <w:name w:val="index heading"/>
    <w:basedOn w:val="Normal"/>
    <w:next w:val="Index1"/>
    <w:semiHidden/>
    <w:rsid w:val="00CF1C25"/>
    <w:pPr>
      <w:spacing w:before="120" w:after="120"/>
    </w:pPr>
    <w:rPr>
      <w:rFonts w:ascii="Arial" w:hAnsi="Arial"/>
      <w:b/>
      <w:color w:val="918585"/>
      <w:sz w:val="24"/>
    </w:rPr>
  </w:style>
  <w:style w:type="paragraph" w:styleId="Header">
    <w:name w:val="header"/>
    <w:basedOn w:val="Normal"/>
    <w:link w:val="HeaderChar"/>
    <w:rsid w:val="00CF1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C25"/>
    <w:rPr>
      <w:rFonts w:ascii="Times New Roman" w:eastAsia="Times New Roman" w:hAnsi="Times New Roman" w:cs="Times New Roman"/>
      <w:sz w:val="16"/>
      <w:szCs w:val="20"/>
      <w:lang w:val="en-GB" w:eastAsia="en-US"/>
    </w:rPr>
  </w:style>
  <w:style w:type="paragraph" w:customStyle="1" w:styleId="Chapter">
    <w:name w:val="Chapter"/>
    <w:basedOn w:val="Normal"/>
    <w:rsid w:val="00CF1C25"/>
    <w:pPr>
      <w:spacing w:before="240"/>
    </w:pPr>
    <w:rPr>
      <w:rFonts w:ascii="Times New Roman" w:hAnsi="Times New Roman"/>
      <w:smallCaps/>
      <w:spacing w:val="80"/>
      <w:sz w:val="28"/>
    </w:rPr>
  </w:style>
  <w:style w:type="paragraph" w:customStyle="1" w:styleId="InChapter">
    <w:name w:val="InChapter"/>
    <w:basedOn w:val="Heading3"/>
    <w:rsid w:val="00CF1C25"/>
    <w:pPr>
      <w:spacing w:after="240"/>
      <w:outlineLvl w:val="9"/>
    </w:pPr>
    <w:rPr>
      <w:noProof/>
    </w:rPr>
  </w:style>
  <w:style w:type="paragraph" w:styleId="Index2">
    <w:name w:val="index 2"/>
    <w:basedOn w:val="Normal"/>
    <w:next w:val="Normal"/>
    <w:semiHidden/>
    <w:rsid w:val="00CF1C25"/>
    <w:pPr>
      <w:tabs>
        <w:tab w:val="right" w:pos="4176"/>
      </w:tabs>
      <w:ind w:left="568" w:hanging="284"/>
    </w:pPr>
    <w:rPr>
      <w:rFonts w:ascii="Garamond" w:hAnsi="Garamond"/>
    </w:rPr>
  </w:style>
  <w:style w:type="paragraph" w:customStyle="1" w:styleId="Byline">
    <w:name w:val="Byline"/>
    <w:rsid w:val="00CF1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C25"/>
    <w:pPr>
      <w:tabs>
        <w:tab w:val="clear" w:pos="3600"/>
        <w:tab w:val="clear" w:pos="3958"/>
      </w:tabs>
      <w:jc w:val="right"/>
    </w:pPr>
  </w:style>
  <w:style w:type="character" w:styleId="Emphasis">
    <w:name w:val="Emphasis"/>
    <w:basedOn w:val="DefaultParagraphFont"/>
    <w:qFormat/>
    <w:rsid w:val="00CF1C25"/>
    <w:rPr>
      <w:i/>
    </w:rPr>
  </w:style>
  <w:style w:type="paragraph" w:styleId="Caption">
    <w:name w:val="caption"/>
    <w:basedOn w:val="BodyText"/>
    <w:next w:val="Normal"/>
    <w:qFormat/>
    <w:rsid w:val="00CF1C25"/>
    <w:pPr>
      <w:framePr w:w="2268" w:hSpace="181" w:vSpace="181" w:wrap="around" w:vAnchor="text" w:hAnchor="page" w:x="1135" w:y="285" w:anchorLock="1"/>
    </w:pPr>
    <w:rPr>
      <w:i/>
    </w:rPr>
  </w:style>
  <w:style w:type="paragraph" w:customStyle="1" w:styleId="MiniTOCTitle">
    <w:name w:val="MiniTOCTitle"/>
    <w:basedOn w:val="Heading4"/>
    <w:rsid w:val="00CF1C25"/>
    <w:pPr>
      <w:spacing w:before="240"/>
      <w:outlineLvl w:val="9"/>
    </w:pPr>
    <w:rPr>
      <w:noProof/>
      <w:sz w:val="24"/>
    </w:rPr>
  </w:style>
  <w:style w:type="paragraph" w:customStyle="1" w:styleId="MiniTOCItem">
    <w:name w:val="MiniTOCItem"/>
    <w:basedOn w:val="ListBullet"/>
    <w:rsid w:val="00CF1C25"/>
    <w:pPr>
      <w:numPr>
        <w:numId w:val="0"/>
      </w:numPr>
      <w:tabs>
        <w:tab w:val="right" w:leader="dot" w:pos="6521"/>
      </w:tabs>
      <w:spacing w:before="0" w:after="0"/>
    </w:pPr>
  </w:style>
  <w:style w:type="paragraph" w:customStyle="1" w:styleId="TOFTitle">
    <w:name w:val="TOFTitle"/>
    <w:basedOn w:val="TOCTitle"/>
    <w:rsid w:val="00CF1C25"/>
  </w:style>
  <w:style w:type="paragraph" w:styleId="TableofFigures">
    <w:name w:val="table of figures"/>
    <w:basedOn w:val="Normal"/>
    <w:next w:val="Normal"/>
    <w:semiHidden/>
    <w:rsid w:val="00CF1C25"/>
    <w:pPr>
      <w:tabs>
        <w:tab w:val="right" w:leader="dot" w:pos="9072"/>
      </w:tabs>
      <w:ind w:left="970" w:hanging="403"/>
    </w:pPr>
    <w:rPr>
      <w:rFonts w:ascii="Times New Roman" w:hAnsi="Times New Roman"/>
      <w:b/>
    </w:rPr>
  </w:style>
  <w:style w:type="paragraph" w:styleId="ListNumber">
    <w:name w:val="List Number"/>
    <w:basedOn w:val="List"/>
    <w:rsid w:val="00CF1C25"/>
    <w:pPr>
      <w:numPr>
        <w:numId w:val="11"/>
      </w:numPr>
    </w:pPr>
  </w:style>
  <w:style w:type="character" w:customStyle="1" w:styleId="WingdingSymbols">
    <w:name w:val="Wingding Symbols"/>
    <w:rsid w:val="00CF1C25"/>
    <w:rPr>
      <w:rFonts w:ascii="Wingdings" w:hAnsi="Wingdings"/>
    </w:rPr>
  </w:style>
  <w:style w:type="paragraph" w:customStyle="1" w:styleId="TableHeading">
    <w:name w:val="Table Heading"/>
    <w:basedOn w:val="HeadingBase"/>
    <w:rsid w:val="00CF1C25"/>
    <w:pPr>
      <w:keepLines/>
      <w:pBdr>
        <w:bottom w:val="single" w:sz="6" w:space="1" w:color="918585"/>
      </w:pBdr>
      <w:spacing w:before="240"/>
    </w:pPr>
  </w:style>
  <w:style w:type="character" w:customStyle="1" w:styleId="HotSpot">
    <w:name w:val="HotSpot"/>
    <w:rsid w:val="00CF1C25"/>
    <w:rPr>
      <w:color w:val="0033CC"/>
      <w:u w:val="none"/>
    </w:rPr>
  </w:style>
  <w:style w:type="paragraph" w:customStyle="1" w:styleId="BodyTextRight">
    <w:name w:val="Body Text Right"/>
    <w:basedOn w:val="BodyText"/>
    <w:rsid w:val="00CF1C25"/>
    <w:pPr>
      <w:spacing w:before="0" w:after="0"/>
      <w:jc w:val="right"/>
    </w:pPr>
  </w:style>
  <w:style w:type="paragraph" w:styleId="Index3">
    <w:name w:val="index 3"/>
    <w:basedOn w:val="ListNumber2"/>
    <w:next w:val="Normal"/>
    <w:semiHidden/>
    <w:rsid w:val="00CF1C25"/>
    <w:pPr>
      <w:numPr>
        <w:numId w:val="0"/>
      </w:numPr>
      <w:tabs>
        <w:tab w:val="right" w:leader="dot" w:pos="4176"/>
      </w:tabs>
    </w:pPr>
  </w:style>
  <w:style w:type="paragraph" w:styleId="ListNumber2">
    <w:name w:val="List Number 2"/>
    <w:basedOn w:val="List2"/>
    <w:rsid w:val="00CF1C25"/>
    <w:pPr>
      <w:numPr>
        <w:numId w:val="10"/>
      </w:numPr>
      <w:tabs>
        <w:tab w:val="clear" w:pos="1060"/>
      </w:tabs>
    </w:pPr>
  </w:style>
  <w:style w:type="paragraph" w:customStyle="1" w:styleId="MarginNote">
    <w:name w:val="Margin Note"/>
    <w:basedOn w:val="BodyText"/>
    <w:rsid w:val="00CF1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C25"/>
    <w:rPr>
      <w:sz w:val="32"/>
    </w:rPr>
  </w:style>
  <w:style w:type="paragraph" w:customStyle="1" w:styleId="HeadingProcedure">
    <w:name w:val="Heading Procedure"/>
    <w:basedOn w:val="HeadingBase"/>
    <w:next w:val="Normal"/>
    <w:rsid w:val="00CF1C25"/>
    <w:pPr>
      <w:tabs>
        <w:tab w:val="left" w:pos="0"/>
      </w:tabs>
      <w:spacing w:before="120" w:after="60"/>
    </w:pPr>
    <w:rPr>
      <w:i/>
      <w:color w:val="918585"/>
      <w:sz w:val="22"/>
    </w:rPr>
  </w:style>
  <w:style w:type="paragraph" w:customStyle="1" w:styleId="TableBodyText">
    <w:name w:val="Table Body Text"/>
    <w:basedOn w:val="BodyText"/>
    <w:rsid w:val="00CF1C25"/>
    <w:pPr>
      <w:spacing w:before="60" w:after="60"/>
    </w:pPr>
  </w:style>
  <w:style w:type="paragraph" w:styleId="ListContinue">
    <w:name w:val="List Continue"/>
    <w:basedOn w:val="List"/>
    <w:rsid w:val="00CF1C25"/>
    <w:pPr>
      <w:ind w:firstLine="0"/>
    </w:pPr>
  </w:style>
  <w:style w:type="paragraph" w:customStyle="1" w:styleId="ListNote">
    <w:name w:val="List Note"/>
    <w:basedOn w:val="List"/>
    <w:rsid w:val="00CF1C25"/>
    <w:pPr>
      <w:pBdr>
        <w:top w:val="single" w:sz="6" w:space="2" w:color="918585"/>
        <w:bottom w:val="single" w:sz="6" w:space="2" w:color="918585"/>
      </w:pBdr>
      <w:tabs>
        <w:tab w:val="left" w:pos="1021"/>
      </w:tabs>
      <w:ind w:firstLine="0"/>
    </w:pPr>
  </w:style>
  <w:style w:type="paragraph" w:customStyle="1" w:styleId="Warning">
    <w:name w:val="Warning"/>
    <w:basedOn w:val="BodyText"/>
    <w:rsid w:val="00CF1C25"/>
    <w:pPr>
      <w:shd w:val="clear" w:color="auto" w:fill="D9D9D9"/>
      <w:tabs>
        <w:tab w:val="left" w:pos="992"/>
      </w:tabs>
      <w:ind w:left="119" w:right="119"/>
    </w:pPr>
    <w:rPr>
      <w:sz w:val="20"/>
    </w:rPr>
  </w:style>
  <w:style w:type="paragraph" w:customStyle="1" w:styleId="MarginIcons">
    <w:name w:val="Margin Icons"/>
    <w:basedOn w:val="BodyText"/>
    <w:rsid w:val="00CF1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C25"/>
    <w:rPr>
      <w:rFonts w:ascii="Courier New" w:hAnsi="Courier New"/>
    </w:rPr>
  </w:style>
  <w:style w:type="paragraph" w:customStyle="1" w:styleId="NoteBullet">
    <w:name w:val="Note Bullet"/>
    <w:basedOn w:val="Note"/>
    <w:rsid w:val="00CF1C25"/>
    <w:pPr>
      <w:tabs>
        <w:tab w:val="clear" w:pos="680"/>
      </w:tabs>
      <w:spacing w:before="60" w:after="60"/>
    </w:pPr>
  </w:style>
  <w:style w:type="paragraph" w:customStyle="1" w:styleId="SubHeading2">
    <w:name w:val="SubHeading2"/>
    <w:basedOn w:val="HeadingBase"/>
    <w:rsid w:val="00CF1C25"/>
    <w:pPr>
      <w:spacing w:before="240" w:after="60"/>
    </w:pPr>
    <w:rPr>
      <w:sz w:val="20"/>
    </w:rPr>
  </w:style>
  <w:style w:type="paragraph" w:customStyle="1" w:styleId="SubHeading1">
    <w:name w:val="SubHeading1"/>
    <w:basedOn w:val="HeadingBase"/>
    <w:rsid w:val="00CF1C25"/>
    <w:pPr>
      <w:spacing w:before="240" w:after="60"/>
    </w:pPr>
    <w:rPr>
      <w:color w:val="918585"/>
      <w:sz w:val="22"/>
    </w:rPr>
  </w:style>
  <w:style w:type="paragraph" w:customStyle="1" w:styleId="SideHeading">
    <w:name w:val="Side Heading"/>
    <w:basedOn w:val="HeadingBase"/>
    <w:rsid w:val="00CF1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C25"/>
    <w:pPr>
      <w:numPr>
        <w:numId w:val="12"/>
      </w:numPr>
    </w:pPr>
  </w:style>
  <w:style w:type="paragraph" w:styleId="PlainText">
    <w:name w:val="Plain Text"/>
    <w:basedOn w:val="Normal"/>
    <w:link w:val="PlainTextChar"/>
    <w:rsid w:val="00CF1C25"/>
    <w:rPr>
      <w:sz w:val="20"/>
    </w:rPr>
  </w:style>
  <w:style w:type="character" w:customStyle="1" w:styleId="PlainTextChar">
    <w:name w:val="Plain Text Char"/>
    <w:basedOn w:val="DefaultParagraphFont"/>
    <w:link w:val="PlainText"/>
    <w:rsid w:val="00CF1C25"/>
    <w:rPr>
      <w:rFonts w:ascii="Courier New" w:eastAsia="Times New Roman" w:hAnsi="Courier New" w:cs="Times New Roman"/>
      <w:sz w:val="20"/>
      <w:szCs w:val="20"/>
      <w:lang w:eastAsia="en-US"/>
    </w:rPr>
  </w:style>
  <w:style w:type="character" w:customStyle="1" w:styleId="MenuOption">
    <w:name w:val="Menu Option"/>
    <w:basedOn w:val="DefaultParagraphFont"/>
    <w:rsid w:val="00CF1C25"/>
    <w:rPr>
      <w:b/>
      <w:smallCaps/>
    </w:rPr>
  </w:style>
  <w:style w:type="paragraph" w:customStyle="1" w:styleId="TableListNumber">
    <w:name w:val="Table List Number"/>
    <w:basedOn w:val="ListNumber"/>
    <w:rsid w:val="00CF1C25"/>
    <w:pPr>
      <w:numPr>
        <w:numId w:val="0"/>
      </w:numPr>
    </w:pPr>
  </w:style>
  <w:style w:type="paragraph" w:styleId="TOC4">
    <w:name w:val="toc 4"/>
    <w:basedOn w:val="TOCBase"/>
    <w:next w:val="Normal"/>
    <w:semiHidden/>
    <w:rsid w:val="00CF1C25"/>
    <w:pPr>
      <w:tabs>
        <w:tab w:val="right" w:leader="dot" w:pos="9071"/>
      </w:tabs>
      <w:ind w:left="1701"/>
    </w:pPr>
  </w:style>
  <w:style w:type="paragraph" w:customStyle="1" w:styleId="ListAlpha">
    <w:name w:val="List Alpha"/>
    <w:basedOn w:val="List"/>
    <w:rsid w:val="00CF1C25"/>
    <w:pPr>
      <w:numPr>
        <w:numId w:val="9"/>
      </w:numPr>
    </w:pPr>
  </w:style>
  <w:style w:type="paragraph" w:customStyle="1" w:styleId="ListAlpha2">
    <w:name w:val="List Alpha 2"/>
    <w:basedOn w:val="List2"/>
    <w:rsid w:val="00CF1C25"/>
    <w:pPr>
      <w:numPr>
        <w:numId w:val="8"/>
      </w:numPr>
    </w:pPr>
  </w:style>
  <w:style w:type="paragraph" w:styleId="List2">
    <w:name w:val="List 2"/>
    <w:basedOn w:val="BodyText"/>
    <w:rsid w:val="00CF1C25"/>
    <w:pPr>
      <w:tabs>
        <w:tab w:val="left" w:pos="680"/>
      </w:tabs>
      <w:spacing w:before="60" w:after="60"/>
      <w:ind w:left="680" w:hanging="340"/>
    </w:pPr>
  </w:style>
  <w:style w:type="paragraph" w:styleId="List3">
    <w:name w:val="List 3"/>
    <w:basedOn w:val="BodyText"/>
    <w:rsid w:val="00CF1C25"/>
    <w:pPr>
      <w:tabs>
        <w:tab w:val="left" w:pos="1021"/>
      </w:tabs>
      <w:spacing w:before="60" w:after="60"/>
      <w:ind w:left="1020" w:hanging="340"/>
    </w:pPr>
  </w:style>
  <w:style w:type="paragraph" w:styleId="List4">
    <w:name w:val="List 4"/>
    <w:basedOn w:val="BodyText"/>
    <w:rsid w:val="00CF1C25"/>
    <w:pPr>
      <w:tabs>
        <w:tab w:val="left" w:pos="1361"/>
      </w:tabs>
      <w:spacing w:before="60" w:after="60"/>
      <w:ind w:left="1361" w:hanging="340"/>
    </w:pPr>
  </w:style>
  <w:style w:type="paragraph" w:styleId="List5">
    <w:name w:val="List 5"/>
    <w:basedOn w:val="BodyText"/>
    <w:rsid w:val="00CF1C25"/>
    <w:pPr>
      <w:tabs>
        <w:tab w:val="left" w:pos="1701"/>
      </w:tabs>
      <w:spacing w:before="60" w:after="60"/>
      <w:ind w:left="1701" w:hanging="340"/>
    </w:pPr>
  </w:style>
  <w:style w:type="paragraph" w:styleId="ListBullet3">
    <w:name w:val="List Bullet 3"/>
    <w:basedOn w:val="List3"/>
    <w:rsid w:val="00CF1C25"/>
    <w:pPr>
      <w:numPr>
        <w:numId w:val="15"/>
      </w:numPr>
      <w:tabs>
        <w:tab w:val="clear" w:pos="1021"/>
      </w:tabs>
      <w:ind w:left="1037" w:hanging="357"/>
    </w:pPr>
  </w:style>
  <w:style w:type="paragraph" w:styleId="ListBullet4">
    <w:name w:val="List Bullet 4"/>
    <w:basedOn w:val="List4"/>
    <w:rsid w:val="00CF1C25"/>
    <w:pPr>
      <w:numPr>
        <w:numId w:val="3"/>
      </w:numPr>
    </w:pPr>
  </w:style>
  <w:style w:type="paragraph" w:styleId="ListBullet5">
    <w:name w:val="List Bullet 5"/>
    <w:basedOn w:val="List5"/>
    <w:rsid w:val="00CF1C25"/>
    <w:pPr>
      <w:numPr>
        <w:numId w:val="4"/>
      </w:numPr>
    </w:pPr>
  </w:style>
  <w:style w:type="paragraph" w:styleId="ListContinue2">
    <w:name w:val="List Continue 2"/>
    <w:basedOn w:val="List2"/>
    <w:rsid w:val="00CF1C25"/>
    <w:pPr>
      <w:ind w:firstLine="0"/>
    </w:pPr>
  </w:style>
  <w:style w:type="paragraph" w:styleId="ListContinue3">
    <w:name w:val="List Continue 3"/>
    <w:basedOn w:val="List3"/>
    <w:rsid w:val="00CF1C25"/>
    <w:pPr>
      <w:ind w:left="1021" w:firstLine="0"/>
    </w:pPr>
  </w:style>
  <w:style w:type="paragraph" w:styleId="ListContinue4">
    <w:name w:val="List Continue 4"/>
    <w:basedOn w:val="List4"/>
    <w:rsid w:val="00CF1C25"/>
    <w:pPr>
      <w:ind w:firstLine="0"/>
    </w:pPr>
  </w:style>
  <w:style w:type="paragraph" w:styleId="ListContinue5">
    <w:name w:val="List Continue 5"/>
    <w:basedOn w:val="List5"/>
    <w:rsid w:val="00CF1C25"/>
    <w:pPr>
      <w:ind w:firstLine="0"/>
    </w:pPr>
  </w:style>
  <w:style w:type="paragraph" w:styleId="ListNumber3">
    <w:name w:val="List Number 3"/>
    <w:basedOn w:val="List3"/>
    <w:rsid w:val="00CF1C25"/>
    <w:pPr>
      <w:numPr>
        <w:numId w:val="5"/>
      </w:numPr>
    </w:pPr>
  </w:style>
  <w:style w:type="paragraph" w:styleId="ListNumber4">
    <w:name w:val="List Number 4"/>
    <w:basedOn w:val="List4"/>
    <w:rsid w:val="00CF1C25"/>
    <w:pPr>
      <w:numPr>
        <w:numId w:val="6"/>
      </w:numPr>
    </w:pPr>
  </w:style>
  <w:style w:type="paragraph" w:styleId="ListNumber5">
    <w:name w:val="List Number 5"/>
    <w:basedOn w:val="List5"/>
    <w:rsid w:val="00CF1C25"/>
    <w:pPr>
      <w:numPr>
        <w:numId w:val="7"/>
      </w:numPr>
    </w:pPr>
  </w:style>
  <w:style w:type="paragraph" w:styleId="BlockText">
    <w:name w:val="Block Text"/>
    <w:basedOn w:val="Normal"/>
    <w:rsid w:val="00CF1C25"/>
    <w:pPr>
      <w:spacing w:after="120"/>
      <w:ind w:left="1440" w:right="1440"/>
    </w:pPr>
  </w:style>
  <w:style w:type="character" w:customStyle="1" w:styleId="Subscript">
    <w:name w:val="Subscript"/>
    <w:basedOn w:val="DefaultParagraphFont"/>
    <w:rsid w:val="00CF1C25"/>
    <w:rPr>
      <w:sz w:val="16"/>
      <w:vertAlign w:val="subscript"/>
    </w:rPr>
  </w:style>
  <w:style w:type="character" w:customStyle="1" w:styleId="Superscript">
    <w:name w:val="Superscript"/>
    <w:basedOn w:val="DefaultParagraphFont"/>
    <w:rsid w:val="00CF1C25"/>
    <w:rPr>
      <w:sz w:val="16"/>
      <w:vertAlign w:val="superscript"/>
    </w:rPr>
  </w:style>
  <w:style w:type="character" w:customStyle="1" w:styleId="Symbols">
    <w:name w:val="Symbols"/>
    <w:basedOn w:val="DefaultParagraphFont"/>
    <w:rsid w:val="00CF1C25"/>
    <w:rPr>
      <w:rFonts w:ascii="Symbol" w:hAnsi="Symbol"/>
    </w:rPr>
  </w:style>
  <w:style w:type="character" w:customStyle="1" w:styleId="MenuOptions">
    <w:name w:val="Menu Options"/>
    <w:basedOn w:val="DefaultParagraphFont"/>
    <w:rsid w:val="00CF1C25"/>
    <w:rPr>
      <w:rFonts w:ascii="Arial Narrow" w:hAnsi="Arial Narrow"/>
      <w:smallCaps/>
    </w:rPr>
  </w:style>
  <w:style w:type="character" w:customStyle="1" w:styleId="Buttons">
    <w:name w:val="Buttons"/>
    <w:basedOn w:val="DefaultParagraphFont"/>
    <w:rsid w:val="00CF1C25"/>
    <w:rPr>
      <w:b/>
    </w:rPr>
  </w:style>
  <w:style w:type="character" w:customStyle="1" w:styleId="Underlined">
    <w:name w:val="Underlined"/>
    <w:basedOn w:val="DefaultParagraphFont"/>
    <w:rsid w:val="00CF1C25"/>
    <w:rPr>
      <w:u w:val="single"/>
    </w:rPr>
  </w:style>
  <w:style w:type="paragraph" w:customStyle="1" w:styleId="TableBodyTextRight">
    <w:name w:val="Table Body Text Right"/>
    <w:basedOn w:val="TableBodyText"/>
    <w:rsid w:val="00CF1C25"/>
    <w:pPr>
      <w:widowControl w:val="0"/>
      <w:autoSpaceDE w:val="0"/>
      <w:autoSpaceDN w:val="0"/>
      <w:adjustRightInd w:val="0"/>
      <w:jc w:val="right"/>
    </w:pPr>
    <w:rPr>
      <w:rFonts w:cs="Arial"/>
      <w:szCs w:val="18"/>
    </w:rPr>
  </w:style>
  <w:style w:type="paragraph" w:customStyle="1" w:styleId="CopyrightText">
    <w:name w:val="Copyright Text"/>
    <w:basedOn w:val="BodyText"/>
    <w:rsid w:val="00CF1C25"/>
    <w:rPr>
      <w:sz w:val="18"/>
    </w:rPr>
  </w:style>
  <w:style w:type="paragraph" w:customStyle="1" w:styleId="BodySmallRight">
    <w:name w:val="Body Small Right"/>
    <w:basedOn w:val="BodyTextRight"/>
    <w:rsid w:val="00CF1C25"/>
    <w:rPr>
      <w:sz w:val="18"/>
      <w:szCs w:val="18"/>
    </w:rPr>
  </w:style>
  <w:style w:type="paragraph" w:customStyle="1" w:styleId="MarginEdition">
    <w:name w:val="Margin Edition"/>
    <w:basedOn w:val="MarginNote"/>
    <w:rsid w:val="00CF1C25"/>
    <w:pPr>
      <w:spacing w:before="0" w:after="0"/>
    </w:pPr>
    <w:rPr>
      <w:rFonts w:ascii="Times New Roman" w:hAnsi="Times New Roman"/>
      <w:color w:val="999999"/>
    </w:rPr>
  </w:style>
  <w:style w:type="paragraph" w:customStyle="1" w:styleId="Spacer">
    <w:name w:val="Spacer"/>
    <w:basedOn w:val="Normal"/>
    <w:rsid w:val="00CF1C25"/>
    <w:rPr>
      <w:sz w:val="2"/>
      <w:szCs w:val="2"/>
    </w:rPr>
  </w:style>
  <w:style w:type="character" w:customStyle="1" w:styleId="Small">
    <w:name w:val="Small"/>
    <w:basedOn w:val="DefaultParagraphFont"/>
    <w:rsid w:val="00CF1C25"/>
    <w:rPr>
      <w:sz w:val="16"/>
    </w:rPr>
  </w:style>
  <w:style w:type="paragraph" w:customStyle="1" w:styleId="WideTable">
    <w:name w:val="Wide Table"/>
    <w:basedOn w:val="Normal"/>
    <w:rsid w:val="00CF1C25"/>
    <w:pPr>
      <w:ind w:left="-1418"/>
    </w:pPr>
    <w:rPr>
      <w:sz w:val="2"/>
      <w:szCs w:val="2"/>
    </w:rPr>
  </w:style>
  <w:style w:type="character" w:styleId="PageNumber">
    <w:name w:val="page number"/>
    <w:basedOn w:val="DefaultParagraphFont"/>
    <w:rsid w:val="00CF1C25"/>
  </w:style>
  <w:style w:type="paragraph" w:styleId="Quote">
    <w:name w:val="Quote"/>
    <w:basedOn w:val="Heading1"/>
    <w:link w:val="QuoteChar"/>
    <w:qFormat/>
    <w:rsid w:val="00CF1C25"/>
    <w:rPr>
      <w:b w:val="0"/>
      <w:sz w:val="72"/>
      <w:szCs w:val="72"/>
      <w:lang w:val="en-NZ"/>
    </w:rPr>
  </w:style>
  <w:style w:type="character" w:customStyle="1" w:styleId="QuoteChar">
    <w:name w:val="Quote Char"/>
    <w:basedOn w:val="DefaultParagraphFont"/>
    <w:link w:val="Quote"/>
    <w:rsid w:val="00CF1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C25"/>
    <w:pPr>
      <w:pageBreakBefore/>
    </w:pPr>
  </w:style>
  <w:style w:type="paragraph" w:customStyle="1" w:styleId="Border">
    <w:name w:val="Border"/>
    <w:basedOn w:val="Normal"/>
    <w:qFormat/>
    <w:rsid w:val="00CF1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C25"/>
    <w:rPr>
      <w:b/>
      <w:bCs/>
      <w:i/>
      <w:iCs/>
      <w:color w:val="auto"/>
    </w:rPr>
  </w:style>
  <w:style w:type="paragraph" w:styleId="IntenseQuote">
    <w:name w:val="Intense Quote"/>
    <w:basedOn w:val="Normal"/>
    <w:next w:val="Normal"/>
    <w:link w:val="IntenseQuoteChar"/>
    <w:uiPriority w:val="30"/>
    <w:qFormat/>
    <w:rsid w:val="00CF1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C25"/>
    <w:rPr>
      <w:smallCaps/>
      <w:color w:val="auto"/>
      <w:u w:val="single"/>
    </w:rPr>
  </w:style>
  <w:style w:type="character" w:styleId="IntenseReference">
    <w:name w:val="Intense Reference"/>
    <w:basedOn w:val="DefaultParagraphFont"/>
    <w:uiPriority w:val="32"/>
    <w:qFormat/>
    <w:rsid w:val="00CF1C25"/>
    <w:rPr>
      <w:b/>
      <w:bCs/>
      <w:smallCaps/>
      <w:color w:val="auto"/>
      <w:spacing w:val="5"/>
      <w:u w:val="single"/>
    </w:rPr>
  </w:style>
  <w:style w:type="paragraph" w:customStyle="1" w:styleId="2ColumnHeading">
    <w:name w:val="2Column Heading"/>
    <w:basedOn w:val="BodyText"/>
    <w:qFormat/>
    <w:rsid w:val="00CF1C25"/>
    <w:pPr>
      <w:spacing w:after="60"/>
      <w:ind w:left="-2268"/>
    </w:pPr>
    <w:rPr>
      <w:b/>
    </w:rPr>
  </w:style>
  <w:style w:type="paragraph" w:customStyle="1" w:styleId="Heading1TOC">
    <w:name w:val="Heading1 TOC"/>
    <w:basedOn w:val="Normal"/>
    <w:qFormat/>
    <w:rsid w:val="00CF1C25"/>
    <w:pPr>
      <w:spacing w:before="240" w:after="120"/>
    </w:pPr>
    <w:rPr>
      <w:rFonts w:ascii="Times New Roman" w:hAnsi="Times New Roman"/>
      <w:b/>
      <w:sz w:val="32"/>
    </w:rPr>
  </w:style>
  <w:style w:type="paragraph" w:customStyle="1" w:styleId="Heading2TOC">
    <w:name w:val="Heading2 TOC"/>
    <w:basedOn w:val="Normal"/>
    <w:qFormat/>
    <w:rsid w:val="00CF1C25"/>
    <w:pPr>
      <w:spacing w:before="240" w:after="60"/>
    </w:pPr>
    <w:rPr>
      <w:rFonts w:ascii="Times New Roman" w:hAnsi="Times New Roman"/>
      <w:b/>
      <w:sz w:val="28"/>
    </w:rPr>
  </w:style>
  <w:style w:type="character" w:customStyle="1" w:styleId="Underline">
    <w:name w:val="Underline"/>
    <w:basedOn w:val="DefaultParagraphFont"/>
    <w:qFormat/>
    <w:rsid w:val="00CF1C25"/>
    <w:rPr>
      <w:u w:val="single"/>
    </w:rPr>
  </w:style>
  <w:style w:type="paragraph" w:styleId="BalloonText">
    <w:name w:val="Balloon Text"/>
    <w:basedOn w:val="Normal"/>
    <w:link w:val="BalloonTextChar"/>
    <w:rsid w:val="00CF1C25"/>
    <w:rPr>
      <w:rFonts w:ascii="Tahoma" w:hAnsi="Tahoma" w:cs="Tahoma"/>
      <w:sz w:val="16"/>
      <w:szCs w:val="16"/>
    </w:rPr>
  </w:style>
  <w:style w:type="character" w:customStyle="1" w:styleId="BalloonTextChar">
    <w:name w:val="Balloon Text Char"/>
    <w:basedOn w:val="DefaultParagraphFont"/>
    <w:link w:val="BalloonText"/>
    <w:rsid w:val="00CF1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C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C25"/>
    <w:rPr>
      <w:b/>
      <w:color w:val="660033"/>
      <w:spacing w:val="0"/>
    </w:rPr>
  </w:style>
  <w:style w:type="paragraph" w:customStyle="1" w:styleId="Nameditemlist">
    <w:name w:val="Named item list"/>
    <w:basedOn w:val="BodyText"/>
    <w:qFormat/>
    <w:rsid w:val="00CF1C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1518</Words>
  <Characters>9642</Characters>
  <Application>Microsoft Office Word</Application>
  <DocSecurity>0</DocSecurity>
  <Lines>361</Lines>
  <Paragraphs>206</Paragraphs>
  <ScaleCrop>false</ScaleCrop>
  <Company>Author-it Software Corporation Ltd.</Company>
  <LinksUpToDate>false</LinksUpToDate>
  <CharactersWithSpaces>11075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CPCCST3015A Apply gilding to stone</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2014-01-17T12:28:35Z</dcterms:created>
  <dcterms:modified xsi:type="dcterms:W3CDTF">2014-01-16T02:38:00Z</dcterms:modified>
</cp:coreProperties>
</file>