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B6C" w:rsidP="00E74B6C">
      <w:pPr>
        <w:pStyle w:val="Title"/>
      </w:pPr>
      <w:r>
        <w:fldChar w:fldCharType="begin"/>
      </w:r>
      <w:r>
        <w:instrText xml:space="preserve"> TITLE   \* MERGEFORMAT </w:instrText>
      </w:r>
      <w:r>
        <w:fldChar w:fldCharType="separate"/>
      </w:r>
      <w:r>
        <w:t>CPCCST3014A Set and anchor stone facades</w:t>
      </w:r>
      <w:r>
        <w:fldChar w:fldCharType="end"/>
      </w:r>
    </w:p>
    <w:p w:rsidR="00E74B6C" w:rsidP="00E74B6C">
      <w:pPr>
        <w:pStyle w:val="Version"/>
        <w:sectPr w:rsidSect="004B72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7212" w:rsidP="004B7212">
      <w:pPr>
        <w:pStyle w:val="SuperHeading"/>
      </w:pPr>
      <w:r w:rsidRPr="004B7212">
        <w:t>CPCCST3014A Set and anchor stone facades</w:t>
      </w:r>
    </w:p>
    <w:p w:rsidR="00000000" w:rsidRPr="004B7212" w:rsidP="004B7212">
      <w:pPr>
        <w:pStyle w:val="Heading1"/>
      </w:pPr>
      <w:bookmarkStart w:id="1" w:name="O_269730"/>
      <w:bookmarkEnd w:id="1"/>
      <w:r w:rsidRPr="004B7212">
        <w:t>Modification History</w:t>
      </w:r>
    </w:p>
    <w:p w:rsidR="00000000" w:rsidRPr="004B7212" w:rsidP="004B7212">
      <w:pPr>
        <w:pStyle w:val="BodyText"/>
      </w:pPr>
      <w:r w:rsidRPr="004B7212">
        <w:t>Not Applicable</w:t>
      </w:r>
    </w:p>
    <w:p w:rsidR="00000000" w:rsidRPr="004B7212" w:rsidP="004B7212">
      <w:pPr>
        <w:pStyle w:val="AllowPageBreak"/>
      </w:pPr>
    </w:p>
    <w:p w:rsidR="00000000" w:rsidRPr="004B7212" w:rsidP="004B7212">
      <w:pPr>
        <w:pStyle w:val="Heading1"/>
      </w:pPr>
      <w:bookmarkStart w:id="2" w:name="O_198885"/>
      <w:bookmarkEnd w:id="2"/>
      <w:r w:rsidRPr="004B7212">
        <w:t>Unit Descriptor</w:t>
      </w:r>
    </w:p>
    <w:tbl>
      <w:tblPr>
        <w:tblW w:w="0" w:type="auto"/>
        <w:tblLayout w:type="fixed"/>
        <w:tblCellMar>
          <w:left w:w="62" w:type="dxa"/>
          <w:right w:w="62" w:type="dxa"/>
        </w:tblCellMar>
        <w:tblLook w:val="0000"/>
      </w:tblPr>
      <w:tblGrid>
        <w:gridCol w:w="2499"/>
        <w:gridCol w:w="6023"/>
      </w:tblGrid>
      <w:tr w:rsidTr="00E74B6C">
        <w:tblPrEx>
          <w:tblW w:w="0" w:type="auto"/>
          <w:tblLayout w:type="fixed"/>
          <w:tblCellMar>
            <w:left w:w="62" w:type="dxa"/>
            <w:right w:w="62" w:type="dxa"/>
          </w:tblCellMar>
          <w:tblLook w:val="0000"/>
        </w:tblPrEx>
        <w:trPr>
          <w:tblHeader/>
        </w:trPr>
        <w:tc>
          <w:tcPr>
            <w:tcW w:w="2499"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SpecialBold"/>
              </w:rPr>
              <w:t>Unit descriptor</w:t>
            </w:r>
          </w:p>
        </w:tc>
        <w:tc>
          <w:tcPr>
            <w:tcW w:w="6023" w:type="dxa"/>
            <w:tcBorders>
              <w:top w:val="nil"/>
              <w:left w:val="nil"/>
              <w:bottom w:val="nil"/>
              <w:right w:val="nil"/>
            </w:tcBorders>
            <w:tcMar>
              <w:top w:w="0" w:type="dxa"/>
              <w:left w:w="62" w:type="dxa"/>
              <w:bottom w:w="0" w:type="dxa"/>
              <w:right w:w="62" w:type="dxa"/>
            </w:tcMar>
          </w:tcPr>
          <w:p w:rsidR="00000000" w:rsidRPr="004B7212" w:rsidP="004B7212">
            <w:pPr>
              <w:pStyle w:val="BodyText"/>
            </w:pPr>
            <w:r w:rsidRPr="004B7212">
              <w:t>This unit specifies the outcomes required to prepare shift, set and anchor a variety of stone facades for a cons</w:t>
            </w:r>
            <w:r w:rsidRPr="004B7212">
              <w:t>truction project.</w:t>
            </w:r>
          </w:p>
        </w:tc>
      </w:tr>
    </w:tbl>
    <w:p w:rsidR="00E74B6C" w:rsidP="004B7212">
      <w:pPr>
        <w:pStyle w:val="BodyText"/>
      </w:pPr>
    </w:p>
    <w:p w:rsidR="00E74B6C" w:rsidP="004B7212">
      <w:pPr>
        <w:pStyle w:val="BodyText"/>
      </w:pPr>
    </w:p>
    <w:p w:rsidR="00000000" w:rsidRPr="004B7212" w:rsidP="004B7212">
      <w:pPr>
        <w:pStyle w:val="Heading1"/>
      </w:pPr>
      <w:bookmarkStart w:id="3" w:name="O_198889"/>
      <w:bookmarkEnd w:id="3"/>
      <w:r w:rsidRPr="004B7212">
        <w:t>Application of the Unit</w:t>
      </w:r>
    </w:p>
    <w:tbl>
      <w:tblPr>
        <w:tblW w:w="0" w:type="auto"/>
        <w:tblLayout w:type="fixed"/>
        <w:tblCellMar>
          <w:left w:w="62" w:type="dxa"/>
          <w:right w:w="62" w:type="dxa"/>
        </w:tblCellMar>
        <w:tblLook w:val="0000"/>
      </w:tblPr>
      <w:tblGrid>
        <w:gridCol w:w="2566"/>
        <w:gridCol w:w="5956"/>
      </w:tblGrid>
      <w:tr w:rsidTr="00E74B6C">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SpecialBold"/>
              </w:rPr>
              <w:t>Application of the unit</w:t>
            </w:r>
          </w:p>
        </w:tc>
        <w:tc>
          <w:tcPr>
            <w:tcW w:w="5956" w:type="dxa"/>
            <w:tcBorders>
              <w:top w:val="nil"/>
              <w:left w:val="nil"/>
              <w:bottom w:val="nil"/>
              <w:right w:val="nil"/>
            </w:tcBorders>
            <w:tcMar>
              <w:top w:w="0" w:type="dxa"/>
              <w:left w:w="62" w:type="dxa"/>
              <w:bottom w:w="0" w:type="dxa"/>
              <w:right w:w="62" w:type="dxa"/>
            </w:tcMar>
          </w:tcPr>
          <w:p w:rsidR="00000000" w:rsidRPr="004B7212" w:rsidP="004B7212">
            <w:pPr>
              <w:pStyle w:val="BodyText"/>
            </w:pPr>
            <w:r w:rsidRPr="004B7212">
              <w:t xml:space="preserve">This unit of competency supports the achievement of skills and knowledge to set and anchor stone product facades, which may include working </w:t>
            </w:r>
            <w:r w:rsidRPr="004B7212">
              <w:t xml:space="preserve">with others and as a member of a team. </w:t>
            </w:r>
          </w:p>
        </w:tc>
      </w:tr>
    </w:tbl>
    <w:p w:rsidR="00E74B6C" w:rsidP="004B7212">
      <w:pPr>
        <w:pStyle w:val="BodyText"/>
      </w:pPr>
    </w:p>
    <w:p w:rsidR="00E74B6C" w:rsidP="004B7212">
      <w:pPr>
        <w:pStyle w:val="BodyText"/>
      </w:pPr>
    </w:p>
    <w:p w:rsidR="00000000" w:rsidRPr="004B7212" w:rsidP="004B7212">
      <w:pPr>
        <w:pStyle w:val="Heading1"/>
      </w:pPr>
      <w:bookmarkStart w:id="4" w:name="O_277990"/>
      <w:bookmarkEnd w:id="4"/>
      <w:r w:rsidRPr="004B7212">
        <w:t>Licensing/Regulatory Information</w:t>
      </w:r>
    </w:p>
    <w:p w:rsidR="00000000" w:rsidRPr="004B7212" w:rsidP="004B7212">
      <w:pPr>
        <w:pStyle w:val="BodyText"/>
      </w:pPr>
      <w:r w:rsidRPr="004B7212">
        <w:t>Not Applicable</w:t>
      </w:r>
    </w:p>
    <w:p w:rsidR="00000000" w:rsidRPr="004B7212" w:rsidP="004B7212">
      <w:pPr>
        <w:pStyle w:val="AllowPageBreak"/>
      </w:pPr>
    </w:p>
    <w:p w:rsidR="00000000" w:rsidRPr="004B7212" w:rsidP="004B7212">
      <w:pPr>
        <w:pStyle w:val="Heading1"/>
      </w:pPr>
      <w:bookmarkStart w:id="5" w:name="O_198887"/>
      <w:bookmarkEnd w:id="5"/>
      <w:r w:rsidRPr="004B7212">
        <w:t>Pre-Requisites</w:t>
      </w:r>
    </w:p>
    <w:tbl>
      <w:tblPr>
        <w:tblW w:w="0" w:type="auto"/>
        <w:tblLayout w:type="fixed"/>
        <w:tblCellMar>
          <w:left w:w="62" w:type="dxa"/>
          <w:right w:w="62" w:type="dxa"/>
        </w:tblCellMar>
        <w:tblLook w:val="0000"/>
      </w:tblPr>
      <w:tblGrid>
        <w:gridCol w:w="2528"/>
        <w:gridCol w:w="2737"/>
        <w:gridCol w:w="3257"/>
      </w:tblGrid>
      <w:tr w:rsidTr="00E74B6C">
        <w:tblPrEx>
          <w:tblW w:w="0" w:type="auto"/>
          <w:tblLayout w:type="fixed"/>
          <w:tblCellMar>
            <w:left w:w="62" w:type="dxa"/>
            <w:right w:w="62" w:type="dxa"/>
          </w:tblCellMar>
          <w:tblLook w:val="0000"/>
        </w:tblPrEx>
        <w:trPr>
          <w:tblHeader/>
        </w:trPr>
        <w:tc>
          <w:tcPr>
            <w:tcW w:w="2528"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SpecialBold"/>
              </w:rPr>
              <w:t>Prerequisite units</w:t>
            </w:r>
          </w:p>
        </w:tc>
        <w:tc>
          <w:tcPr>
            <w:tcW w:w="5994" w:type="dxa"/>
            <w:gridSpan w:val="2"/>
            <w:tcBorders>
              <w:top w:val="nil"/>
              <w:left w:val="nil"/>
              <w:bottom w:val="nil"/>
              <w:right w:val="nil"/>
            </w:tcBorders>
            <w:tcMar>
              <w:top w:w="0" w:type="dxa"/>
              <w:left w:w="62" w:type="dxa"/>
              <w:bottom w:w="0" w:type="dxa"/>
              <w:right w:w="62" w:type="dxa"/>
            </w:tcMar>
          </w:tcPr>
          <w:p w:rsidR="00000000" w:rsidP="004B7212">
            <w:pPr>
              <w:pStyle w:val="BodyText"/>
              <w:rPr>
                <w:lang w:val="en-NZ"/>
              </w:rPr>
            </w:pPr>
          </w:p>
        </w:tc>
      </w:tr>
      <w:tr w:rsidTr="00E74B6C">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t>CPCCOHS2001A</w:t>
            </w:r>
          </w:p>
        </w:tc>
        <w:tc>
          <w:tcPr>
            <w:tcW w:w="3257"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t>Apply OHS requirements, policies and procedures in the construction industry</w:t>
            </w:r>
          </w:p>
        </w:tc>
      </w:tr>
      <w:tr w:rsidTr="00E74B6C">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7" w:type="dxa"/>
            <w:tcBorders>
              <w:top w:val="nil"/>
              <w:left w:val="nil"/>
              <w:bottom w:val="nil"/>
              <w:right w:val="nil"/>
            </w:tcBorders>
            <w:tcMar>
              <w:top w:w="0" w:type="dxa"/>
              <w:left w:w="62" w:type="dxa"/>
              <w:bottom w:w="0" w:type="dxa"/>
              <w:right w:w="62" w:type="dxa"/>
            </w:tcMar>
          </w:tcPr>
          <w:p w:rsidR="00000000" w:rsidRPr="004B7212" w:rsidP="004B7212">
            <w:pPr>
              <w:pStyle w:val="BodyText"/>
            </w:pPr>
          </w:p>
        </w:tc>
      </w:tr>
    </w:tbl>
    <w:p w:rsidR="00E74B6C" w:rsidP="004B7212">
      <w:pPr>
        <w:pStyle w:val="BodyText"/>
      </w:pPr>
    </w:p>
    <w:p w:rsidR="00E74B6C" w:rsidP="004B7212">
      <w:pPr>
        <w:pStyle w:val="BodyText"/>
      </w:pPr>
    </w:p>
    <w:p w:rsidR="00000000" w:rsidRPr="004B7212" w:rsidP="004B7212">
      <w:pPr>
        <w:pStyle w:val="Heading1"/>
      </w:pPr>
      <w:bookmarkStart w:id="6" w:name="O_198886"/>
      <w:bookmarkEnd w:id="6"/>
      <w:r w:rsidRPr="004B7212">
        <w:t>Employability Skills Information</w:t>
      </w:r>
    </w:p>
    <w:tbl>
      <w:tblPr>
        <w:tblW w:w="0" w:type="auto"/>
        <w:tblLayout w:type="fixed"/>
        <w:tblCellMar>
          <w:left w:w="62" w:type="dxa"/>
          <w:right w:w="62" w:type="dxa"/>
        </w:tblCellMar>
        <w:tblLook w:val="0000"/>
      </w:tblPr>
      <w:tblGrid>
        <w:gridCol w:w="2624"/>
        <w:gridCol w:w="5898"/>
      </w:tblGrid>
      <w:tr w:rsidTr="00E74B6C">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4B7212" w:rsidP="004B7212">
            <w:pPr>
              <w:pStyle w:val="BodyText"/>
            </w:pPr>
            <w:r w:rsidRPr="004B7212">
              <w:t>This unit contains employability skills.</w:t>
            </w:r>
          </w:p>
        </w:tc>
      </w:tr>
    </w:tbl>
    <w:p w:rsidR="00E74B6C" w:rsidP="004B7212">
      <w:pPr>
        <w:pStyle w:val="BodyText"/>
      </w:pPr>
    </w:p>
    <w:p w:rsidR="00E74B6C" w:rsidP="004B7212">
      <w:pPr>
        <w:pStyle w:val="BodyText"/>
      </w:pPr>
    </w:p>
    <w:p w:rsidR="00000000" w:rsidRPr="004B7212" w:rsidP="004B7212">
      <w:pPr>
        <w:pStyle w:val="Heading1"/>
      </w:pPr>
      <w:bookmarkStart w:id="7" w:name="O_287776"/>
      <w:bookmarkEnd w:id="7"/>
      <w:r w:rsidRPr="004B7212">
        <w:t>Elements and Performance Criteria Pre-Content</w:t>
      </w:r>
    </w:p>
    <w:tbl>
      <w:tblPr>
        <w:tblW w:w="0" w:type="auto"/>
        <w:tblLayout w:type="fixed"/>
        <w:tblCellMar>
          <w:left w:w="62" w:type="dxa"/>
          <w:right w:w="62" w:type="dxa"/>
        </w:tblCellMar>
        <w:tblLook w:val="0000"/>
      </w:tblPr>
      <w:tblGrid>
        <w:gridCol w:w="2567"/>
        <w:gridCol w:w="5955"/>
      </w:tblGrid>
      <w:tr w:rsidTr="00E74B6C">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B7212">
            <w:pPr>
              <w:pStyle w:val="BodyText"/>
              <w:rPr>
                <w:lang w:val="en-NZ"/>
              </w:rPr>
            </w:pPr>
            <w:r w:rsidRPr="004B7212">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B7212" w:rsidP="004B7212">
            <w:pPr>
              <w:pStyle w:val="BodyText"/>
            </w:pPr>
            <w:r w:rsidRPr="004B7212">
              <w:t>Performance criteria describe the performance needed to demonstrate achievement of the element. Where bold italicised text is used, further information is detailed in the required skills and knowledge section and the range statement. Assessment of performa</w:t>
            </w:r>
            <w:r w:rsidRPr="004B7212">
              <w:t>nce is to be consistent with the evidence guide.</w:t>
            </w:r>
          </w:p>
        </w:tc>
      </w:tr>
    </w:tbl>
    <w:p w:rsidR="00000000" w:rsidRPr="004B7212" w:rsidP="004B7212">
      <w:pPr>
        <w:pStyle w:val="BodyText"/>
      </w:pPr>
    </w:p>
    <w:p w:rsidR="00000000" w:rsidRPr="004B7212" w:rsidP="004B7212">
      <w:pPr>
        <w:pStyle w:val="AllowPageBreak"/>
      </w:pPr>
    </w:p>
    <w:p w:rsidR="00000000" w:rsidRPr="004B7212" w:rsidP="004B7212">
      <w:pPr>
        <w:pStyle w:val="Heading1"/>
      </w:pPr>
      <w:bookmarkStart w:id="8" w:name="O_234443"/>
      <w:bookmarkEnd w:id="8"/>
      <w:r w:rsidRPr="004B7212">
        <w:t>Elements and Performance Criteria</w:t>
      </w:r>
    </w:p>
    <w:tbl>
      <w:tblPr>
        <w:tblW w:w="0" w:type="auto"/>
        <w:tblLayout w:type="fixed"/>
        <w:tblCellMar>
          <w:left w:w="62" w:type="dxa"/>
          <w:right w:w="62" w:type="dxa"/>
        </w:tblCellMar>
        <w:tblLook w:val="0000"/>
      </w:tblPr>
      <w:tblGrid>
        <w:gridCol w:w="2567"/>
        <w:gridCol w:w="5955"/>
      </w:tblGrid>
      <w:tr w:rsidTr="00E74B6C">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B7212" w:rsidP="004B7212">
            <w:pPr>
              <w:pStyle w:val="BodyText"/>
            </w:pPr>
            <w:r w:rsidRPr="004B7212">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B7212">
            <w:pPr>
              <w:pStyle w:val="BodyText"/>
              <w:rPr>
                <w:lang w:val="en-NZ"/>
              </w:rPr>
            </w:pPr>
            <w:r w:rsidRPr="004B7212">
              <w:rPr>
                <w:rStyle w:val="SpecialBold"/>
              </w:rPr>
              <w:t>PERFORMANCE CRITERIA</w:t>
            </w:r>
          </w:p>
        </w:tc>
      </w:tr>
      <w:tr w:rsidTr="00E74B6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B7212">
            <w:pPr>
              <w:pStyle w:val="List"/>
              <w:rPr>
                <w:lang w:val="en-NZ"/>
              </w:rPr>
            </w:pPr>
            <w:r w:rsidRPr="004B7212">
              <w:t>1.</w:t>
            </w:r>
            <w:r w:rsidRPr="004B7212">
              <w:tab/>
              <w:t>Plan and prepare.</w:t>
            </w:r>
          </w:p>
        </w:tc>
        <w:tc>
          <w:tcPr>
            <w:tcW w:w="5955" w:type="dxa"/>
            <w:tcBorders>
              <w:top w:val="nil"/>
              <w:left w:val="nil"/>
              <w:bottom w:val="nil"/>
              <w:right w:val="nil"/>
            </w:tcBorders>
            <w:tcMar>
              <w:top w:w="0" w:type="dxa"/>
              <w:left w:w="62" w:type="dxa"/>
              <w:bottom w:w="0" w:type="dxa"/>
              <w:right w:w="62" w:type="dxa"/>
            </w:tcMar>
          </w:tcPr>
          <w:p w:rsidR="00000000" w:rsidRPr="004B7212" w:rsidP="004B7212">
            <w:pPr>
              <w:pStyle w:val="List2"/>
            </w:pPr>
            <w:r w:rsidRPr="004B7212">
              <w:t>1.1.</w:t>
            </w:r>
            <w:r w:rsidRPr="004B7212">
              <w:tab/>
              <w:t xml:space="preserve">Work instructions and operational details are obtained using relevant </w:t>
            </w:r>
            <w:r w:rsidRPr="004B7212">
              <w:rPr>
                <w:rStyle w:val="BoldandItalics"/>
              </w:rPr>
              <w:t>information</w:t>
            </w:r>
            <w:r w:rsidRPr="004B7212">
              <w:t xml:space="preserve">, confirmed and applied for </w:t>
            </w:r>
            <w:r w:rsidRPr="004B7212">
              <w:rPr>
                <w:rStyle w:val="BoldandItalics"/>
              </w:rPr>
              <w:t>planning and preparation</w:t>
            </w:r>
            <w:r w:rsidRPr="004B7212">
              <w:t xml:space="preserve"> purposes. </w:t>
            </w:r>
          </w:p>
          <w:p w:rsidR="00000000" w:rsidRPr="004B7212" w:rsidP="004B7212">
            <w:pPr>
              <w:pStyle w:val="List2"/>
            </w:pPr>
            <w:r w:rsidRPr="004B7212">
              <w:t>1.2.</w:t>
            </w:r>
            <w:r w:rsidRPr="004B7212">
              <w:tab/>
            </w:r>
            <w:r w:rsidRPr="004B7212">
              <w:rPr>
                <w:rStyle w:val="BoldandItalics"/>
              </w:rPr>
              <w:t>Safety</w:t>
            </w:r>
            <w:r w:rsidRPr="004B7212">
              <w:t xml:space="preserve"> (</w:t>
            </w:r>
            <w:r w:rsidRPr="004B7212">
              <w:rPr>
                <w:rStyle w:val="BoldandItalics"/>
              </w:rPr>
              <w:t>OHS</w:t>
            </w:r>
            <w:r w:rsidRPr="004B7212">
              <w:t xml:space="preserve">) requirements are followed in accordance with safety plans and policies. </w:t>
            </w:r>
          </w:p>
          <w:p w:rsidR="00000000" w:rsidRPr="004B7212" w:rsidP="004B7212">
            <w:pPr>
              <w:pStyle w:val="List2"/>
            </w:pPr>
            <w:r w:rsidRPr="004B7212">
              <w:t>1.3.</w:t>
            </w:r>
            <w:r w:rsidRPr="004B7212">
              <w:tab/>
              <w:t xml:space="preserve">Signage and barricade requirements are identified and implemented in consideration of </w:t>
            </w:r>
            <w:r w:rsidRPr="004B7212">
              <w:rPr>
                <w:rStyle w:val="BoldandItalics"/>
              </w:rPr>
              <w:t>hazards</w:t>
            </w:r>
            <w:r w:rsidRPr="004B7212">
              <w:t xml:space="preserve">. </w:t>
            </w:r>
          </w:p>
          <w:p w:rsidR="00000000" w:rsidRPr="004B7212" w:rsidP="004B7212">
            <w:pPr>
              <w:pStyle w:val="List2"/>
            </w:pPr>
            <w:r w:rsidRPr="004B7212">
              <w:t>1.4.</w:t>
            </w:r>
            <w:r w:rsidRPr="004B7212">
              <w:tab/>
            </w:r>
            <w:r w:rsidRPr="004B7212">
              <w:rPr>
                <w:rStyle w:val="BoldandItalics"/>
              </w:rPr>
              <w:t>Tools and equipment</w:t>
            </w:r>
            <w:r w:rsidRPr="004B7212">
              <w:t xml:space="preserve"> selected to carry out tasks are consistent with job requirements, checked for serviceability and any faults are rectified or reported prior to commencement. </w:t>
            </w:r>
          </w:p>
          <w:p w:rsidR="00000000" w:rsidRPr="004B7212" w:rsidP="004B7212">
            <w:pPr>
              <w:pStyle w:val="List2"/>
            </w:pPr>
            <w:r w:rsidRPr="004B7212">
              <w:t>1.5.</w:t>
            </w:r>
            <w:r w:rsidRPr="004B7212">
              <w:tab/>
              <w:t>Material quantity requirements are calculated in accordance with pla</w:t>
            </w:r>
            <w:r w:rsidRPr="004B7212">
              <w:t xml:space="preserve">ns, specifications and </w:t>
            </w:r>
            <w:r w:rsidRPr="004B7212">
              <w:rPr>
                <w:rStyle w:val="BoldandItalics"/>
              </w:rPr>
              <w:t>quality requirements</w:t>
            </w:r>
            <w:r w:rsidRPr="004B7212">
              <w:t xml:space="preserve">. </w:t>
            </w:r>
          </w:p>
          <w:p w:rsidR="00000000" w:rsidRPr="004B7212" w:rsidP="004B7212">
            <w:pPr>
              <w:pStyle w:val="List2"/>
            </w:pPr>
            <w:r w:rsidRPr="004B7212">
              <w:t>1.6.</w:t>
            </w:r>
            <w:r w:rsidRPr="004B7212">
              <w:tab/>
              <w:t>Fixing connection materials appropriate to the work application are identified, obtained, prepared, safely handled and located ready for use.</w:t>
            </w:r>
          </w:p>
          <w:p w:rsidR="00000000" w:rsidP="004B7212">
            <w:pPr>
              <w:pStyle w:val="List2"/>
              <w:rPr>
                <w:lang w:val="en-NZ"/>
              </w:rPr>
            </w:pPr>
            <w:r w:rsidRPr="004B7212">
              <w:t>1.7.</w:t>
            </w:r>
            <w:r w:rsidRPr="004B7212">
              <w:tab/>
            </w:r>
            <w:r w:rsidRPr="004B7212">
              <w:rPr>
                <w:rStyle w:val="BoldandItalics"/>
              </w:rPr>
              <w:t>Environmental requirements</w:t>
            </w:r>
            <w:r w:rsidRPr="004B7212">
              <w:t xml:space="preserve"> are identified for the project </w:t>
            </w:r>
            <w:r w:rsidRPr="004B7212">
              <w:t xml:space="preserve">in accordance with environmental plans and </w:t>
            </w:r>
            <w:r w:rsidRPr="004B7212">
              <w:rPr>
                <w:rStyle w:val="BoldandItalics"/>
              </w:rPr>
              <w:t>statutory and regulatory authority</w:t>
            </w:r>
            <w:r w:rsidRPr="004B7212">
              <w:t xml:space="preserve"> requirements, and are applied. </w:t>
            </w:r>
          </w:p>
        </w:tc>
      </w:tr>
      <w:tr w:rsidTr="00E74B6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B7212">
            <w:pPr>
              <w:pStyle w:val="List"/>
              <w:rPr>
                <w:lang w:val="en-NZ"/>
              </w:rPr>
            </w:pPr>
            <w:r w:rsidRPr="004B7212">
              <w:t>2.</w:t>
            </w:r>
            <w:r w:rsidRPr="004B7212">
              <w:tab/>
              <w:t>Prepare stone for dressing.</w:t>
            </w:r>
          </w:p>
        </w:tc>
        <w:tc>
          <w:tcPr>
            <w:tcW w:w="5955" w:type="dxa"/>
            <w:tcBorders>
              <w:top w:val="nil"/>
              <w:left w:val="nil"/>
              <w:bottom w:val="nil"/>
              <w:right w:val="nil"/>
            </w:tcBorders>
            <w:tcMar>
              <w:top w:w="0" w:type="dxa"/>
              <w:left w:w="62" w:type="dxa"/>
              <w:bottom w:w="0" w:type="dxa"/>
              <w:right w:w="62" w:type="dxa"/>
            </w:tcMar>
          </w:tcPr>
          <w:p w:rsidR="00000000" w:rsidRPr="004B7212" w:rsidP="004B7212">
            <w:pPr>
              <w:pStyle w:val="List2"/>
            </w:pPr>
            <w:r w:rsidRPr="004B7212">
              <w:t>2.1.</w:t>
            </w:r>
            <w:r w:rsidRPr="004B7212">
              <w:tab/>
              <w:t>Stone facade erection is planned consistent with AS3850 Tilt up concrete construction.</w:t>
            </w:r>
          </w:p>
          <w:p w:rsidR="00000000" w:rsidRPr="004B7212" w:rsidP="004B7212">
            <w:pPr>
              <w:pStyle w:val="List2"/>
            </w:pPr>
            <w:r w:rsidRPr="004B7212">
              <w:t>2.2.</w:t>
            </w:r>
            <w:r w:rsidRPr="004B7212">
              <w:tab/>
            </w:r>
            <w:r w:rsidRPr="004B7212">
              <w:t>Delivered stone is checked for conformity to size and colour against specifications and provided material sample.</w:t>
            </w:r>
          </w:p>
          <w:p w:rsidR="00000000" w:rsidRPr="004B7212" w:rsidP="004B7212">
            <w:pPr>
              <w:pStyle w:val="List2"/>
            </w:pPr>
            <w:r w:rsidRPr="004B7212">
              <w:t>2.3.</w:t>
            </w:r>
            <w:r w:rsidRPr="004B7212">
              <w:tab/>
              <w:t xml:space="preserve">Area of </w:t>
            </w:r>
            <w:r w:rsidRPr="004B7212">
              <w:rPr>
                <w:rStyle w:val="BoldandItalics"/>
              </w:rPr>
              <w:t>structure</w:t>
            </w:r>
            <w:r w:rsidRPr="004B7212">
              <w:t xml:space="preserve"> to receive stone for facade is set out for line and level in accordance with job drawings and dimensions and datum or l</w:t>
            </w:r>
            <w:r w:rsidRPr="004B7212">
              <w:t xml:space="preserve">evel line is established for base course of stone components. </w:t>
            </w:r>
          </w:p>
          <w:p w:rsidR="00000000" w:rsidRPr="004B7212" w:rsidP="004B7212">
            <w:pPr>
              <w:pStyle w:val="List2"/>
            </w:pPr>
            <w:r w:rsidRPr="004B7212">
              <w:t>2.4.</w:t>
            </w:r>
            <w:r w:rsidRPr="004B7212">
              <w:tab/>
              <w:t>Area of structure to receive stone components is prepared consistent with manufacturer's fixing recommendations, site drawings and specifications.</w:t>
            </w:r>
          </w:p>
          <w:p w:rsidR="00000000" w:rsidRPr="004B7212" w:rsidP="004B7212">
            <w:pPr>
              <w:pStyle w:val="List2"/>
            </w:pPr>
            <w:r w:rsidRPr="004B7212">
              <w:t>2.5.</w:t>
            </w:r>
            <w:r w:rsidRPr="004B7212">
              <w:tab/>
              <w:t>Brackets or anchors are installed to</w:t>
            </w:r>
            <w:r w:rsidRPr="004B7212">
              <w:t xml:space="preserve"> structure for line of placement to specifications for structural fixing.</w:t>
            </w:r>
          </w:p>
          <w:p w:rsidR="00000000" w:rsidRPr="004B7212" w:rsidP="004B7212">
            <w:pPr>
              <w:pStyle w:val="List2"/>
            </w:pPr>
            <w:r w:rsidRPr="004B7212">
              <w:t>2.6.</w:t>
            </w:r>
            <w:r w:rsidRPr="004B7212">
              <w:tab/>
              <w:t>Steel dowels are fitted to base where specified to provide key for base course of components.</w:t>
            </w:r>
          </w:p>
          <w:p w:rsidR="00000000" w:rsidP="004B7212">
            <w:pPr>
              <w:pStyle w:val="List2"/>
              <w:rPr>
                <w:lang w:val="en-NZ"/>
              </w:rPr>
            </w:pPr>
            <w:r w:rsidRPr="004B7212">
              <w:t>2.7.</w:t>
            </w:r>
            <w:r w:rsidRPr="004B7212">
              <w:tab/>
              <w:t>Stone is checked for faults prior to installation and stone components are pre</w:t>
            </w:r>
            <w:r w:rsidRPr="004B7212">
              <w:t>pared, lifting locations checked and lifting gear attached in accordance with manufacturer requirements and AS3850.</w:t>
            </w:r>
          </w:p>
        </w:tc>
      </w:tr>
      <w:tr w:rsidTr="00E74B6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B7212">
            <w:pPr>
              <w:pStyle w:val="List"/>
              <w:rPr>
                <w:lang w:val="en-NZ"/>
              </w:rPr>
            </w:pPr>
            <w:r w:rsidRPr="004B7212">
              <w:t>3.</w:t>
            </w:r>
            <w:r w:rsidRPr="004B7212">
              <w:tab/>
              <w:t>Shift, erect and fix stone.</w:t>
            </w:r>
          </w:p>
        </w:tc>
        <w:tc>
          <w:tcPr>
            <w:tcW w:w="5955" w:type="dxa"/>
            <w:tcBorders>
              <w:top w:val="nil"/>
              <w:left w:val="nil"/>
              <w:bottom w:val="nil"/>
              <w:right w:val="nil"/>
            </w:tcBorders>
            <w:tcMar>
              <w:top w:w="0" w:type="dxa"/>
              <w:left w:w="62" w:type="dxa"/>
              <w:bottom w:w="0" w:type="dxa"/>
              <w:right w:w="62" w:type="dxa"/>
            </w:tcMar>
          </w:tcPr>
          <w:p w:rsidR="00000000" w:rsidRPr="004B7212" w:rsidP="004B7212">
            <w:pPr>
              <w:pStyle w:val="List2"/>
            </w:pPr>
            <w:r w:rsidRPr="004B7212">
              <w:t>3.1.</w:t>
            </w:r>
            <w:r w:rsidRPr="004B7212">
              <w:tab/>
              <w:t>Scaffolding is erected, where required, to job requirements and OHS regulations.</w:t>
            </w:r>
          </w:p>
          <w:p w:rsidR="00000000" w:rsidRPr="004B7212" w:rsidP="004B7212">
            <w:pPr>
              <w:pStyle w:val="List2"/>
            </w:pPr>
            <w:r w:rsidRPr="004B7212">
              <w:t>3.2.</w:t>
            </w:r>
            <w:r w:rsidRPr="004B7212">
              <w:tab/>
              <w:t xml:space="preserve">Slings, clutches </w:t>
            </w:r>
            <w:r w:rsidRPr="004B7212">
              <w:t>and other predetermined rigging equipment are selected to job requirements and inspected for correct function.</w:t>
            </w:r>
          </w:p>
          <w:p w:rsidR="00000000" w:rsidRPr="004B7212" w:rsidP="004B7212">
            <w:pPr>
              <w:pStyle w:val="List2"/>
            </w:pPr>
            <w:r w:rsidRPr="004B7212">
              <w:t>3.3.</w:t>
            </w:r>
            <w:r w:rsidRPr="004B7212">
              <w:tab/>
              <w:t>Stone components are shifted and transferred to fixing location at structure in accordance with job safety requirements.</w:t>
            </w:r>
          </w:p>
          <w:p w:rsidR="00000000" w:rsidRPr="004B7212" w:rsidP="004B7212">
            <w:pPr>
              <w:pStyle w:val="List2"/>
            </w:pPr>
            <w:r w:rsidRPr="004B7212">
              <w:t>3.4.</w:t>
            </w:r>
            <w:r w:rsidRPr="004B7212">
              <w:tab/>
              <w:t>Base component</w:t>
            </w:r>
            <w:r w:rsidRPr="004B7212">
              <w:t>s are prepared for placement by drilling holes for dowels where applicable, and placement of wedges or packers for adjustment.</w:t>
            </w:r>
          </w:p>
          <w:p w:rsidR="00000000" w:rsidRPr="004B7212" w:rsidP="004B7212">
            <w:pPr>
              <w:pStyle w:val="List2"/>
            </w:pPr>
            <w:r w:rsidRPr="004B7212">
              <w:t>3.5.</w:t>
            </w:r>
            <w:r w:rsidRPr="004B7212">
              <w:tab/>
              <w:t>Initial stone is manoeuvred, placed and adjusted in position to be fixed level, to line and plumb.</w:t>
            </w:r>
          </w:p>
          <w:p w:rsidR="00000000" w:rsidRPr="004B7212" w:rsidP="004B7212">
            <w:pPr>
              <w:pStyle w:val="List2"/>
            </w:pPr>
            <w:r w:rsidRPr="004B7212">
              <w:t>3.6.</w:t>
            </w:r>
            <w:r w:rsidRPr="004B7212">
              <w:tab/>
              <w:t>Base course of stone</w:t>
            </w:r>
            <w:r w:rsidRPr="004B7212">
              <w:t xml:space="preserve"> components are placed and fixed to lines, level, aligned on face and plumb to specifications with location of each stone component to align and tie components together, adjusted and secured to specifications.</w:t>
            </w:r>
          </w:p>
          <w:p w:rsidR="00000000" w:rsidRPr="004B7212" w:rsidP="004B7212">
            <w:pPr>
              <w:pStyle w:val="List2"/>
            </w:pPr>
            <w:r w:rsidRPr="004B7212">
              <w:t>3.7.</w:t>
            </w:r>
            <w:r w:rsidRPr="004B7212">
              <w:tab/>
              <w:t>Corners of stone facade are joined and fi</w:t>
            </w:r>
            <w:r w:rsidRPr="004B7212">
              <w:t>xed to designed junction, to specifications.</w:t>
            </w:r>
          </w:p>
          <w:p w:rsidR="00000000" w:rsidRPr="004B7212" w:rsidP="004B7212">
            <w:pPr>
              <w:pStyle w:val="List2"/>
            </w:pPr>
            <w:r w:rsidRPr="004B7212">
              <w:t>3.8.</w:t>
            </w:r>
            <w:r w:rsidRPr="004B7212">
              <w:tab/>
              <w:t xml:space="preserve">Stone facade is installed using appropriate </w:t>
            </w:r>
            <w:r w:rsidRPr="004B7212">
              <w:rPr>
                <w:rStyle w:val="BoldandItalics"/>
              </w:rPr>
              <w:t>fixing methods</w:t>
            </w:r>
            <w:r w:rsidRPr="004B7212">
              <w:t xml:space="preserve"> to engineer's specifications. </w:t>
            </w:r>
          </w:p>
          <w:p w:rsidR="00000000" w:rsidRPr="004B7212" w:rsidP="004B7212">
            <w:pPr>
              <w:pStyle w:val="List2"/>
            </w:pPr>
            <w:r w:rsidRPr="004B7212">
              <w:t>3.9.</w:t>
            </w:r>
            <w:r w:rsidRPr="004B7212">
              <w:tab/>
              <w:t>Shifting gear/rigging equipment is removed from stone facade upon engineer's or site authority's approval of fi</w:t>
            </w:r>
            <w:r w:rsidRPr="004B7212">
              <w:t>xing.</w:t>
            </w:r>
          </w:p>
          <w:p w:rsidR="00000000" w:rsidP="004B7212">
            <w:pPr>
              <w:pStyle w:val="List2"/>
              <w:rPr>
                <w:lang w:val="en-NZ"/>
              </w:rPr>
            </w:pPr>
            <w:r w:rsidRPr="004B7212">
              <w:t>3.10.</w:t>
            </w:r>
            <w:r w:rsidRPr="004B7212">
              <w:tab/>
              <w:t>Stone facade is caulked, sealed and flashed in accordance with job drawings and engineer's specifications.</w:t>
            </w:r>
          </w:p>
        </w:tc>
      </w:tr>
      <w:tr w:rsidTr="00E74B6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B7212">
            <w:pPr>
              <w:pStyle w:val="List"/>
              <w:rPr>
                <w:lang w:val="en-NZ"/>
              </w:rPr>
            </w:pPr>
            <w:r w:rsidRPr="004B7212">
              <w:t>4.</w:t>
            </w:r>
            <w:r w:rsidRPr="004B7212">
              <w:tab/>
              <w:t>Clean up.</w:t>
            </w:r>
          </w:p>
        </w:tc>
        <w:tc>
          <w:tcPr>
            <w:tcW w:w="5955" w:type="dxa"/>
            <w:tcBorders>
              <w:top w:val="nil"/>
              <w:left w:val="nil"/>
              <w:bottom w:val="nil"/>
              <w:right w:val="nil"/>
            </w:tcBorders>
            <w:tcMar>
              <w:top w:w="0" w:type="dxa"/>
              <w:left w:w="62" w:type="dxa"/>
              <w:bottom w:w="0" w:type="dxa"/>
              <w:right w:w="62" w:type="dxa"/>
            </w:tcMar>
          </w:tcPr>
          <w:p w:rsidR="00000000" w:rsidRPr="004B7212" w:rsidP="004B7212">
            <w:pPr>
              <w:pStyle w:val="List2"/>
            </w:pPr>
            <w:r w:rsidRPr="004B7212">
              <w:t>4.1.</w:t>
            </w:r>
            <w:r w:rsidRPr="004B7212">
              <w:tab/>
              <w:t>Area is cleaned to specification.</w:t>
            </w:r>
          </w:p>
          <w:p w:rsidR="00000000" w:rsidRPr="004B7212" w:rsidP="004B7212">
            <w:pPr>
              <w:pStyle w:val="List2"/>
            </w:pPr>
            <w:r w:rsidRPr="004B7212">
              <w:t>4.2.</w:t>
            </w:r>
            <w:r w:rsidRPr="004B7212">
              <w:tab/>
              <w:t>Waste material is removed and placed into job waste bins.</w:t>
            </w:r>
          </w:p>
          <w:p w:rsidR="00000000" w:rsidRPr="004B7212" w:rsidP="004B7212">
            <w:pPr>
              <w:pStyle w:val="List2"/>
            </w:pPr>
            <w:r w:rsidRPr="004B7212">
              <w:t>4.3.</w:t>
            </w:r>
            <w:r w:rsidRPr="004B7212">
              <w:tab/>
            </w:r>
            <w:r w:rsidRPr="004B7212">
              <w:t>Tools and equipment are cleaned, inspected, maintained and stored.</w:t>
            </w:r>
          </w:p>
        </w:tc>
      </w:tr>
    </w:tbl>
    <w:p w:rsidR="00E74B6C" w:rsidP="004B7212">
      <w:pPr>
        <w:pStyle w:val="BodyText"/>
      </w:pPr>
    </w:p>
    <w:p w:rsidR="00E74B6C" w:rsidP="004B7212">
      <w:pPr>
        <w:pStyle w:val="BodyText"/>
      </w:pPr>
    </w:p>
    <w:p w:rsidR="00000000" w:rsidRPr="004B7212" w:rsidP="004B7212">
      <w:pPr>
        <w:pStyle w:val="Heading1"/>
      </w:pPr>
      <w:bookmarkStart w:id="9" w:name="O_258393"/>
      <w:bookmarkEnd w:id="9"/>
      <w:r w:rsidRPr="004B7212">
        <w:t>Required Skills and Knowledge</w:t>
      </w:r>
    </w:p>
    <w:tbl>
      <w:tblPr>
        <w:tblW w:w="0" w:type="auto"/>
        <w:tblLayout w:type="fixed"/>
        <w:tblCellMar>
          <w:left w:w="62" w:type="dxa"/>
          <w:right w:w="62" w:type="dxa"/>
        </w:tblCellMar>
        <w:tblLook w:val="0000"/>
      </w:tblPr>
      <w:tblGrid>
        <w:gridCol w:w="8522"/>
      </w:tblGrid>
      <w:tr w:rsidTr="00E74B6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SpecialBold"/>
              </w:rPr>
              <w:t>REQUIRED SKILLS AND KNOWLEDGE</w:t>
            </w:r>
          </w:p>
        </w:tc>
      </w:tr>
      <w:tr w:rsidTr="00E74B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t>This section describes the skills and knowledge required for this unit.</w:t>
            </w:r>
          </w:p>
        </w:tc>
      </w:tr>
      <w:tr w:rsidTr="00E74B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SpecialBold"/>
              </w:rPr>
              <w:t>Required skills</w:t>
            </w:r>
          </w:p>
        </w:tc>
      </w:tr>
      <w:tr w:rsidTr="00E74B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B7212" w:rsidP="004B7212">
            <w:pPr>
              <w:pStyle w:val="BodyText"/>
            </w:pPr>
            <w:r w:rsidRPr="004B7212">
              <w:t>Required skills for this unit are:</w:t>
            </w:r>
          </w:p>
          <w:p w:rsidR="00000000" w:rsidRPr="004B7212" w:rsidP="004B7212">
            <w:pPr>
              <w:pStyle w:val="ListBullet"/>
            </w:pPr>
            <w:r w:rsidRPr="004B7212">
              <w:t>ability to recognise procedures, respond to change and contribute to workplace responsibilities, such as current work site environmental or sustainability frameworks or management systems</w:t>
            </w:r>
          </w:p>
          <w:p w:rsidR="00000000" w:rsidRPr="004B7212" w:rsidP="004B7212">
            <w:pPr>
              <w:pStyle w:val="ListBullet"/>
            </w:pPr>
            <w:r w:rsidRPr="004B7212">
              <w:t>communication skills to:</w:t>
            </w:r>
          </w:p>
          <w:p w:rsidR="00000000" w:rsidRPr="004B7212" w:rsidP="004B7212">
            <w:pPr>
              <w:pStyle w:val="ListBullet2"/>
            </w:pPr>
            <w:r w:rsidRPr="004B7212">
              <w:t>enable clear and direct communication, using questioning to identify and confirm requirements, share information, listen and understand</w:t>
            </w:r>
          </w:p>
          <w:p w:rsidR="00000000" w:rsidRPr="004B7212" w:rsidP="004B7212">
            <w:pPr>
              <w:pStyle w:val="ListBullet2"/>
            </w:pPr>
            <w:r w:rsidRPr="004B7212">
              <w:t>follow instructions</w:t>
            </w:r>
          </w:p>
          <w:p w:rsidR="00000000" w:rsidRPr="004B7212" w:rsidP="004B7212">
            <w:pPr>
              <w:pStyle w:val="ListBullet2"/>
            </w:pPr>
            <w:r w:rsidRPr="004B7212">
              <w:t>read and interpret drawings and specifications</w:t>
            </w:r>
          </w:p>
          <w:p w:rsidR="00000000" w:rsidRPr="004B7212" w:rsidP="004B7212">
            <w:pPr>
              <w:pStyle w:val="ListBullet2"/>
            </w:pPr>
            <w:r w:rsidRPr="004B7212">
              <w:t>use and interpret non-verbal communication</w:t>
            </w:r>
          </w:p>
          <w:p w:rsidR="00000000" w:rsidRPr="004B7212" w:rsidP="004B7212">
            <w:pPr>
              <w:pStyle w:val="ListBullet2"/>
            </w:pPr>
            <w:r w:rsidRPr="004B7212">
              <w:t>use langua</w:t>
            </w:r>
            <w:r w:rsidRPr="004B7212">
              <w:t>ge and concepts appropriate to cultural differences</w:t>
            </w:r>
          </w:p>
          <w:p w:rsidR="00000000" w:rsidRPr="004B7212" w:rsidP="004B7212">
            <w:pPr>
              <w:pStyle w:val="ListBullet"/>
            </w:pPr>
            <w:r w:rsidRPr="004B7212">
              <w:t>innovation skills to select appropriate tools and equipment, respond to workplace challenges and put ideas into action</w:t>
            </w:r>
          </w:p>
          <w:p w:rsidR="00000000" w:rsidRPr="004B7212" w:rsidP="004B7212">
            <w:pPr>
              <w:pStyle w:val="ListBullet"/>
            </w:pPr>
            <w:r w:rsidRPr="004B7212">
              <w:t>numeracy skills to apply measurements and calculations</w:t>
            </w:r>
          </w:p>
          <w:p w:rsidR="00000000" w:rsidRPr="004B7212" w:rsidP="004B7212">
            <w:pPr>
              <w:pStyle w:val="ListBullet"/>
            </w:pPr>
            <w:r w:rsidRPr="004B7212">
              <w:t>planning and organisational s</w:t>
            </w:r>
            <w:r w:rsidRPr="004B7212">
              <w:t>kills to identify requirements, apply relevant resources and sequence tasks</w:t>
            </w:r>
          </w:p>
          <w:p w:rsidR="00000000" w:rsidRPr="004B7212" w:rsidP="004B7212">
            <w:pPr>
              <w:pStyle w:val="ListBullet"/>
            </w:pPr>
            <w:r w:rsidRPr="004B7212">
              <w:t>problem solving skills to recognise and take action to rectify minor faults and problems</w:t>
            </w:r>
          </w:p>
          <w:p w:rsidR="00000000" w:rsidP="004B7212">
            <w:pPr>
              <w:pStyle w:val="ListBullet"/>
              <w:rPr>
                <w:lang w:val="en-NZ"/>
              </w:rPr>
            </w:pPr>
            <w:r w:rsidRPr="004B7212">
              <w:t xml:space="preserve">teamwork skills to be able to work with others to action tasks and relate to people from a </w:t>
            </w:r>
            <w:r w:rsidRPr="004B7212">
              <w:t>range of cultural, social, ethnic backgrounds and with varying physical and mental abilities.</w:t>
            </w:r>
          </w:p>
        </w:tc>
      </w:tr>
      <w:tr w:rsidTr="00E74B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SpecialBold"/>
              </w:rPr>
              <w:t>Required knowledge</w:t>
            </w:r>
          </w:p>
        </w:tc>
      </w:tr>
      <w:tr w:rsidTr="00E74B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B7212" w:rsidP="004B7212">
            <w:pPr>
              <w:pStyle w:val="BodyText"/>
            </w:pPr>
            <w:r w:rsidRPr="004B7212">
              <w:t>Required knowledge for this unit is:</w:t>
            </w:r>
          </w:p>
          <w:p w:rsidR="00000000" w:rsidRPr="004B7212" w:rsidP="004B7212">
            <w:pPr>
              <w:pStyle w:val="ListBullet"/>
            </w:pPr>
            <w:r w:rsidRPr="004B7212">
              <w:t>Building Code of Australia (BCA) and AS3850 Tilt up concrete construction</w:t>
            </w:r>
          </w:p>
          <w:p w:rsidR="00000000" w:rsidRPr="004B7212" w:rsidP="004B7212">
            <w:pPr>
              <w:pStyle w:val="ListBullet"/>
            </w:pPr>
            <w:r w:rsidRPr="004B7212">
              <w:t>interpretation of drawings and specifications</w:t>
            </w:r>
          </w:p>
          <w:p w:rsidR="00000000" w:rsidRPr="004B7212" w:rsidP="004B7212">
            <w:pPr>
              <w:pStyle w:val="ListBullet"/>
            </w:pPr>
            <w:r w:rsidRPr="004B7212">
              <w:t>job safety analysis (JSA) and safe work method statements</w:t>
            </w:r>
          </w:p>
          <w:p w:rsidR="00000000" w:rsidRPr="004B7212" w:rsidP="004B7212">
            <w:pPr>
              <w:pStyle w:val="ListBullet"/>
            </w:pPr>
            <w:r w:rsidRPr="004B7212">
              <w:t>measuring, levelling and calculation techniques for stonemasonry work</w:t>
            </w:r>
          </w:p>
          <w:p w:rsidR="00000000" w:rsidRPr="004B7212" w:rsidP="004B7212">
            <w:pPr>
              <w:pStyle w:val="ListBullet"/>
            </w:pPr>
            <w:r w:rsidRPr="004B7212">
              <w:t>methods of fixing stone to structures</w:t>
            </w:r>
          </w:p>
          <w:p w:rsidR="00000000" w:rsidRPr="004B7212" w:rsidP="004B7212">
            <w:pPr>
              <w:pStyle w:val="ListBullet"/>
            </w:pPr>
            <w:r w:rsidRPr="004B7212">
              <w:t>safe use of scaffolding</w:t>
            </w:r>
          </w:p>
          <w:p w:rsidR="00000000" w:rsidRPr="004B7212" w:rsidP="004B7212">
            <w:pPr>
              <w:pStyle w:val="ListBullet"/>
            </w:pPr>
            <w:r w:rsidRPr="004B7212">
              <w:t>types and safe use o</w:t>
            </w:r>
            <w:r w:rsidRPr="004B7212">
              <w:t>f lifting equipment</w:t>
            </w:r>
          </w:p>
          <w:p w:rsidR="00000000" w:rsidRPr="004B7212" w:rsidP="004B7212">
            <w:pPr>
              <w:pStyle w:val="ListBullet"/>
            </w:pPr>
            <w:r w:rsidRPr="004B7212">
              <w:t>types of stone and their characteristics</w:t>
            </w:r>
          </w:p>
          <w:p w:rsidR="00000000" w:rsidRPr="004B7212" w:rsidP="004B7212">
            <w:pPr>
              <w:pStyle w:val="ListBullet"/>
            </w:pPr>
            <w:r w:rsidRPr="004B7212">
              <w:t>workplace and equipment safety requirements.</w:t>
            </w:r>
          </w:p>
        </w:tc>
      </w:tr>
    </w:tbl>
    <w:p w:rsidR="00E74B6C" w:rsidP="004B7212">
      <w:pPr>
        <w:pStyle w:val="BodyText"/>
      </w:pPr>
    </w:p>
    <w:p w:rsidR="00E74B6C" w:rsidP="004B7212">
      <w:pPr>
        <w:pStyle w:val="BodyText"/>
      </w:pPr>
    </w:p>
    <w:p w:rsidR="00000000" w:rsidRPr="004B7212" w:rsidP="004B7212">
      <w:pPr>
        <w:pStyle w:val="AllowPageBreak"/>
      </w:pPr>
    </w:p>
    <w:p w:rsidR="00000000" w:rsidRPr="004B7212" w:rsidP="004B7212">
      <w:pPr>
        <w:pStyle w:val="Heading1"/>
      </w:pPr>
      <w:bookmarkStart w:id="10" w:name="O_242427"/>
      <w:bookmarkEnd w:id="10"/>
      <w:r w:rsidRPr="004B7212">
        <w:t>Evidence Guide</w:t>
      </w:r>
    </w:p>
    <w:tbl>
      <w:tblPr>
        <w:tblW w:w="0" w:type="auto"/>
        <w:tblLayout w:type="fixed"/>
        <w:tblCellMar>
          <w:left w:w="62" w:type="dxa"/>
          <w:right w:w="62" w:type="dxa"/>
        </w:tblCellMar>
        <w:tblLook w:val="0000"/>
      </w:tblPr>
      <w:tblGrid>
        <w:gridCol w:w="3508"/>
        <w:gridCol w:w="5014"/>
      </w:tblGrid>
      <w:tr w:rsidTr="00E74B6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B7212">
            <w:pPr>
              <w:pStyle w:val="BodyText"/>
              <w:rPr>
                <w:lang w:val="en-NZ"/>
              </w:rPr>
            </w:pPr>
            <w:r w:rsidRPr="004B7212">
              <w:rPr>
                <w:rStyle w:val="SpecialBold"/>
              </w:rPr>
              <w:t>EVIDENCE GUIDE</w:t>
            </w:r>
          </w:p>
        </w:tc>
      </w:tr>
      <w:tr w:rsidTr="00E74B6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B7212">
            <w:pPr>
              <w:pStyle w:val="BodyText"/>
              <w:rPr>
                <w:lang w:val="en-NZ"/>
              </w:rPr>
            </w:pPr>
            <w:r w:rsidRPr="004B7212">
              <w:t>The evidence guide provides advice on assessment and must be read in conjunction with the performance criteria, required skills and knowledge, range statement and the Assessment Guidelines for the Training Package.</w:t>
            </w:r>
          </w:p>
        </w:tc>
      </w:tr>
      <w:tr w:rsidTr="00E74B6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t>This unit of competency could be assessed in the workplace or a close simulation of the workplace environment, provided that simulated or project-based assessment techniques fully replicate construction workplace conditions, materials, activities, responsi</w:t>
            </w:r>
            <w:r w:rsidRPr="004B7212">
              <w:t xml:space="preserve">bilities and procedures. </w:t>
            </w:r>
          </w:p>
        </w:tc>
      </w:tr>
      <w:tr w:rsidTr="00E74B6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4B7212" w:rsidP="004B7212">
            <w:pPr>
              <w:pStyle w:val="BodyText"/>
            </w:pPr>
            <w:r w:rsidRPr="004B7212">
              <w:t xml:space="preserve">A person who demonstrates competency in this unit must be able to set and anchor a stone facade to at least one of the structural types </w:t>
            </w:r>
            <w:r w:rsidRPr="004B7212">
              <w:t>listed in the range statement, providing evidence of the ability to:</w:t>
            </w:r>
          </w:p>
          <w:p w:rsidR="00000000" w:rsidRPr="004B7212" w:rsidP="004B7212">
            <w:pPr>
              <w:pStyle w:val="ListBullet"/>
            </w:pPr>
            <w:r w:rsidRPr="004B7212">
              <w:t>comply with OHS regulations applicable to workplace operations</w:t>
            </w:r>
          </w:p>
          <w:p w:rsidR="00000000" w:rsidRPr="004B7212" w:rsidP="004B7212">
            <w:pPr>
              <w:pStyle w:val="ListBullet"/>
            </w:pPr>
            <w:r w:rsidRPr="004B7212">
              <w:t>comply with organisational policies and procedures</w:t>
            </w:r>
          </w:p>
          <w:p w:rsidR="00000000" w:rsidRPr="004B7212" w:rsidP="004B7212">
            <w:pPr>
              <w:pStyle w:val="ListBullet"/>
            </w:pPr>
            <w:r w:rsidRPr="004B7212">
              <w:t>select and use appropriate processes, tools and equipment to carry out tasks</w:t>
            </w:r>
          </w:p>
          <w:p w:rsidR="00000000" w:rsidRPr="004B7212" w:rsidP="004B7212">
            <w:pPr>
              <w:pStyle w:val="ListBullet"/>
            </w:pPr>
            <w:r w:rsidRPr="004B7212">
              <w:t>apply organisational quality procedures and processes within the context of setting and anchoring stone facades</w:t>
            </w:r>
          </w:p>
          <w:p w:rsidR="00000000" w:rsidRPr="004B7212" w:rsidP="004B7212">
            <w:pPr>
              <w:pStyle w:val="ListBullet"/>
            </w:pPr>
            <w:r w:rsidRPr="004B7212">
              <w:t>demonstrate sound techniques in dressing hard and soft stone</w:t>
            </w:r>
          </w:p>
          <w:p w:rsidR="00000000" w:rsidRPr="004B7212" w:rsidP="004B7212">
            <w:pPr>
              <w:pStyle w:val="ListBullet"/>
            </w:pPr>
            <w:r w:rsidRPr="004B7212">
              <w:t>select</w:t>
            </w:r>
            <w:r w:rsidRPr="004B7212">
              <w:t xml:space="preserve"> stone consistent with specification for material and colour</w:t>
            </w:r>
          </w:p>
          <w:p w:rsidR="00000000" w:rsidRPr="004B7212" w:rsidP="004B7212">
            <w:pPr>
              <w:pStyle w:val="ListBullet"/>
            </w:pPr>
            <w:r w:rsidRPr="004B7212">
              <w:t>accurately set out and install fixing brackets</w:t>
            </w:r>
          </w:p>
          <w:p w:rsidR="00000000" w:rsidRPr="004B7212" w:rsidP="004B7212">
            <w:pPr>
              <w:pStyle w:val="ListBullet"/>
            </w:pPr>
            <w:r w:rsidRPr="004B7212">
              <w:t>demonstrate safe handling practices in moving and placing stone</w:t>
            </w:r>
          </w:p>
          <w:p w:rsidR="00000000" w:rsidRPr="004B7212" w:rsidP="004B7212">
            <w:pPr>
              <w:pStyle w:val="ListBullet"/>
            </w:pPr>
            <w:r w:rsidRPr="004B7212">
              <w:t>fix stone to position and structure</w:t>
            </w:r>
          </w:p>
          <w:p w:rsidR="00000000" w:rsidRPr="004B7212" w:rsidP="004B7212">
            <w:pPr>
              <w:pStyle w:val="ListBullet"/>
            </w:pPr>
            <w:r w:rsidRPr="004B7212">
              <w:t>fix stone to line, level and plumb with clamps s</w:t>
            </w:r>
            <w:r w:rsidRPr="004B7212">
              <w:t>ecuring components</w:t>
            </w:r>
          </w:p>
          <w:p w:rsidR="00000000" w:rsidRPr="004B7212" w:rsidP="004B7212">
            <w:pPr>
              <w:pStyle w:val="ListBullet"/>
            </w:pPr>
            <w:r w:rsidRPr="004B7212">
              <w:t>identify typical faults and problems that occur and action required to rectify them</w:t>
            </w:r>
          </w:p>
          <w:p w:rsidR="00000000" w:rsidRPr="004B7212" w:rsidP="004B7212">
            <w:pPr>
              <w:pStyle w:val="ListBullet"/>
            </w:pPr>
            <w:r w:rsidRPr="004B7212">
              <w:t>communicate with others to ensure safe and effective workplace operations</w:t>
            </w:r>
          </w:p>
          <w:p w:rsidR="00000000" w:rsidP="004B7212">
            <w:pPr>
              <w:pStyle w:val="ListBullet"/>
              <w:rPr>
                <w:lang w:val="en-NZ"/>
              </w:rPr>
            </w:pPr>
            <w:r w:rsidRPr="004B7212">
              <w:t>complete stone facade to specification.</w:t>
            </w:r>
          </w:p>
        </w:tc>
      </w:tr>
      <w:tr w:rsidTr="00E74B6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SpecialBold"/>
              </w:rPr>
              <w:t xml:space="preserve">Context of and specific resources for </w:t>
            </w:r>
            <w:r w:rsidRPr="004B7212">
              <w:rPr>
                <w:rStyle w:val="SpecialBold"/>
              </w:rPr>
              <w:t>assessment</w:t>
            </w:r>
          </w:p>
        </w:tc>
        <w:tc>
          <w:tcPr>
            <w:tcW w:w="5014" w:type="dxa"/>
            <w:tcBorders>
              <w:top w:val="nil"/>
              <w:left w:val="nil"/>
              <w:bottom w:val="nil"/>
              <w:right w:val="nil"/>
            </w:tcBorders>
            <w:tcMar>
              <w:top w:w="0" w:type="dxa"/>
              <w:left w:w="62" w:type="dxa"/>
              <w:bottom w:w="0" w:type="dxa"/>
              <w:right w:w="62" w:type="dxa"/>
            </w:tcMar>
          </w:tcPr>
          <w:p w:rsidR="00000000" w:rsidRPr="004B7212" w:rsidP="004B7212">
            <w:pPr>
              <w:pStyle w:val="BodyText"/>
            </w:pPr>
            <w:r w:rsidRPr="004B7212">
              <w:t>This competency is to be assessed using standard and authorised work practices, safety requirements and environmental constraints.</w:t>
            </w:r>
          </w:p>
          <w:p w:rsidR="00000000" w:rsidRPr="004B7212" w:rsidP="004B7212">
            <w:pPr>
              <w:pStyle w:val="BodyText"/>
            </w:pPr>
            <w:r w:rsidRPr="004B7212">
              <w:t>Assessment of essential underpinning knowledge will usually be conducted in an off-site context.</w:t>
            </w:r>
          </w:p>
          <w:p w:rsidR="00000000" w:rsidRPr="004B7212" w:rsidP="004B7212">
            <w:pPr>
              <w:pStyle w:val="BodyText"/>
            </w:pPr>
            <w:r w:rsidRPr="004B7212">
              <w:t>Assessment is to comply with relevant regulatory or Australian standards' requirements.</w:t>
            </w:r>
          </w:p>
          <w:p w:rsidR="00000000" w:rsidRPr="004B7212" w:rsidP="004B7212">
            <w:pPr>
              <w:pStyle w:val="BodyText"/>
            </w:pPr>
            <w:r w:rsidRPr="004B7212">
              <w:t>Resource implications for assessment include:</w:t>
            </w:r>
          </w:p>
          <w:p w:rsidR="00000000" w:rsidRPr="004B7212" w:rsidP="004B7212">
            <w:pPr>
              <w:pStyle w:val="ListBullet"/>
            </w:pPr>
            <w:r w:rsidRPr="004B7212">
              <w:t>work location for installation of stone</w:t>
            </w:r>
          </w:p>
          <w:p w:rsidR="00000000" w:rsidRPr="004B7212" w:rsidP="004B7212">
            <w:pPr>
              <w:pStyle w:val="ListBullet"/>
            </w:pPr>
            <w:r w:rsidRPr="004B7212">
              <w:t>tools, plant and equipment appropriate to installation processes</w:t>
            </w:r>
          </w:p>
          <w:p w:rsidR="00000000" w:rsidRPr="004B7212" w:rsidP="004B7212">
            <w:pPr>
              <w:pStyle w:val="ListBullet"/>
            </w:pPr>
            <w:r w:rsidRPr="004B7212">
              <w:t>construction mat</w:t>
            </w:r>
            <w:r w:rsidRPr="004B7212">
              <w:t>erials relevant to proposed activity</w:t>
            </w:r>
          </w:p>
          <w:p w:rsidR="00000000" w:rsidRPr="004B7212" w:rsidP="004B7212">
            <w:pPr>
              <w:pStyle w:val="ListBullet"/>
            </w:pPr>
            <w:r w:rsidRPr="004B7212">
              <w:t>appropriate documentation relevant to task.</w:t>
            </w:r>
          </w:p>
          <w:p w:rsidR="00000000" w:rsidP="004B7212">
            <w:pPr>
              <w:pStyle w:val="BodyText"/>
              <w:rPr>
                <w:lang w:val="en-NZ"/>
              </w:rPr>
            </w:pPr>
            <w:r w:rsidRPr="004B7212">
              <w:t>Reasonable adjustments for people with disabilities must be made to assessment processes where required. This could include access to modified equipment and other physical res</w:t>
            </w:r>
            <w:r w:rsidRPr="004B7212">
              <w:t xml:space="preserve">ources, and the provision of appropriate assessment support. </w:t>
            </w:r>
          </w:p>
        </w:tc>
      </w:tr>
      <w:tr w:rsidTr="00E74B6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4B7212" w:rsidP="004B7212">
            <w:pPr>
              <w:pStyle w:val="BodyText"/>
            </w:pPr>
            <w:r w:rsidRPr="004B7212">
              <w:t>Assessment methods must:</w:t>
            </w:r>
          </w:p>
          <w:p w:rsidR="00000000" w:rsidRPr="004B7212" w:rsidP="004B7212">
            <w:pPr>
              <w:pStyle w:val="ListBullet"/>
            </w:pPr>
            <w:r w:rsidRPr="004B7212">
              <w:t>satisfy the endorsed Assessment Guidelines of the Construction, Plumbing and Services Training Package</w:t>
            </w:r>
          </w:p>
          <w:p w:rsidR="00000000" w:rsidRPr="004B7212" w:rsidP="004B7212">
            <w:pPr>
              <w:pStyle w:val="ListBullet"/>
            </w:pPr>
            <w:r w:rsidRPr="004B7212">
              <w:t>include direct observation of tasks in real</w:t>
            </w:r>
            <w:r w:rsidRPr="004B7212">
              <w:t xml:space="preserve"> or simulated work conditions, with questioning to confirm the ability to consistently identify and correctly interpret the essential underpinning knowledge required for practical application</w:t>
            </w:r>
          </w:p>
          <w:p w:rsidR="00000000" w:rsidRPr="004B7212" w:rsidP="004B7212">
            <w:pPr>
              <w:pStyle w:val="ListBullet"/>
            </w:pPr>
            <w:r w:rsidRPr="004B7212">
              <w:t>reinforce the integration of employability skills with workplace</w:t>
            </w:r>
            <w:r w:rsidRPr="004B7212">
              <w:t xml:space="preserve"> tasks and job roles</w:t>
            </w:r>
          </w:p>
          <w:p w:rsidR="00000000" w:rsidRPr="004B7212" w:rsidP="004B7212">
            <w:pPr>
              <w:pStyle w:val="ListBullet"/>
            </w:pPr>
            <w:r w:rsidRPr="004B7212">
              <w:t>confirm a reasonable inference that competency is not only verified under the particular assessment circumstance, but is able to be transferred to other circumstances and environments.</w:t>
            </w:r>
          </w:p>
          <w:p w:rsidR="00000000" w:rsidRPr="004B7212" w:rsidP="004B7212">
            <w:pPr>
              <w:pStyle w:val="BodyText"/>
            </w:pPr>
            <w:r w:rsidRPr="004B7212">
              <w:t>Validity and sufficiency of evidence requires that:</w:t>
            </w:r>
          </w:p>
          <w:p w:rsidR="00000000" w:rsidRPr="004B7212" w:rsidP="004B7212">
            <w:pPr>
              <w:pStyle w:val="ListBullet"/>
            </w:pPr>
            <w:r w:rsidRPr="004B7212">
              <w:t>competency will need to be demonstrated over a period of time reflecting the scope of the role and practical requirements of the workplace</w:t>
            </w:r>
          </w:p>
          <w:p w:rsidR="00000000" w:rsidRPr="004B7212" w:rsidP="004B7212">
            <w:pPr>
              <w:pStyle w:val="ListBullet"/>
            </w:pPr>
            <w:r w:rsidRPr="004B7212">
              <w:t>where the assessment is part of a structured learning experience</w:t>
            </w:r>
            <w:r w:rsidRPr="004B7212">
              <w:t xml:space="preserve"> the evidence collected must relate to a number of performances assessed at different points in time and separated by further learning and practice with a decision on competency only taken at the point when the assessor has complete confidence in the perso</w:t>
            </w:r>
            <w:r w:rsidRPr="004B7212">
              <w:t>n's demonstrated ability and applied knowledge</w:t>
            </w:r>
          </w:p>
          <w:p w:rsidR="00000000" w:rsidRPr="004B7212" w:rsidP="004B7212">
            <w:pPr>
              <w:pStyle w:val="ListBullet"/>
            </w:pPr>
            <w:r w:rsidRPr="004B7212">
              <w:t>all assessment that is part of a structured learning experience must include a combination of direct, indirect and supplementary evidence.</w:t>
            </w:r>
          </w:p>
          <w:p w:rsidR="00000000" w:rsidRPr="004B7212" w:rsidP="004B7212">
            <w:pPr>
              <w:pStyle w:val="BodyText"/>
            </w:pPr>
            <w:r w:rsidRPr="004B7212">
              <w:t>Assessment processes and techniques should, as far as is practical, ta</w:t>
            </w:r>
            <w:r w:rsidRPr="004B7212">
              <w:t>ke into account the language, literacy and numeracy capacity of the candidate in relation to the competency being assessed.</w:t>
            </w:r>
          </w:p>
          <w:p w:rsidR="00000000" w:rsidRPr="004B7212" w:rsidP="004B7212">
            <w:pPr>
              <w:pStyle w:val="BodyText"/>
            </w:pPr>
            <w:r w:rsidRPr="004B7212">
              <w:t xml:space="preserve">Supplementary evidence of competency may be obtained from relevant authenticated documentation from third parties, such as existing </w:t>
            </w:r>
            <w:r w:rsidRPr="004B7212">
              <w:t xml:space="preserve">supervisors, team leaders or specialist training staff. </w:t>
            </w:r>
          </w:p>
        </w:tc>
      </w:tr>
    </w:tbl>
    <w:p w:rsidR="00E74B6C" w:rsidP="004B7212">
      <w:pPr>
        <w:pStyle w:val="BodyText"/>
      </w:pPr>
    </w:p>
    <w:p w:rsidR="00E74B6C" w:rsidP="004B7212">
      <w:pPr>
        <w:pStyle w:val="BodyText"/>
      </w:pPr>
    </w:p>
    <w:p w:rsidR="00000000" w:rsidRPr="004B7212" w:rsidP="004B7212">
      <w:pPr>
        <w:pStyle w:val="Heading1"/>
      </w:pPr>
      <w:bookmarkStart w:id="11" w:name="O_250410"/>
      <w:bookmarkEnd w:id="11"/>
      <w:r w:rsidRPr="004B7212">
        <w:t>Range Statement</w:t>
      </w:r>
    </w:p>
    <w:tbl>
      <w:tblPr>
        <w:tblW w:w="0" w:type="auto"/>
        <w:tblLayout w:type="fixed"/>
        <w:tblCellMar>
          <w:left w:w="62" w:type="dxa"/>
          <w:right w:w="62" w:type="dxa"/>
        </w:tblCellMar>
        <w:tblLook w:val="0000"/>
      </w:tblPr>
      <w:tblGrid>
        <w:gridCol w:w="3503"/>
        <w:gridCol w:w="5019"/>
      </w:tblGrid>
      <w:tr w:rsidTr="00E74B6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B7212">
            <w:pPr>
              <w:pStyle w:val="BodyText"/>
              <w:rPr>
                <w:lang w:val="en-NZ"/>
              </w:rPr>
            </w:pPr>
            <w:r w:rsidRPr="004B7212">
              <w:rPr>
                <w:rStyle w:val="SpecialBold"/>
              </w:rPr>
              <w:t>RANGE STATEMENT</w:t>
            </w:r>
          </w:p>
        </w:tc>
      </w:tr>
      <w:tr w:rsidTr="00E74B6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B7212">
            <w:pPr>
              <w:pStyle w:val="BodyText"/>
              <w:rPr>
                <w:lang w:val="en-NZ"/>
              </w:rPr>
            </w:pPr>
            <w:r w:rsidRPr="004B7212">
              <w:t xml:space="preserve">The range statement relates to the unit of competency as a whole. It allows for different work environments and situations that may affect </w:t>
            </w:r>
            <w:r w:rsidRPr="004B7212">
              <w:t>performance. Bold italicised wording, if used in the performance criteria, is detailed below. Essential operating conditions that may be present with training and assessment (depending on the work situation, needs of the candidate, accessibility of the ite</w:t>
            </w:r>
            <w:r w:rsidRPr="004B7212">
              <w:t>m, and local industry and regional contexts) may also be included.</w:t>
            </w:r>
          </w:p>
        </w:tc>
      </w:tr>
      <w:tr w:rsidTr="00E74B6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BoldandItalics"/>
              </w:rPr>
              <w:t>Information</w:t>
            </w:r>
            <w:r w:rsidRPr="004B7212">
              <w:t xml:space="preserve"> includes:</w:t>
            </w:r>
          </w:p>
        </w:tc>
        <w:tc>
          <w:tcPr>
            <w:tcW w:w="5019" w:type="dxa"/>
            <w:tcBorders>
              <w:top w:val="nil"/>
              <w:left w:val="nil"/>
              <w:bottom w:val="nil"/>
              <w:right w:val="nil"/>
            </w:tcBorders>
            <w:tcMar>
              <w:top w:w="0" w:type="dxa"/>
              <w:left w:w="62" w:type="dxa"/>
              <w:bottom w:w="0" w:type="dxa"/>
              <w:right w:w="62" w:type="dxa"/>
            </w:tcMar>
          </w:tcPr>
          <w:p w:rsidR="00000000" w:rsidRPr="004B7212" w:rsidP="004B7212">
            <w:pPr>
              <w:pStyle w:val="ListBullet"/>
            </w:pPr>
            <w:r w:rsidRPr="004B7212">
              <w:t>diagrams or sketches</w:t>
            </w:r>
          </w:p>
          <w:p w:rsidR="00000000" w:rsidRPr="004B7212" w:rsidP="004B7212">
            <w:pPr>
              <w:pStyle w:val="ListBullet"/>
            </w:pPr>
            <w:r w:rsidRPr="004B7212">
              <w:t>instructions issued by authorised organisational or external personnel</w:t>
            </w:r>
          </w:p>
          <w:p w:rsidR="00000000" w:rsidRPr="004B7212" w:rsidP="004B7212">
            <w:pPr>
              <w:pStyle w:val="ListBullet"/>
            </w:pPr>
            <w:r w:rsidRPr="004B7212">
              <w:t>manufacturer specifications and instructions, where specified</w:t>
            </w:r>
          </w:p>
          <w:p w:rsidR="00000000" w:rsidRPr="004B7212" w:rsidP="004B7212">
            <w:pPr>
              <w:pStyle w:val="ListBullet"/>
            </w:pPr>
            <w:r w:rsidRPr="004B7212">
              <w:t>material safety data sheets (MSDS)</w:t>
            </w:r>
          </w:p>
          <w:p w:rsidR="00000000" w:rsidRPr="004B7212" w:rsidP="004B7212">
            <w:pPr>
              <w:pStyle w:val="ListBullet"/>
            </w:pPr>
            <w:r w:rsidRPr="004B7212">
              <w:t>memos</w:t>
            </w:r>
          </w:p>
          <w:p w:rsidR="00000000" w:rsidRPr="004B7212" w:rsidP="004B7212">
            <w:pPr>
              <w:pStyle w:val="ListBullet"/>
            </w:pPr>
            <w:r w:rsidRPr="004B7212">
              <w:t>regulatory and legislative requirements pertaining to handling stone</w:t>
            </w:r>
          </w:p>
          <w:p w:rsidR="00000000" w:rsidRPr="004B7212" w:rsidP="004B7212">
            <w:pPr>
              <w:pStyle w:val="ListBullet"/>
            </w:pPr>
            <w:r w:rsidRPr="004B7212">
              <w:t>relevant Australian standards</w:t>
            </w:r>
          </w:p>
          <w:p w:rsidR="00000000" w:rsidRPr="004B7212" w:rsidP="004B7212">
            <w:pPr>
              <w:pStyle w:val="ListBullet"/>
            </w:pPr>
            <w:r w:rsidRPr="004B7212">
              <w:t>safe work procedures relating to handling stone</w:t>
            </w:r>
          </w:p>
          <w:p w:rsidR="00000000" w:rsidRPr="004B7212" w:rsidP="004B7212">
            <w:pPr>
              <w:pStyle w:val="ListBullet"/>
            </w:pPr>
            <w:r w:rsidRPr="004B7212">
              <w:t>signage</w:t>
            </w:r>
          </w:p>
          <w:p w:rsidR="00000000" w:rsidRPr="004B7212" w:rsidP="004B7212">
            <w:pPr>
              <w:pStyle w:val="ListBullet"/>
            </w:pPr>
            <w:r w:rsidRPr="004B7212">
              <w:t>verbal, written and graphical instructions</w:t>
            </w:r>
          </w:p>
          <w:p w:rsidR="00000000" w:rsidRPr="004B7212" w:rsidP="004B7212">
            <w:pPr>
              <w:pStyle w:val="ListBullet"/>
            </w:pPr>
            <w:r w:rsidRPr="004B7212">
              <w:t>work bulletins</w:t>
            </w:r>
          </w:p>
          <w:p w:rsidR="00000000" w:rsidP="004B7212">
            <w:pPr>
              <w:pStyle w:val="ListBullet"/>
              <w:rPr>
                <w:lang w:val="en-NZ"/>
              </w:rPr>
            </w:pPr>
            <w:r w:rsidRPr="004B7212">
              <w:t>wo</w:t>
            </w:r>
            <w:r w:rsidRPr="004B7212">
              <w:t>rk schedules, plans and specifications.</w:t>
            </w:r>
          </w:p>
        </w:tc>
      </w:tr>
      <w:tr w:rsidTr="00E74B6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BoldandItalics"/>
              </w:rPr>
              <w:t>Planning and preparation</w:t>
            </w:r>
            <w:r w:rsidRPr="004B7212">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4B7212" w:rsidP="004B7212">
            <w:pPr>
              <w:pStyle w:val="ListBullet"/>
            </w:pPr>
            <w:r w:rsidRPr="004B7212">
              <w:t>assessment of conditions and hazards</w:t>
            </w:r>
          </w:p>
          <w:p w:rsidR="00000000" w:rsidRPr="004B7212" w:rsidP="004B7212">
            <w:pPr>
              <w:pStyle w:val="ListBullet"/>
            </w:pPr>
            <w:r w:rsidRPr="004B7212">
              <w:t>determination of work requirements and safety plans and policies</w:t>
            </w:r>
          </w:p>
          <w:p w:rsidR="00000000" w:rsidRPr="004B7212" w:rsidP="004B7212">
            <w:pPr>
              <w:pStyle w:val="ListBullet"/>
            </w:pPr>
            <w:r w:rsidRPr="004B7212">
              <w:t>equipment defect identification</w:t>
            </w:r>
          </w:p>
          <w:p w:rsidR="00000000" w:rsidP="004B7212">
            <w:pPr>
              <w:pStyle w:val="ListBullet"/>
              <w:rPr>
                <w:lang w:val="en-NZ"/>
              </w:rPr>
            </w:pPr>
            <w:r w:rsidRPr="004B7212">
              <w:t>work site inspection.</w:t>
            </w:r>
          </w:p>
        </w:tc>
      </w:tr>
      <w:tr w:rsidTr="00E74B6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BoldandItalics"/>
              </w:rPr>
              <w:t>Safety</w:t>
            </w:r>
            <w:r w:rsidRPr="004B7212">
              <w:t xml:space="preserve"> (</w:t>
            </w:r>
            <w:r w:rsidRPr="004B7212">
              <w:rPr>
                <w:rStyle w:val="BoldandItalics"/>
              </w:rPr>
              <w:t>OHS</w:t>
            </w:r>
            <w:r w:rsidRPr="004B7212">
              <w:t xml:space="preserve">) is to </w:t>
            </w:r>
            <w:r w:rsidRPr="004B7212">
              <w:t>be in accordance with state and territory legislation and regulations and project safety plan and may include:</w:t>
            </w:r>
          </w:p>
        </w:tc>
        <w:tc>
          <w:tcPr>
            <w:tcW w:w="5019" w:type="dxa"/>
            <w:tcBorders>
              <w:top w:val="nil"/>
              <w:left w:val="nil"/>
              <w:bottom w:val="nil"/>
              <w:right w:val="nil"/>
            </w:tcBorders>
            <w:tcMar>
              <w:top w:w="0" w:type="dxa"/>
              <w:left w:w="62" w:type="dxa"/>
              <w:bottom w:w="0" w:type="dxa"/>
              <w:right w:w="62" w:type="dxa"/>
            </w:tcMar>
          </w:tcPr>
          <w:p w:rsidR="00000000" w:rsidRPr="004B7212" w:rsidP="004B7212">
            <w:pPr>
              <w:pStyle w:val="ListBullet"/>
            </w:pPr>
            <w:r w:rsidRPr="004B7212">
              <w:t>emergency procedures, including extinguishing fires, organisational first aid requirements and evacuation</w:t>
            </w:r>
          </w:p>
          <w:p w:rsidR="00000000" w:rsidRPr="004B7212" w:rsidP="004B7212">
            <w:pPr>
              <w:pStyle w:val="ListBullet"/>
            </w:pPr>
            <w:r w:rsidRPr="004B7212">
              <w:t>hazard control</w:t>
            </w:r>
          </w:p>
          <w:p w:rsidR="00000000" w:rsidRPr="004B7212" w:rsidP="004B7212">
            <w:pPr>
              <w:pStyle w:val="ListBullet"/>
            </w:pPr>
            <w:r w:rsidRPr="004B7212">
              <w:t>hazardous materials and</w:t>
            </w:r>
            <w:r w:rsidRPr="004B7212">
              <w:t xml:space="preserve"> substances</w:t>
            </w:r>
          </w:p>
          <w:p w:rsidR="00000000" w:rsidRPr="004B7212" w:rsidP="004B7212">
            <w:pPr>
              <w:pStyle w:val="ListBullet"/>
            </w:pPr>
            <w:r w:rsidRPr="004B7212">
              <w:t>organisational first aid</w:t>
            </w:r>
          </w:p>
          <w:p w:rsidR="00000000" w:rsidRPr="004B7212" w:rsidP="004B7212">
            <w:pPr>
              <w:pStyle w:val="ListBullet"/>
            </w:pPr>
            <w:r w:rsidRPr="004B7212">
              <w:t>PPE prescribed under legislation, regulations and workplace policies and practices</w:t>
            </w:r>
          </w:p>
          <w:p w:rsidR="00000000" w:rsidRPr="004B7212" w:rsidP="004B7212">
            <w:pPr>
              <w:pStyle w:val="ListBullet"/>
            </w:pPr>
            <w:r w:rsidRPr="004B7212">
              <w:t>safe operating procedures, including the conduct of operational risk assessment and treatments associated with:</w:t>
            </w:r>
          </w:p>
          <w:p w:rsidR="00000000" w:rsidRPr="004B7212" w:rsidP="004B7212">
            <w:pPr>
              <w:pStyle w:val="ListBullet2"/>
            </w:pPr>
            <w:r w:rsidRPr="004B7212">
              <w:t>concealed services (wat</w:t>
            </w:r>
            <w:r w:rsidRPr="004B7212">
              <w:t>er, power and gas)</w:t>
            </w:r>
          </w:p>
          <w:p w:rsidR="00000000" w:rsidRPr="004B7212" w:rsidP="004B7212">
            <w:pPr>
              <w:pStyle w:val="ListBullet2"/>
            </w:pPr>
            <w:r w:rsidRPr="004B7212">
              <w:t>lighting</w:t>
            </w:r>
          </w:p>
          <w:p w:rsidR="00000000" w:rsidRPr="004B7212" w:rsidP="004B7212">
            <w:pPr>
              <w:pStyle w:val="ListBullet2"/>
            </w:pPr>
            <w:r w:rsidRPr="004B7212">
              <w:t>restricted access barriers</w:t>
            </w:r>
          </w:p>
          <w:p w:rsidR="00000000" w:rsidRPr="004B7212" w:rsidP="004B7212">
            <w:pPr>
              <w:pStyle w:val="ListBullet2"/>
            </w:pPr>
            <w:r w:rsidRPr="004B7212">
              <w:t>traffic control</w:t>
            </w:r>
          </w:p>
          <w:p w:rsidR="00000000" w:rsidRPr="004B7212" w:rsidP="004B7212">
            <w:pPr>
              <w:pStyle w:val="ListBullet2"/>
            </w:pPr>
            <w:r w:rsidRPr="004B7212">
              <w:t>work site visitors and the public</w:t>
            </w:r>
          </w:p>
          <w:p w:rsidR="00000000" w:rsidRPr="004B7212" w:rsidP="004B7212">
            <w:pPr>
              <w:pStyle w:val="ListBullet2"/>
            </w:pPr>
            <w:r w:rsidRPr="004B7212">
              <w:t>working at heights</w:t>
            </w:r>
          </w:p>
          <w:p w:rsidR="00000000" w:rsidRPr="004B7212" w:rsidP="004B7212">
            <w:pPr>
              <w:pStyle w:val="ListBullet2"/>
            </w:pPr>
            <w:r w:rsidRPr="004B7212">
              <w:t>working in confined spaces</w:t>
            </w:r>
          </w:p>
          <w:p w:rsidR="00000000" w:rsidRPr="004B7212" w:rsidP="004B7212">
            <w:pPr>
              <w:pStyle w:val="ListBullet2"/>
            </w:pPr>
            <w:r w:rsidRPr="004B7212">
              <w:t>working in proximity to others</w:t>
            </w:r>
          </w:p>
          <w:p w:rsidR="00000000" w:rsidRPr="004B7212" w:rsidP="004B7212">
            <w:pPr>
              <w:pStyle w:val="ListBullet"/>
            </w:pPr>
            <w:r w:rsidRPr="004B7212">
              <w:t>use of firefighting equipment</w:t>
            </w:r>
          </w:p>
          <w:p w:rsidR="00000000" w:rsidRPr="004B7212" w:rsidP="004B7212">
            <w:pPr>
              <w:pStyle w:val="ListBullet"/>
            </w:pPr>
            <w:r w:rsidRPr="004B7212">
              <w:t>use of tools and equipment</w:t>
            </w:r>
          </w:p>
          <w:p w:rsidR="00000000" w:rsidP="004B7212">
            <w:pPr>
              <w:pStyle w:val="ListBullet"/>
              <w:rPr>
                <w:lang w:val="en-NZ"/>
              </w:rPr>
            </w:pPr>
            <w:r w:rsidRPr="004B7212">
              <w:t>workplace environmental requirements and safety.</w:t>
            </w:r>
          </w:p>
        </w:tc>
      </w:tr>
      <w:tr w:rsidTr="00E74B6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BoldandItalics"/>
              </w:rPr>
              <w:t>Hazards</w:t>
            </w:r>
            <w:r w:rsidRPr="004B7212">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4B7212" w:rsidP="004B7212">
            <w:pPr>
              <w:pStyle w:val="ListBullet"/>
            </w:pPr>
            <w:r w:rsidRPr="004B7212">
              <w:t>barricades</w:t>
            </w:r>
          </w:p>
          <w:p w:rsidR="00000000" w:rsidRPr="004B7212" w:rsidP="004B7212">
            <w:pPr>
              <w:pStyle w:val="ListBullet"/>
            </w:pPr>
            <w:r w:rsidRPr="004B7212">
              <w:t>dust</w:t>
            </w:r>
          </w:p>
          <w:p w:rsidR="00000000" w:rsidRPr="004B7212" w:rsidP="004B7212">
            <w:pPr>
              <w:pStyle w:val="ListBullet"/>
            </w:pPr>
            <w:r w:rsidRPr="004B7212">
              <w:t>excessive noise nearby</w:t>
            </w:r>
          </w:p>
          <w:p w:rsidR="00000000" w:rsidRPr="004B7212" w:rsidP="004B7212">
            <w:pPr>
              <w:pStyle w:val="ListBullet"/>
            </w:pPr>
            <w:r w:rsidRPr="004B7212">
              <w:t>obstructions to clear access for supply</w:t>
            </w:r>
          </w:p>
          <w:p w:rsidR="00000000" w:rsidRPr="004B7212" w:rsidP="004B7212">
            <w:pPr>
              <w:pStyle w:val="ListBullet"/>
            </w:pPr>
            <w:r w:rsidRPr="004B7212">
              <w:t>other work personnel</w:t>
            </w:r>
          </w:p>
          <w:p w:rsidR="00000000" w:rsidRPr="004B7212" w:rsidP="004B7212">
            <w:pPr>
              <w:pStyle w:val="ListBullet"/>
            </w:pPr>
            <w:r w:rsidRPr="004B7212">
              <w:t>power leads</w:t>
            </w:r>
          </w:p>
          <w:p w:rsidR="00000000" w:rsidP="004B7212">
            <w:pPr>
              <w:pStyle w:val="ListBullet"/>
              <w:rPr>
                <w:lang w:val="en-NZ"/>
              </w:rPr>
            </w:pPr>
            <w:r w:rsidRPr="004B7212">
              <w:t>wind.</w:t>
            </w:r>
          </w:p>
        </w:tc>
      </w:tr>
      <w:tr w:rsidTr="00E74B6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BoldandItalics"/>
              </w:rPr>
              <w:t>Tools and equipment</w:t>
            </w:r>
            <w:r w:rsidRPr="004B7212">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4B7212" w:rsidP="004B7212">
            <w:pPr>
              <w:pStyle w:val="ListBullet"/>
            </w:pPr>
            <w:r w:rsidRPr="004B7212">
              <w:t>air compressor and hoses</w:t>
            </w:r>
          </w:p>
          <w:p w:rsidR="00000000" w:rsidRPr="004B7212" w:rsidP="004B7212">
            <w:pPr>
              <w:pStyle w:val="ListBullet"/>
            </w:pPr>
            <w:r w:rsidRPr="004B7212">
              <w:t>chalk lines</w:t>
            </w:r>
          </w:p>
          <w:p w:rsidR="00000000" w:rsidRPr="004B7212" w:rsidP="004B7212">
            <w:pPr>
              <w:pStyle w:val="ListBullet"/>
            </w:pPr>
            <w:r w:rsidRPr="004B7212">
              <w:t>clogging tools</w:t>
            </w:r>
          </w:p>
          <w:p w:rsidR="00000000" w:rsidRPr="004B7212" w:rsidP="004B7212">
            <w:pPr>
              <w:pStyle w:val="ListBullet"/>
            </w:pPr>
            <w:r w:rsidRPr="004B7212">
              <w:t>hammers</w:t>
            </w:r>
          </w:p>
          <w:p w:rsidR="00000000" w:rsidRPr="004B7212" w:rsidP="004B7212">
            <w:pPr>
              <w:pStyle w:val="ListBullet"/>
            </w:pPr>
            <w:r w:rsidRPr="004B7212">
              <w:t>lifting gear and equipment</w:t>
            </w:r>
          </w:p>
          <w:p w:rsidR="00000000" w:rsidRPr="004B7212" w:rsidP="004B7212">
            <w:pPr>
              <w:pStyle w:val="ListBullet"/>
            </w:pPr>
            <w:r w:rsidRPr="004B7212">
              <w:t>masonry chisels</w:t>
            </w:r>
          </w:p>
          <w:p w:rsidR="00000000" w:rsidRPr="004B7212" w:rsidP="004B7212">
            <w:pPr>
              <w:pStyle w:val="ListBullet"/>
            </w:pPr>
            <w:r w:rsidRPr="004B7212">
              <w:t>measuring tapes and rules</w:t>
            </w:r>
          </w:p>
          <w:p w:rsidR="00000000" w:rsidRPr="004B7212" w:rsidP="004B7212">
            <w:pPr>
              <w:pStyle w:val="ListBullet"/>
            </w:pPr>
            <w:r w:rsidRPr="004B7212">
              <w:t>power drills, including impact</w:t>
            </w:r>
          </w:p>
          <w:p w:rsidR="00000000" w:rsidRPr="004B7212" w:rsidP="004B7212">
            <w:pPr>
              <w:pStyle w:val="ListBullet"/>
            </w:pPr>
            <w:r w:rsidRPr="004B7212">
              <w:t>power grinders</w:t>
            </w:r>
          </w:p>
          <w:p w:rsidR="00000000" w:rsidRPr="004B7212" w:rsidP="004B7212">
            <w:pPr>
              <w:pStyle w:val="ListBullet"/>
            </w:pPr>
            <w:r w:rsidRPr="004B7212">
              <w:t>power leads</w:t>
            </w:r>
          </w:p>
          <w:p w:rsidR="00000000" w:rsidRPr="004B7212" w:rsidP="004B7212">
            <w:pPr>
              <w:pStyle w:val="ListBullet"/>
            </w:pPr>
            <w:r w:rsidRPr="004B7212">
              <w:t>rollers</w:t>
            </w:r>
          </w:p>
          <w:p w:rsidR="00000000" w:rsidRPr="004B7212" w:rsidP="004B7212">
            <w:pPr>
              <w:pStyle w:val="ListBullet"/>
            </w:pPr>
            <w:r w:rsidRPr="004B7212">
              <w:t>rubber mallets</w:t>
            </w:r>
          </w:p>
          <w:p w:rsidR="00000000" w:rsidRPr="004B7212" w:rsidP="004B7212">
            <w:pPr>
              <w:pStyle w:val="ListBullet"/>
            </w:pPr>
            <w:r w:rsidRPr="004B7212">
              <w:t>scaffolding</w:t>
            </w:r>
          </w:p>
          <w:p w:rsidR="00000000" w:rsidRPr="004B7212" w:rsidP="004B7212">
            <w:pPr>
              <w:pStyle w:val="ListBullet"/>
            </w:pPr>
            <w:r w:rsidRPr="004B7212">
              <w:t>screw cramp and wedges</w:t>
            </w:r>
          </w:p>
          <w:p w:rsidR="00000000" w:rsidRPr="004B7212" w:rsidP="004B7212">
            <w:pPr>
              <w:pStyle w:val="ListBullet"/>
            </w:pPr>
            <w:r w:rsidRPr="004B7212">
              <w:t>spirit levels</w:t>
            </w:r>
          </w:p>
          <w:p w:rsidR="00000000" w:rsidRPr="004B7212" w:rsidP="004B7212">
            <w:pPr>
              <w:pStyle w:val="ListBullet"/>
            </w:pPr>
            <w:r w:rsidRPr="004B7212">
              <w:t>squares</w:t>
            </w:r>
          </w:p>
          <w:p w:rsidR="00000000" w:rsidP="004B7212">
            <w:pPr>
              <w:pStyle w:val="ListBullet"/>
              <w:rPr>
                <w:lang w:val="en-NZ"/>
              </w:rPr>
            </w:pPr>
            <w:r w:rsidRPr="004B7212">
              <w:t>string lines.</w:t>
            </w:r>
          </w:p>
        </w:tc>
      </w:tr>
      <w:tr w:rsidTr="00E74B6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BoldandItalics"/>
              </w:rPr>
              <w:t>Quality requirements</w:t>
            </w:r>
            <w:r w:rsidRPr="004B7212">
              <w:t xml:space="preserve"> include relevant regulations, including:</w:t>
            </w:r>
          </w:p>
        </w:tc>
        <w:tc>
          <w:tcPr>
            <w:tcW w:w="5019" w:type="dxa"/>
            <w:tcBorders>
              <w:top w:val="nil"/>
              <w:left w:val="nil"/>
              <w:bottom w:val="nil"/>
              <w:right w:val="nil"/>
            </w:tcBorders>
            <w:tcMar>
              <w:top w:w="0" w:type="dxa"/>
              <w:left w:w="62" w:type="dxa"/>
              <w:bottom w:w="0" w:type="dxa"/>
              <w:right w:w="62" w:type="dxa"/>
            </w:tcMar>
          </w:tcPr>
          <w:p w:rsidR="00000000" w:rsidRPr="004B7212" w:rsidP="004B7212">
            <w:pPr>
              <w:pStyle w:val="ListBullet"/>
            </w:pPr>
            <w:r w:rsidRPr="004B7212">
              <w:t>internal company quality policy and standards</w:t>
            </w:r>
          </w:p>
          <w:p w:rsidR="00000000" w:rsidRPr="004B7212" w:rsidP="004B7212">
            <w:pPr>
              <w:pStyle w:val="ListBullet"/>
            </w:pPr>
            <w:r w:rsidRPr="004B7212">
              <w:t>manufacturer specifications</w:t>
            </w:r>
          </w:p>
          <w:p w:rsidR="00000000" w:rsidRPr="004B7212" w:rsidP="004B7212">
            <w:pPr>
              <w:pStyle w:val="ListBullet"/>
            </w:pPr>
            <w:r w:rsidRPr="004B7212">
              <w:t>AS3850 Tilt up concrete construction</w:t>
            </w:r>
          </w:p>
          <w:p w:rsidR="00000000" w:rsidP="004B7212">
            <w:pPr>
              <w:pStyle w:val="ListBullet"/>
              <w:rPr>
                <w:lang w:val="en-NZ"/>
              </w:rPr>
            </w:pPr>
            <w:r w:rsidRPr="004B7212">
              <w:t>workplace operations and procedures.</w:t>
            </w:r>
          </w:p>
        </w:tc>
      </w:tr>
      <w:tr w:rsidTr="00E74B6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BoldandItalics"/>
              </w:rPr>
              <w:t>Environmental requirements</w:t>
            </w:r>
            <w:r w:rsidRPr="004B7212">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4B7212" w:rsidP="004B7212">
            <w:pPr>
              <w:pStyle w:val="ListBullet"/>
            </w:pPr>
            <w:r w:rsidRPr="004B7212">
              <w:t>clean-up management</w:t>
            </w:r>
          </w:p>
          <w:p w:rsidR="00000000" w:rsidRPr="004B7212" w:rsidP="004B7212">
            <w:pPr>
              <w:pStyle w:val="ListBullet"/>
            </w:pPr>
            <w:r w:rsidRPr="004B7212">
              <w:t>dust and noise</w:t>
            </w:r>
          </w:p>
          <w:p w:rsidR="00000000" w:rsidRPr="004B7212" w:rsidP="004B7212">
            <w:pPr>
              <w:pStyle w:val="ListBullet"/>
            </w:pPr>
            <w:r w:rsidRPr="004B7212">
              <w:t>vibration</w:t>
            </w:r>
          </w:p>
          <w:p w:rsidR="00000000" w:rsidP="004B7212">
            <w:pPr>
              <w:pStyle w:val="ListBullet"/>
              <w:rPr>
                <w:lang w:val="en-NZ"/>
              </w:rPr>
            </w:pPr>
            <w:r w:rsidRPr="004B7212">
              <w:t>waste management.</w:t>
            </w:r>
          </w:p>
        </w:tc>
      </w:tr>
      <w:tr w:rsidTr="00E74B6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BoldandItalics"/>
              </w:rPr>
              <w:t>Statutory and regulatory authority</w:t>
            </w:r>
            <w:r w:rsidRPr="004B7212">
              <w:t xml:space="preserve"> includes:</w:t>
            </w:r>
          </w:p>
        </w:tc>
        <w:tc>
          <w:tcPr>
            <w:tcW w:w="5019" w:type="dxa"/>
            <w:tcBorders>
              <w:top w:val="nil"/>
              <w:left w:val="nil"/>
              <w:bottom w:val="nil"/>
              <w:right w:val="nil"/>
            </w:tcBorders>
            <w:tcMar>
              <w:top w:w="0" w:type="dxa"/>
              <w:left w:w="62" w:type="dxa"/>
              <w:bottom w:w="0" w:type="dxa"/>
              <w:right w:w="62" w:type="dxa"/>
            </w:tcMar>
          </w:tcPr>
          <w:p w:rsidR="00000000" w:rsidP="004B7212">
            <w:pPr>
              <w:pStyle w:val="ListBullet"/>
              <w:rPr>
                <w:lang w:val="en-NZ"/>
              </w:rPr>
            </w:pPr>
            <w:r w:rsidRPr="004B7212">
              <w:t>federal, state and local authorities administering applicable Acts, regulations and codes of practice.</w:t>
            </w:r>
          </w:p>
        </w:tc>
      </w:tr>
      <w:tr w:rsidTr="00E74B6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BoldandItalics"/>
              </w:rPr>
              <w:t>Structure</w:t>
            </w:r>
            <w:r w:rsidRPr="004B7212">
              <w:t xml:space="preserve"> types include:</w:t>
            </w:r>
          </w:p>
        </w:tc>
        <w:tc>
          <w:tcPr>
            <w:tcW w:w="5019" w:type="dxa"/>
            <w:tcBorders>
              <w:top w:val="nil"/>
              <w:left w:val="nil"/>
              <w:bottom w:val="nil"/>
              <w:right w:val="nil"/>
            </w:tcBorders>
            <w:tcMar>
              <w:top w:w="0" w:type="dxa"/>
              <w:left w:w="62" w:type="dxa"/>
              <w:bottom w:w="0" w:type="dxa"/>
              <w:right w:w="62" w:type="dxa"/>
            </w:tcMar>
          </w:tcPr>
          <w:p w:rsidR="00000000" w:rsidRPr="004B7212" w:rsidP="004B7212">
            <w:pPr>
              <w:pStyle w:val="ListBullet"/>
            </w:pPr>
            <w:r w:rsidRPr="004B7212">
              <w:t>brick/concrete m</w:t>
            </w:r>
            <w:r w:rsidRPr="004B7212">
              <w:t>asonry walls</w:t>
            </w:r>
          </w:p>
          <w:p w:rsidR="00000000" w:rsidRPr="004B7212" w:rsidP="004B7212">
            <w:pPr>
              <w:pStyle w:val="ListBullet"/>
            </w:pPr>
            <w:r w:rsidRPr="004B7212">
              <w:t>in situ reinforced concrete</w:t>
            </w:r>
          </w:p>
          <w:p w:rsidR="00000000" w:rsidRPr="004B7212" w:rsidP="004B7212">
            <w:pPr>
              <w:pStyle w:val="ListBullet"/>
            </w:pPr>
            <w:r w:rsidRPr="004B7212">
              <w:t>pre-cast reinforced concrete</w:t>
            </w:r>
          </w:p>
          <w:p w:rsidR="00000000" w:rsidP="004B7212">
            <w:pPr>
              <w:pStyle w:val="ListBullet"/>
              <w:rPr>
                <w:lang w:val="en-NZ"/>
              </w:rPr>
            </w:pPr>
            <w:r w:rsidRPr="004B7212">
              <w:t>structural steel frame.</w:t>
            </w:r>
          </w:p>
        </w:tc>
      </w:tr>
      <w:tr w:rsidTr="00E74B6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BoldandItalics"/>
              </w:rPr>
              <w:t>Fixing methods</w:t>
            </w:r>
            <w:r w:rsidRPr="004B7212">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4B7212" w:rsidP="004B7212">
            <w:pPr>
              <w:pStyle w:val="ListBullet"/>
            </w:pPr>
            <w:r w:rsidRPr="004B7212">
              <w:t>chemical masonry anchor</w:t>
            </w:r>
          </w:p>
          <w:p w:rsidR="00000000" w:rsidRPr="004B7212" w:rsidP="004B7212">
            <w:pPr>
              <w:pStyle w:val="ListBullet"/>
            </w:pPr>
            <w:r w:rsidRPr="004B7212">
              <w:t>mechanical masonry anchor</w:t>
            </w:r>
          </w:p>
          <w:p w:rsidR="00000000" w:rsidRPr="004B7212" w:rsidP="004B7212">
            <w:pPr>
              <w:pStyle w:val="ListBullet"/>
            </w:pPr>
            <w:r w:rsidRPr="004B7212">
              <w:t>metal bracket for connection to steel frame</w:t>
            </w:r>
          </w:p>
          <w:p w:rsidR="00000000" w:rsidRPr="004B7212" w:rsidP="004B7212">
            <w:pPr>
              <w:pStyle w:val="ListBullet"/>
            </w:pPr>
            <w:r w:rsidRPr="004B7212">
              <w:t>supporting and tying stone components together:</w:t>
            </w:r>
          </w:p>
          <w:p w:rsidR="00000000" w:rsidRPr="004B7212" w:rsidP="004B7212">
            <w:pPr>
              <w:pStyle w:val="ListBullet2"/>
            </w:pPr>
            <w:r w:rsidRPr="004B7212">
              <w:t>S hook</w:t>
            </w:r>
          </w:p>
          <w:p w:rsidR="00000000" w:rsidRPr="004B7212" w:rsidP="004B7212">
            <w:pPr>
              <w:pStyle w:val="ListBullet2"/>
            </w:pPr>
            <w:r w:rsidRPr="004B7212">
              <w:t>back cramp</w:t>
            </w:r>
          </w:p>
          <w:p w:rsidR="00000000" w:rsidRPr="004B7212" w:rsidP="004B7212">
            <w:pPr>
              <w:pStyle w:val="ListBullet2"/>
            </w:pPr>
            <w:r w:rsidRPr="004B7212">
              <w:t>corbel plate bracket</w:t>
            </w:r>
          </w:p>
          <w:p w:rsidR="00000000" w:rsidRPr="004B7212" w:rsidP="004B7212">
            <w:pPr>
              <w:pStyle w:val="ListBullet2"/>
            </w:pPr>
            <w:r w:rsidRPr="004B7212">
              <w:t>dog cramp</w:t>
            </w:r>
          </w:p>
          <w:p w:rsidR="00000000" w:rsidRPr="004B7212" w:rsidP="004B7212">
            <w:pPr>
              <w:pStyle w:val="ListBullet2"/>
            </w:pPr>
            <w:r w:rsidRPr="004B7212">
              <w:t>fish tailed cramp</w:t>
            </w:r>
          </w:p>
          <w:p w:rsidR="00000000" w:rsidRPr="004B7212" w:rsidP="004B7212">
            <w:pPr>
              <w:pStyle w:val="ListBullet2"/>
            </w:pPr>
            <w:r w:rsidRPr="004B7212">
              <w:t>pin bracket</w:t>
            </w:r>
          </w:p>
          <w:p w:rsidR="00000000" w:rsidRPr="004B7212" w:rsidP="004B7212">
            <w:pPr>
              <w:pStyle w:val="ListBullet2"/>
            </w:pPr>
            <w:r w:rsidRPr="004B7212">
              <w:t>slotted bracket</w:t>
            </w:r>
          </w:p>
          <w:p w:rsidR="00000000" w:rsidRPr="004B7212" w:rsidP="004B7212">
            <w:pPr>
              <w:pStyle w:val="ListBullet2"/>
            </w:pPr>
            <w:r w:rsidRPr="004B7212">
              <w:t>turned end cramp.</w:t>
            </w:r>
          </w:p>
        </w:tc>
      </w:tr>
    </w:tbl>
    <w:p w:rsidR="00E74B6C" w:rsidP="004B7212">
      <w:pPr>
        <w:pStyle w:val="BodyText"/>
      </w:pPr>
    </w:p>
    <w:p w:rsidR="00E74B6C" w:rsidP="004B7212">
      <w:pPr>
        <w:pStyle w:val="BodyText"/>
      </w:pPr>
    </w:p>
    <w:p w:rsidR="00000000" w:rsidRPr="004B7212" w:rsidP="004B7212">
      <w:pPr>
        <w:pStyle w:val="Heading1"/>
      </w:pPr>
      <w:bookmarkStart w:id="12" w:name="O_198891"/>
      <w:bookmarkEnd w:id="12"/>
      <w:r w:rsidRPr="004B7212">
        <w:t>Unit Sector(s)</w:t>
      </w:r>
    </w:p>
    <w:tbl>
      <w:tblPr>
        <w:tblW w:w="0" w:type="auto"/>
        <w:tblLayout w:type="fixed"/>
        <w:tblCellMar>
          <w:left w:w="62" w:type="dxa"/>
          <w:right w:w="62" w:type="dxa"/>
        </w:tblCellMar>
        <w:tblLook w:val="0000"/>
      </w:tblPr>
      <w:tblGrid>
        <w:gridCol w:w="2461"/>
        <w:gridCol w:w="6061"/>
      </w:tblGrid>
      <w:tr w:rsidTr="00E74B6C">
        <w:tblPrEx>
          <w:tblW w:w="0" w:type="auto"/>
          <w:tblLayout w:type="fixed"/>
          <w:tblCellMar>
            <w:left w:w="62" w:type="dxa"/>
            <w:right w:w="62" w:type="dxa"/>
          </w:tblCellMar>
          <w:tblLook w:val="0000"/>
        </w:tblPrEx>
        <w:trPr>
          <w:tblHeader/>
        </w:trPr>
        <w:tc>
          <w:tcPr>
            <w:tcW w:w="2461"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SpecialBold"/>
              </w:rPr>
              <w:t>Unit sector</w:t>
            </w:r>
          </w:p>
        </w:tc>
        <w:tc>
          <w:tcPr>
            <w:tcW w:w="6061" w:type="dxa"/>
            <w:tcBorders>
              <w:top w:val="nil"/>
              <w:left w:val="nil"/>
              <w:bottom w:val="nil"/>
              <w:right w:val="nil"/>
            </w:tcBorders>
            <w:tcMar>
              <w:top w:w="0" w:type="dxa"/>
              <w:left w:w="62" w:type="dxa"/>
              <w:bottom w:w="0" w:type="dxa"/>
              <w:right w:w="62" w:type="dxa"/>
            </w:tcMar>
          </w:tcPr>
          <w:p w:rsidR="00000000" w:rsidRPr="004B7212" w:rsidP="004B7212">
            <w:pPr>
              <w:pStyle w:val="BodyText"/>
            </w:pPr>
            <w:r w:rsidRPr="004B7212">
              <w:t>Construction</w:t>
            </w:r>
          </w:p>
        </w:tc>
      </w:tr>
    </w:tbl>
    <w:p w:rsidR="00E74B6C" w:rsidP="004B7212">
      <w:pPr>
        <w:pStyle w:val="BodyText"/>
      </w:pPr>
    </w:p>
    <w:p w:rsidR="00E74B6C" w:rsidP="004B7212">
      <w:pPr>
        <w:pStyle w:val="BodyText"/>
      </w:pPr>
    </w:p>
    <w:p w:rsidR="00000000" w:rsidRPr="004B7212" w:rsidP="004B7212">
      <w:pPr>
        <w:pStyle w:val="Heading1"/>
      </w:pPr>
      <w:bookmarkStart w:id="13" w:name="O_198888"/>
      <w:bookmarkEnd w:id="13"/>
      <w:r w:rsidRPr="004B7212">
        <w:t>Co-requisite units</w:t>
      </w:r>
    </w:p>
    <w:tbl>
      <w:tblPr>
        <w:tblW w:w="0" w:type="auto"/>
        <w:tblLayout w:type="fixed"/>
        <w:tblCellMar>
          <w:left w:w="62" w:type="dxa"/>
          <w:right w:w="62" w:type="dxa"/>
        </w:tblCellMar>
        <w:tblLook w:val="0000"/>
      </w:tblPr>
      <w:tblGrid>
        <w:gridCol w:w="2473"/>
        <w:gridCol w:w="2126"/>
        <w:gridCol w:w="3923"/>
      </w:tblGrid>
      <w:tr w:rsidTr="00E74B6C">
        <w:tblPrEx>
          <w:tblW w:w="0" w:type="auto"/>
          <w:tblLayout w:type="fixed"/>
          <w:tblCellMar>
            <w:left w:w="62" w:type="dxa"/>
            <w:right w:w="62" w:type="dxa"/>
          </w:tblCellMar>
          <w:tblLook w:val="0000"/>
        </w:tblPrEx>
        <w:trPr>
          <w:tblHeader/>
        </w:trPr>
        <w:tc>
          <w:tcPr>
            <w:tcW w:w="2473"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SpecialBold"/>
              </w:rPr>
              <w:t>Co-requisite units</w:t>
            </w:r>
          </w:p>
        </w:tc>
        <w:tc>
          <w:tcPr>
            <w:tcW w:w="6049" w:type="dxa"/>
            <w:gridSpan w:val="2"/>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t>Nil</w:t>
            </w:r>
          </w:p>
        </w:tc>
      </w:tr>
      <w:tr w:rsidTr="00E74B6C">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p>
        </w:tc>
      </w:tr>
      <w:tr w:rsidTr="00E74B6C">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RPr="004B7212" w:rsidP="004B7212">
            <w:pPr>
              <w:pStyle w:val="BodyText"/>
            </w:pPr>
          </w:p>
        </w:tc>
      </w:tr>
    </w:tbl>
    <w:p w:rsidR="00E74B6C" w:rsidP="004B7212">
      <w:pPr>
        <w:pStyle w:val="BodyText"/>
      </w:pPr>
    </w:p>
    <w:p w:rsidR="00E74B6C" w:rsidP="004B7212">
      <w:pPr>
        <w:pStyle w:val="BodyText"/>
      </w:pPr>
    </w:p>
    <w:p w:rsidR="00000000" w:rsidRPr="004B7212" w:rsidP="004B7212">
      <w:pPr>
        <w:pStyle w:val="Heading1"/>
      </w:pPr>
      <w:bookmarkStart w:id="14" w:name="O_198890"/>
      <w:bookmarkEnd w:id="14"/>
      <w:r w:rsidRPr="004B7212">
        <w:t>Functional area</w:t>
      </w:r>
    </w:p>
    <w:tbl>
      <w:tblPr>
        <w:tblW w:w="0" w:type="auto"/>
        <w:tblLayout w:type="fixed"/>
        <w:tblCellMar>
          <w:left w:w="62" w:type="dxa"/>
          <w:right w:w="62" w:type="dxa"/>
        </w:tblCellMar>
        <w:tblLook w:val="0000"/>
      </w:tblPr>
      <w:tblGrid>
        <w:gridCol w:w="2562"/>
        <w:gridCol w:w="5960"/>
      </w:tblGrid>
      <w:tr w:rsidTr="00E74B6C">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4B7212">
            <w:pPr>
              <w:pStyle w:val="BodyText"/>
              <w:rPr>
                <w:lang w:val="en-NZ"/>
              </w:rPr>
            </w:pPr>
            <w:r w:rsidRPr="004B7212">
              <w:rPr>
                <w:rStyle w:val="SpecialBold"/>
              </w:rPr>
              <w:t>Functional area</w:t>
            </w:r>
          </w:p>
        </w:tc>
        <w:tc>
          <w:tcPr>
            <w:tcW w:w="5960" w:type="dxa"/>
            <w:tcBorders>
              <w:top w:val="nil"/>
              <w:left w:val="nil"/>
              <w:bottom w:val="nil"/>
              <w:right w:val="nil"/>
            </w:tcBorders>
            <w:tcMar>
              <w:top w:w="0" w:type="dxa"/>
              <w:left w:w="62" w:type="dxa"/>
              <w:bottom w:w="0" w:type="dxa"/>
              <w:right w:w="62" w:type="dxa"/>
            </w:tcMar>
          </w:tcPr>
          <w:p w:rsidR="00000000" w:rsidRPr="004B7212" w:rsidP="004B7212">
            <w:pPr>
              <w:pStyle w:val="BodyText"/>
            </w:pPr>
          </w:p>
        </w:tc>
      </w:tr>
    </w:tbl>
    <w:p w:rsidR="00E74B6C" w:rsidP="004B7212">
      <w:pPr>
        <w:pStyle w:val="BodyText"/>
      </w:pPr>
    </w:p>
    <w:p w:rsidR="00E74B6C" w:rsidP="004B7212">
      <w:pPr>
        <w:pStyle w:val="BodyText"/>
      </w:pPr>
    </w:p>
    <w:p w:rsidR="00000000" w:rsidRPr="004B7212" w:rsidP="004B7212"/>
    <w:sectPr w:rsidSect="004B72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2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B6C" w:rsidP="00E74B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2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B6C" w:rsidP="004B72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74B6C" w:rsidP="004B72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74B6C" w:rsidP="004B72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2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B6C" w:rsidP="00E74B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2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B6C" w:rsidP="004B7212">
    <w:pPr>
      <w:pStyle w:val="Header"/>
      <w:framePr w:wrap="around"/>
    </w:pPr>
    <w:r>
      <w:fldChar w:fldCharType="begin"/>
    </w:r>
    <w:r>
      <w:instrText xml:space="preserve"> TITLE   \* MERGEFORMAT </w:instrText>
    </w:r>
    <w:r>
      <w:fldChar w:fldCharType="separate"/>
    </w:r>
    <w:r>
      <w:t>CPCCST3014A Set and anchor stone facades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4B6C" w:rsidP="004B72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56BD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8A5D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341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2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7212"/>
    <w:pPr>
      <w:spacing w:before="360" w:after="60"/>
      <w:outlineLvl w:val="0"/>
    </w:pPr>
    <w:rPr>
      <w:sz w:val="32"/>
    </w:rPr>
  </w:style>
  <w:style w:type="paragraph" w:styleId="Heading2">
    <w:name w:val="heading 2"/>
    <w:basedOn w:val="HeadingBase"/>
    <w:next w:val="BodyText"/>
    <w:link w:val="Heading2Char"/>
    <w:qFormat/>
    <w:rsid w:val="004B7212"/>
    <w:pPr>
      <w:keepLines/>
      <w:spacing w:before="240" w:after="120"/>
      <w:outlineLvl w:val="1"/>
    </w:pPr>
    <w:rPr>
      <w:sz w:val="28"/>
      <w:szCs w:val="40"/>
    </w:rPr>
  </w:style>
  <w:style w:type="paragraph" w:styleId="Heading3">
    <w:name w:val="heading 3"/>
    <w:basedOn w:val="HeadingBase"/>
    <w:next w:val="BodyText"/>
    <w:link w:val="Heading3Char"/>
    <w:qFormat/>
    <w:rsid w:val="004B7212"/>
    <w:pPr>
      <w:spacing w:before="180" w:after="120"/>
      <w:outlineLvl w:val="2"/>
    </w:pPr>
    <w:rPr>
      <w:spacing w:val="-10"/>
      <w:kern w:val="32"/>
    </w:rPr>
  </w:style>
  <w:style w:type="paragraph" w:styleId="Heading4">
    <w:name w:val="heading 4"/>
    <w:basedOn w:val="HeadingBase"/>
    <w:next w:val="BodyText"/>
    <w:link w:val="Heading4Char"/>
    <w:qFormat/>
    <w:rsid w:val="004B7212"/>
    <w:pPr>
      <w:spacing w:before="160" w:after="120"/>
      <w:outlineLvl w:val="3"/>
    </w:pPr>
    <w:rPr>
      <w:sz w:val="22"/>
    </w:rPr>
  </w:style>
  <w:style w:type="paragraph" w:styleId="Heading5">
    <w:name w:val="heading 5"/>
    <w:basedOn w:val="HeadingBase"/>
    <w:next w:val="Normal"/>
    <w:link w:val="Heading5Char"/>
    <w:qFormat/>
    <w:rsid w:val="004B7212"/>
    <w:pPr>
      <w:spacing w:before="80"/>
      <w:outlineLvl w:val="4"/>
    </w:pPr>
    <w:rPr>
      <w:color w:val="918585"/>
      <w:sz w:val="20"/>
    </w:rPr>
  </w:style>
  <w:style w:type="paragraph" w:styleId="Heading6">
    <w:name w:val="heading 6"/>
    <w:basedOn w:val="HeadingBase"/>
    <w:next w:val="Normal"/>
    <w:link w:val="Heading6Char"/>
    <w:qFormat/>
    <w:rsid w:val="004B7212"/>
    <w:pPr>
      <w:spacing w:before="60"/>
      <w:outlineLvl w:val="5"/>
    </w:pPr>
    <w:rPr>
      <w:color w:val="918585"/>
      <w:sz w:val="20"/>
    </w:rPr>
  </w:style>
  <w:style w:type="paragraph" w:styleId="Heading7">
    <w:name w:val="heading 7"/>
    <w:basedOn w:val="Normal"/>
    <w:next w:val="Normal"/>
    <w:link w:val="Heading7Char"/>
    <w:qFormat/>
    <w:rsid w:val="004B7212"/>
    <w:pPr>
      <w:ind w:left="720"/>
      <w:outlineLvl w:val="6"/>
    </w:pPr>
    <w:rPr>
      <w:i/>
    </w:rPr>
  </w:style>
  <w:style w:type="paragraph" w:styleId="Heading8">
    <w:name w:val="heading 8"/>
    <w:basedOn w:val="Normal"/>
    <w:next w:val="Normal"/>
    <w:link w:val="Heading8Char"/>
    <w:qFormat/>
    <w:rsid w:val="004B7212"/>
    <w:pPr>
      <w:ind w:left="720"/>
      <w:outlineLvl w:val="7"/>
    </w:pPr>
    <w:rPr>
      <w:i/>
    </w:rPr>
  </w:style>
  <w:style w:type="paragraph" w:styleId="Heading9">
    <w:name w:val="heading 9"/>
    <w:basedOn w:val="Normal"/>
    <w:next w:val="Normal"/>
    <w:link w:val="Heading9Char"/>
    <w:qFormat/>
    <w:rsid w:val="004B7212"/>
    <w:pPr>
      <w:ind w:left="720"/>
      <w:outlineLvl w:val="8"/>
    </w:pPr>
    <w:rPr>
      <w:i/>
    </w:rPr>
  </w:style>
  <w:style w:type="character" w:default="1" w:styleId="DefaultParagraphFont">
    <w:name w:val="Default Paragraph Font"/>
    <w:uiPriority w:val="1"/>
    <w:unhideWhenUsed/>
    <w:rsid w:val="004B72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212"/>
  </w:style>
  <w:style w:type="character" w:customStyle="1" w:styleId="Heading1Char">
    <w:name w:val="Heading 1 Char"/>
    <w:basedOn w:val="DefaultParagraphFont"/>
    <w:link w:val="Heading1"/>
    <w:rsid w:val="004B7212"/>
    <w:rPr>
      <w:rFonts w:ascii="Times New Roman" w:eastAsia="Times New Roman" w:hAnsi="Times New Roman" w:cs="Times New Roman"/>
      <w:b/>
      <w:sz w:val="32"/>
      <w:szCs w:val="20"/>
      <w:lang w:eastAsia="en-US"/>
    </w:rPr>
  </w:style>
  <w:style w:type="paragraph" w:styleId="BodyText">
    <w:name w:val="Body Text"/>
    <w:basedOn w:val="Normal"/>
    <w:link w:val="BodyTextChar"/>
    <w:rsid w:val="004B72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7212"/>
    <w:rPr>
      <w:rFonts w:ascii="Times New Roman" w:eastAsia="Times New Roman" w:hAnsi="Times New Roman" w:cs="Times New Roman"/>
      <w:sz w:val="24"/>
      <w:lang w:val="en-US" w:eastAsia="en-US"/>
    </w:rPr>
  </w:style>
  <w:style w:type="paragraph" w:styleId="Footer">
    <w:name w:val="footer"/>
    <w:basedOn w:val="Normal"/>
    <w:link w:val="FooterChar"/>
    <w:rsid w:val="004B72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212"/>
    <w:rPr>
      <w:rFonts w:ascii="Times New Roman" w:eastAsia="Times New Roman" w:hAnsi="Times New Roman" w:cs="Times New Roman"/>
      <w:sz w:val="16"/>
      <w:lang w:val="en-US" w:eastAsia="en-US"/>
    </w:rPr>
  </w:style>
  <w:style w:type="paragraph" w:styleId="List">
    <w:name w:val="List"/>
    <w:basedOn w:val="BodyText"/>
    <w:next w:val="BodyText"/>
    <w:rsid w:val="004B7212"/>
    <w:pPr>
      <w:tabs>
        <w:tab w:val="left" w:pos="340"/>
      </w:tabs>
      <w:spacing w:before="60" w:after="60"/>
      <w:ind w:left="340" w:hanging="340"/>
    </w:pPr>
  </w:style>
  <w:style w:type="paragraph" w:styleId="ListBullet">
    <w:name w:val="List Bullet"/>
    <w:basedOn w:val="List"/>
    <w:rsid w:val="004B7212"/>
    <w:pPr>
      <w:numPr>
        <w:numId w:val="13"/>
      </w:numPr>
      <w:tabs>
        <w:tab w:val="clear" w:pos="340"/>
      </w:tabs>
      <w:spacing w:before="40" w:after="40"/>
    </w:pPr>
  </w:style>
  <w:style w:type="character" w:customStyle="1" w:styleId="SpecialBold">
    <w:name w:val="Special Bold"/>
    <w:basedOn w:val="DefaultParagraphFont"/>
    <w:rsid w:val="004B7212"/>
    <w:rPr>
      <w:b/>
      <w:spacing w:val="0"/>
    </w:rPr>
  </w:style>
  <w:style w:type="paragraph" w:styleId="ListBullet2">
    <w:name w:val="List Bullet 2"/>
    <w:basedOn w:val="List2"/>
    <w:rsid w:val="004B7212"/>
    <w:pPr>
      <w:numPr>
        <w:numId w:val="14"/>
      </w:numPr>
      <w:tabs>
        <w:tab w:val="clear" w:pos="680"/>
      </w:tabs>
    </w:pPr>
  </w:style>
  <w:style w:type="paragraph" w:styleId="Header">
    <w:name w:val="header"/>
    <w:basedOn w:val="Normal"/>
    <w:link w:val="HeaderChar"/>
    <w:rsid w:val="004B72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2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7212"/>
    <w:pPr>
      <w:spacing w:before="240" w:after="120"/>
      <w:outlineLvl w:val="0"/>
    </w:pPr>
    <w:rPr>
      <w:rFonts w:ascii="Times New Roman" w:hAnsi="Times New Roman"/>
      <w:b/>
      <w:sz w:val="28"/>
    </w:rPr>
  </w:style>
  <w:style w:type="paragraph" w:customStyle="1" w:styleId="AllowPageBreak">
    <w:name w:val="AllowPageBreak"/>
    <w:rsid w:val="004B72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7212"/>
    <w:pPr>
      <w:tabs>
        <w:tab w:val="left" w:pos="680"/>
      </w:tabs>
      <w:spacing w:before="60" w:after="60"/>
      <w:ind w:left="680" w:hanging="340"/>
    </w:pPr>
  </w:style>
  <w:style w:type="character" w:customStyle="1" w:styleId="BoldandItalics">
    <w:name w:val="Bold and Italics"/>
    <w:qFormat/>
    <w:rsid w:val="004B7212"/>
    <w:rPr>
      <w:b/>
      <w:i/>
      <w:u w:val="none"/>
    </w:rPr>
  </w:style>
  <w:style w:type="character" w:customStyle="1" w:styleId="Heading2Char">
    <w:name w:val="Heading 2 Char"/>
    <w:basedOn w:val="DefaultParagraphFont"/>
    <w:link w:val="Heading2"/>
    <w:rsid w:val="004B72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2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2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2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2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2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72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7212"/>
    <w:rPr>
      <w:rFonts w:ascii="Courier New" w:eastAsia="Times New Roman" w:hAnsi="Courier New" w:cs="Times New Roman"/>
      <w:i/>
      <w:szCs w:val="20"/>
      <w:lang w:val="en-US" w:eastAsia="en-US"/>
    </w:rPr>
  </w:style>
  <w:style w:type="paragraph" w:customStyle="1" w:styleId="HeadingBase">
    <w:name w:val="Heading Base"/>
    <w:rsid w:val="004B72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212"/>
    <w:pPr>
      <w:tabs>
        <w:tab w:val="right" w:leader="dot" w:pos="9072"/>
      </w:tabs>
      <w:ind w:left="567"/>
    </w:pPr>
    <w:rPr>
      <w:szCs w:val="22"/>
    </w:rPr>
  </w:style>
  <w:style w:type="paragraph" w:customStyle="1" w:styleId="TOCBase">
    <w:name w:val="TOC Base"/>
    <w:rsid w:val="004B72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212"/>
    <w:pPr>
      <w:tabs>
        <w:tab w:val="right" w:leader="dot" w:pos="9072"/>
      </w:tabs>
      <w:spacing w:before="40" w:after="40"/>
      <w:ind w:left="284"/>
    </w:pPr>
    <w:rPr>
      <w:rFonts w:ascii="Times New Roman" w:hAnsi="Times New Roman"/>
    </w:rPr>
  </w:style>
  <w:style w:type="paragraph" w:styleId="TOC1">
    <w:name w:val="toc 1"/>
    <w:basedOn w:val="TOCBase"/>
    <w:next w:val="Normal"/>
    <w:rsid w:val="004B72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7212"/>
    <w:pPr>
      <w:spacing w:before="5040"/>
      <w:jc w:val="center"/>
    </w:pPr>
    <w:rPr>
      <w:sz w:val="48"/>
      <w:szCs w:val="72"/>
      <w:lang w:val="en-US"/>
    </w:rPr>
  </w:style>
  <w:style w:type="character" w:customStyle="1" w:styleId="TitleChar">
    <w:name w:val="Title Char"/>
    <w:basedOn w:val="DefaultParagraphFont"/>
    <w:link w:val="Title"/>
    <w:rsid w:val="004B72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212"/>
    <w:pPr>
      <w:tabs>
        <w:tab w:val="left" w:pos="3600"/>
        <w:tab w:val="left" w:pos="3958"/>
      </w:tabs>
    </w:pPr>
  </w:style>
  <w:style w:type="paragraph" w:customStyle="1" w:styleId="Note">
    <w:name w:val="Note"/>
    <w:basedOn w:val="BodyText"/>
    <w:rsid w:val="004B72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212"/>
    <w:pPr>
      <w:framePr w:wrap="auto" w:hAnchor="text" w:y="6049"/>
    </w:pPr>
    <w:rPr>
      <w:color w:val="000000"/>
      <w:sz w:val="40"/>
    </w:rPr>
  </w:style>
  <w:style w:type="paragraph" w:customStyle="1" w:styleId="TOCTitle">
    <w:name w:val="TOCTitle"/>
    <w:basedOn w:val="Heading1"/>
    <w:rsid w:val="004B7212"/>
    <w:pPr>
      <w:spacing w:after="240"/>
      <w:jc w:val="center"/>
      <w:outlineLvl w:val="9"/>
    </w:pPr>
    <w:rPr>
      <w:caps/>
    </w:rPr>
  </w:style>
  <w:style w:type="paragraph" w:customStyle="1" w:styleId="Version">
    <w:name w:val="Version"/>
    <w:rsid w:val="004B72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7212"/>
    <w:pPr>
      <w:keepNext w:val="0"/>
      <w:tabs>
        <w:tab w:val="right" w:pos="4176"/>
      </w:tabs>
      <w:ind w:left="198" w:hanging="198"/>
    </w:pPr>
    <w:rPr>
      <w:rFonts w:ascii="Garamond" w:hAnsi="Garamond"/>
    </w:rPr>
  </w:style>
  <w:style w:type="paragraph" w:styleId="IndexHeading">
    <w:name w:val="index heading"/>
    <w:basedOn w:val="Normal"/>
    <w:next w:val="Index1"/>
    <w:semiHidden/>
    <w:rsid w:val="004B7212"/>
    <w:pPr>
      <w:spacing w:before="120" w:after="120"/>
    </w:pPr>
    <w:rPr>
      <w:rFonts w:ascii="Arial" w:hAnsi="Arial"/>
      <w:b/>
      <w:color w:val="918585"/>
      <w:sz w:val="24"/>
    </w:rPr>
  </w:style>
  <w:style w:type="paragraph" w:customStyle="1" w:styleId="Chapter">
    <w:name w:val="Chapter"/>
    <w:basedOn w:val="Normal"/>
    <w:rsid w:val="004B7212"/>
    <w:pPr>
      <w:spacing w:before="240"/>
    </w:pPr>
    <w:rPr>
      <w:rFonts w:ascii="Times New Roman" w:hAnsi="Times New Roman"/>
      <w:smallCaps/>
      <w:spacing w:val="80"/>
      <w:sz w:val="28"/>
    </w:rPr>
  </w:style>
  <w:style w:type="paragraph" w:customStyle="1" w:styleId="InChapter">
    <w:name w:val="InChapter"/>
    <w:basedOn w:val="Heading3"/>
    <w:rsid w:val="004B7212"/>
    <w:pPr>
      <w:spacing w:after="240"/>
      <w:outlineLvl w:val="9"/>
    </w:pPr>
    <w:rPr>
      <w:noProof/>
    </w:rPr>
  </w:style>
  <w:style w:type="paragraph" w:styleId="Index2">
    <w:name w:val="index 2"/>
    <w:basedOn w:val="Normal"/>
    <w:next w:val="Normal"/>
    <w:semiHidden/>
    <w:rsid w:val="004B7212"/>
    <w:pPr>
      <w:tabs>
        <w:tab w:val="right" w:pos="4176"/>
      </w:tabs>
      <w:ind w:left="568" w:hanging="284"/>
    </w:pPr>
    <w:rPr>
      <w:rFonts w:ascii="Garamond" w:hAnsi="Garamond"/>
    </w:rPr>
  </w:style>
  <w:style w:type="paragraph" w:customStyle="1" w:styleId="Byline">
    <w:name w:val="Byline"/>
    <w:rsid w:val="004B72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212"/>
    <w:pPr>
      <w:tabs>
        <w:tab w:val="clear" w:pos="3600"/>
        <w:tab w:val="clear" w:pos="3958"/>
      </w:tabs>
      <w:jc w:val="right"/>
    </w:pPr>
  </w:style>
  <w:style w:type="character" w:styleId="Emphasis">
    <w:name w:val="Emphasis"/>
    <w:basedOn w:val="DefaultParagraphFont"/>
    <w:qFormat/>
    <w:rsid w:val="004B7212"/>
    <w:rPr>
      <w:i/>
    </w:rPr>
  </w:style>
  <w:style w:type="paragraph" w:styleId="Caption">
    <w:name w:val="caption"/>
    <w:basedOn w:val="BodyText"/>
    <w:next w:val="Normal"/>
    <w:qFormat/>
    <w:rsid w:val="004B7212"/>
    <w:pPr>
      <w:framePr w:w="2268" w:hSpace="181" w:vSpace="181" w:wrap="around" w:vAnchor="text" w:hAnchor="page" w:x="1135" w:y="285" w:anchorLock="1"/>
    </w:pPr>
    <w:rPr>
      <w:i/>
    </w:rPr>
  </w:style>
  <w:style w:type="paragraph" w:customStyle="1" w:styleId="MiniTOCTitle">
    <w:name w:val="MiniTOCTitle"/>
    <w:basedOn w:val="Heading4"/>
    <w:rsid w:val="004B7212"/>
    <w:pPr>
      <w:spacing w:before="240"/>
      <w:outlineLvl w:val="9"/>
    </w:pPr>
    <w:rPr>
      <w:noProof/>
      <w:sz w:val="24"/>
    </w:rPr>
  </w:style>
  <w:style w:type="paragraph" w:customStyle="1" w:styleId="MiniTOCItem">
    <w:name w:val="MiniTOCItem"/>
    <w:basedOn w:val="ListBullet"/>
    <w:rsid w:val="004B7212"/>
    <w:pPr>
      <w:numPr>
        <w:numId w:val="0"/>
      </w:numPr>
      <w:tabs>
        <w:tab w:val="right" w:leader="dot" w:pos="6521"/>
      </w:tabs>
      <w:spacing w:before="0" w:after="0"/>
    </w:pPr>
  </w:style>
  <w:style w:type="paragraph" w:customStyle="1" w:styleId="TOFTitle">
    <w:name w:val="TOFTitle"/>
    <w:basedOn w:val="TOCTitle"/>
    <w:rsid w:val="004B7212"/>
  </w:style>
  <w:style w:type="paragraph" w:styleId="TableofFigures">
    <w:name w:val="table of figures"/>
    <w:basedOn w:val="Normal"/>
    <w:next w:val="Normal"/>
    <w:semiHidden/>
    <w:rsid w:val="004B7212"/>
    <w:pPr>
      <w:tabs>
        <w:tab w:val="right" w:leader="dot" w:pos="9072"/>
      </w:tabs>
      <w:ind w:left="970" w:hanging="403"/>
    </w:pPr>
    <w:rPr>
      <w:rFonts w:ascii="Times New Roman" w:hAnsi="Times New Roman"/>
      <w:b/>
    </w:rPr>
  </w:style>
  <w:style w:type="paragraph" w:styleId="ListNumber">
    <w:name w:val="List Number"/>
    <w:basedOn w:val="List"/>
    <w:rsid w:val="004B7212"/>
    <w:pPr>
      <w:numPr>
        <w:numId w:val="11"/>
      </w:numPr>
    </w:pPr>
  </w:style>
  <w:style w:type="character" w:customStyle="1" w:styleId="WingdingSymbols">
    <w:name w:val="Wingding Symbols"/>
    <w:rsid w:val="004B7212"/>
    <w:rPr>
      <w:rFonts w:ascii="Wingdings" w:hAnsi="Wingdings"/>
    </w:rPr>
  </w:style>
  <w:style w:type="paragraph" w:customStyle="1" w:styleId="TableHeading">
    <w:name w:val="Table Heading"/>
    <w:basedOn w:val="HeadingBase"/>
    <w:rsid w:val="004B7212"/>
    <w:pPr>
      <w:keepLines/>
      <w:pBdr>
        <w:bottom w:val="single" w:sz="6" w:space="1" w:color="918585"/>
      </w:pBdr>
      <w:spacing w:before="240"/>
    </w:pPr>
  </w:style>
  <w:style w:type="character" w:customStyle="1" w:styleId="HotSpot">
    <w:name w:val="HotSpot"/>
    <w:rsid w:val="004B7212"/>
    <w:rPr>
      <w:color w:val="0033CC"/>
      <w:u w:val="none"/>
    </w:rPr>
  </w:style>
  <w:style w:type="paragraph" w:customStyle="1" w:styleId="BodyTextRight">
    <w:name w:val="Body Text Right"/>
    <w:basedOn w:val="BodyText"/>
    <w:rsid w:val="004B7212"/>
    <w:pPr>
      <w:spacing w:before="0" w:after="0"/>
      <w:jc w:val="right"/>
    </w:pPr>
  </w:style>
  <w:style w:type="paragraph" w:styleId="Index3">
    <w:name w:val="index 3"/>
    <w:basedOn w:val="ListNumber2"/>
    <w:next w:val="Normal"/>
    <w:semiHidden/>
    <w:rsid w:val="004B7212"/>
    <w:pPr>
      <w:numPr>
        <w:numId w:val="0"/>
      </w:numPr>
      <w:tabs>
        <w:tab w:val="right" w:leader="dot" w:pos="4176"/>
      </w:tabs>
    </w:pPr>
  </w:style>
  <w:style w:type="paragraph" w:styleId="ListNumber2">
    <w:name w:val="List Number 2"/>
    <w:basedOn w:val="List2"/>
    <w:rsid w:val="004B7212"/>
    <w:pPr>
      <w:numPr>
        <w:numId w:val="10"/>
      </w:numPr>
      <w:tabs>
        <w:tab w:val="clear" w:pos="1060"/>
      </w:tabs>
    </w:pPr>
  </w:style>
  <w:style w:type="paragraph" w:customStyle="1" w:styleId="MarginNote">
    <w:name w:val="Margin Note"/>
    <w:basedOn w:val="BodyText"/>
    <w:rsid w:val="004B72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2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2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7212"/>
    <w:rPr>
      <w:sz w:val="32"/>
    </w:rPr>
  </w:style>
  <w:style w:type="paragraph" w:customStyle="1" w:styleId="HeadingProcedure">
    <w:name w:val="Heading Procedure"/>
    <w:basedOn w:val="HeadingBase"/>
    <w:next w:val="Normal"/>
    <w:rsid w:val="004B7212"/>
    <w:pPr>
      <w:tabs>
        <w:tab w:val="left" w:pos="0"/>
      </w:tabs>
      <w:spacing w:before="120" w:after="60"/>
    </w:pPr>
    <w:rPr>
      <w:i/>
      <w:color w:val="918585"/>
      <w:sz w:val="22"/>
    </w:rPr>
  </w:style>
  <w:style w:type="paragraph" w:customStyle="1" w:styleId="TableBodyText">
    <w:name w:val="Table Body Text"/>
    <w:basedOn w:val="BodyText"/>
    <w:rsid w:val="004B7212"/>
    <w:pPr>
      <w:spacing w:before="60" w:after="60"/>
    </w:pPr>
  </w:style>
  <w:style w:type="paragraph" w:styleId="ListContinue">
    <w:name w:val="List Continue"/>
    <w:basedOn w:val="List"/>
    <w:rsid w:val="004B7212"/>
    <w:pPr>
      <w:ind w:firstLine="0"/>
    </w:pPr>
  </w:style>
  <w:style w:type="paragraph" w:customStyle="1" w:styleId="ListNote">
    <w:name w:val="List Note"/>
    <w:basedOn w:val="List"/>
    <w:rsid w:val="004B7212"/>
    <w:pPr>
      <w:pBdr>
        <w:top w:val="single" w:sz="6" w:space="2" w:color="918585"/>
        <w:bottom w:val="single" w:sz="6" w:space="2" w:color="918585"/>
      </w:pBdr>
      <w:tabs>
        <w:tab w:val="left" w:pos="1021"/>
      </w:tabs>
      <w:ind w:firstLine="0"/>
    </w:pPr>
  </w:style>
  <w:style w:type="paragraph" w:customStyle="1" w:styleId="Warning">
    <w:name w:val="Warning"/>
    <w:basedOn w:val="BodyText"/>
    <w:rsid w:val="004B7212"/>
    <w:pPr>
      <w:shd w:val="clear" w:color="auto" w:fill="D9D9D9"/>
      <w:tabs>
        <w:tab w:val="left" w:pos="992"/>
      </w:tabs>
      <w:ind w:left="119" w:right="119"/>
    </w:pPr>
    <w:rPr>
      <w:sz w:val="20"/>
    </w:rPr>
  </w:style>
  <w:style w:type="paragraph" w:customStyle="1" w:styleId="MarginIcons">
    <w:name w:val="Margin Icons"/>
    <w:basedOn w:val="BodyText"/>
    <w:rsid w:val="004B72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212"/>
    <w:rPr>
      <w:rFonts w:ascii="Courier New" w:hAnsi="Courier New"/>
    </w:rPr>
  </w:style>
  <w:style w:type="paragraph" w:customStyle="1" w:styleId="NoteBullet">
    <w:name w:val="Note Bullet"/>
    <w:basedOn w:val="Note"/>
    <w:rsid w:val="004B7212"/>
    <w:pPr>
      <w:tabs>
        <w:tab w:val="clear" w:pos="680"/>
      </w:tabs>
      <w:spacing w:before="60" w:after="60"/>
    </w:pPr>
  </w:style>
  <w:style w:type="paragraph" w:customStyle="1" w:styleId="SubHeading2">
    <w:name w:val="SubHeading2"/>
    <w:basedOn w:val="HeadingBase"/>
    <w:rsid w:val="004B7212"/>
    <w:pPr>
      <w:spacing w:before="240" w:after="60"/>
    </w:pPr>
    <w:rPr>
      <w:sz w:val="20"/>
    </w:rPr>
  </w:style>
  <w:style w:type="paragraph" w:customStyle="1" w:styleId="SubHeading1">
    <w:name w:val="SubHeading1"/>
    <w:basedOn w:val="HeadingBase"/>
    <w:rsid w:val="004B7212"/>
    <w:pPr>
      <w:spacing w:before="240" w:after="60"/>
    </w:pPr>
    <w:rPr>
      <w:color w:val="918585"/>
      <w:sz w:val="22"/>
    </w:rPr>
  </w:style>
  <w:style w:type="paragraph" w:customStyle="1" w:styleId="SideHeading">
    <w:name w:val="Side Heading"/>
    <w:basedOn w:val="HeadingBase"/>
    <w:rsid w:val="004B72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212"/>
    <w:pPr>
      <w:numPr>
        <w:numId w:val="12"/>
      </w:numPr>
    </w:pPr>
  </w:style>
  <w:style w:type="paragraph" w:styleId="PlainText">
    <w:name w:val="Plain Text"/>
    <w:basedOn w:val="Normal"/>
    <w:link w:val="PlainTextChar"/>
    <w:rsid w:val="004B7212"/>
    <w:rPr>
      <w:sz w:val="20"/>
    </w:rPr>
  </w:style>
  <w:style w:type="character" w:customStyle="1" w:styleId="PlainTextChar">
    <w:name w:val="Plain Text Char"/>
    <w:basedOn w:val="DefaultParagraphFont"/>
    <w:link w:val="PlainText"/>
    <w:rsid w:val="004B72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7212"/>
    <w:rPr>
      <w:b/>
      <w:smallCaps/>
    </w:rPr>
  </w:style>
  <w:style w:type="paragraph" w:customStyle="1" w:styleId="TableListNumber">
    <w:name w:val="Table List Number"/>
    <w:basedOn w:val="ListNumber"/>
    <w:rsid w:val="004B7212"/>
    <w:pPr>
      <w:numPr>
        <w:numId w:val="0"/>
      </w:numPr>
    </w:pPr>
  </w:style>
  <w:style w:type="paragraph" w:styleId="TOC4">
    <w:name w:val="toc 4"/>
    <w:basedOn w:val="TOCBase"/>
    <w:next w:val="Normal"/>
    <w:semiHidden/>
    <w:rsid w:val="004B7212"/>
    <w:pPr>
      <w:tabs>
        <w:tab w:val="right" w:leader="dot" w:pos="9071"/>
      </w:tabs>
      <w:ind w:left="1701"/>
    </w:pPr>
  </w:style>
  <w:style w:type="paragraph" w:customStyle="1" w:styleId="ListAlpha">
    <w:name w:val="List Alpha"/>
    <w:basedOn w:val="List"/>
    <w:rsid w:val="004B7212"/>
    <w:pPr>
      <w:numPr>
        <w:numId w:val="9"/>
      </w:numPr>
    </w:pPr>
  </w:style>
  <w:style w:type="paragraph" w:customStyle="1" w:styleId="ListAlpha2">
    <w:name w:val="List Alpha 2"/>
    <w:basedOn w:val="List2"/>
    <w:rsid w:val="004B7212"/>
    <w:pPr>
      <w:numPr>
        <w:numId w:val="8"/>
      </w:numPr>
    </w:pPr>
  </w:style>
  <w:style w:type="paragraph" w:styleId="List3">
    <w:name w:val="List 3"/>
    <w:basedOn w:val="BodyText"/>
    <w:rsid w:val="004B7212"/>
    <w:pPr>
      <w:tabs>
        <w:tab w:val="left" w:pos="1021"/>
      </w:tabs>
      <w:spacing w:before="60" w:after="60"/>
      <w:ind w:left="1020" w:hanging="340"/>
    </w:pPr>
  </w:style>
  <w:style w:type="paragraph" w:styleId="List4">
    <w:name w:val="List 4"/>
    <w:basedOn w:val="BodyText"/>
    <w:rsid w:val="004B7212"/>
    <w:pPr>
      <w:tabs>
        <w:tab w:val="left" w:pos="1361"/>
      </w:tabs>
      <w:spacing w:before="60" w:after="60"/>
      <w:ind w:left="1361" w:hanging="340"/>
    </w:pPr>
  </w:style>
  <w:style w:type="paragraph" w:styleId="List5">
    <w:name w:val="List 5"/>
    <w:basedOn w:val="BodyText"/>
    <w:rsid w:val="004B7212"/>
    <w:pPr>
      <w:tabs>
        <w:tab w:val="left" w:pos="1701"/>
      </w:tabs>
      <w:spacing w:before="60" w:after="60"/>
      <w:ind w:left="1701" w:hanging="340"/>
    </w:pPr>
  </w:style>
  <w:style w:type="paragraph" w:styleId="ListBullet3">
    <w:name w:val="List Bullet 3"/>
    <w:basedOn w:val="List3"/>
    <w:rsid w:val="004B7212"/>
    <w:pPr>
      <w:numPr>
        <w:numId w:val="15"/>
      </w:numPr>
      <w:tabs>
        <w:tab w:val="clear" w:pos="1021"/>
      </w:tabs>
      <w:ind w:left="1037" w:hanging="357"/>
    </w:pPr>
  </w:style>
  <w:style w:type="paragraph" w:styleId="ListBullet4">
    <w:name w:val="List Bullet 4"/>
    <w:basedOn w:val="List4"/>
    <w:rsid w:val="004B7212"/>
    <w:pPr>
      <w:numPr>
        <w:numId w:val="3"/>
      </w:numPr>
    </w:pPr>
  </w:style>
  <w:style w:type="paragraph" w:styleId="ListBullet5">
    <w:name w:val="List Bullet 5"/>
    <w:basedOn w:val="List5"/>
    <w:rsid w:val="004B7212"/>
    <w:pPr>
      <w:numPr>
        <w:numId w:val="4"/>
      </w:numPr>
    </w:pPr>
  </w:style>
  <w:style w:type="paragraph" w:styleId="ListContinue2">
    <w:name w:val="List Continue 2"/>
    <w:basedOn w:val="List2"/>
    <w:rsid w:val="004B7212"/>
    <w:pPr>
      <w:ind w:firstLine="0"/>
    </w:pPr>
  </w:style>
  <w:style w:type="paragraph" w:styleId="ListContinue3">
    <w:name w:val="List Continue 3"/>
    <w:basedOn w:val="List3"/>
    <w:rsid w:val="004B7212"/>
    <w:pPr>
      <w:ind w:left="1021" w:firstLine="0"/>
    </w:pPr>
  </w:style>
  <w:style w:type="paragraph" w:styleId="ListContinue4">
    <w:name w:val="List Continue 4"/>
    <w:basedOn w:val="List4"/>
    <w:rsid w:val="004B7212"/>
    <w:pPr>
      <w:ind w:firstLine="0"/>
    </w:pPr>
  </w:style>
  <w:style w:type="paragraph" w:styleId="ListContinue5">
    <w:name w:val="List Continue 5"/>
    <w:basedOn w:val="List5"/>
    <w:rsid w:val="004B7212"/>
    <w:pPr>
      <w:ind w:firstLine="0"/>
    </w:pPr>
  </w:style>
  <w:style w:type="paragraph" w:styleId="ListNumber3">
    <w:name w:val="List Number 3"/>
    <w:basedOn w:val="List3"/>
    <w:rsid w:val="004B7212"/>
    <w:pPr>
      <w:numPr>
        <w:numId w:val="5"/>
      </w:numPr>
    </w:pPr>
  </w:style>
  <w:style w:type="paragraph" w:styleId="ListNumber4">
    <w:name w:val="List Number 4"/>
    <w:basedOn w:val="List4"/>
    <w:rsid w:val="004B7212"/>
    <w:pPr>
      <w:numPr>
        <w:numId w:val="6"/>
      </w:numPr>
    </w:pPr>
  </w:style>
  <w:style w:type="paragraph" w:styleId="ListNumber5">
    <w:name w:val="List Number 5"/>
    <w:basedOn w:val="List5"/>
    <w:rsid w:val="004B7212"/>
    <w:pPr>
      <w:numPr>
        <w:numId w:val="7"/>
      </w:numPr>
    </w:pPr>
  </w:style>
  <w:style w:type="paragraph" w:styleId="BlockText">
    <w:name w:val="Block Text"/>
    <w:basedOn w:val="Normal"/>
    <w:rsid w:val="004B7212"/>
    <w:pPr>
      <w:spacing w:after="120"/>
      <w:ind w:left="1440" w:right="1440"/>
    </w:pPr>
  </w:style>
  <w:style w:type="character" w:customStyle="1" w:styleId="Subscript">
    <w:name w:val="Subscript"/>
    <w:basedOn w:val="DefaultParagraphFont"/>
    <w:rsid w:val="004B7212"/>
    <w:rPr>
      <w:sz w:val="16"/>
      <w:vertAlign w:val="subscript"/>
    </w:rPr>
  </w:style>
  <w:style w:type="character" w:customStyle="1" w:styleId="Superscript">
    <w:name w:val="Superscript"/>
    <w:basedOn w:val="DefaultParagraphFont"/>
    <w:rsid w:val="004B7212"/>
    <w:rPr>
      <w:sz w:val="16"/>
      <w:vertAlign w:val="superscript"/>
    </w:rPr>
  </w:style>
  <w:style w:type="character" w:customStyle="1" w:styleId="Symbols">
    <w:name w:val="Symbols"/>
    <w:basedOn w:val="DefaultParagraphFont"/>
    <w:rsid w:val="004B7212"/>
    <w:rPr>
      <w:rFonts w:ascii="Symbol" w:hAnsi="Symbol"/>
    </w:rPr>
  </w:style>
  <w:style w:type="character" w:customStyle="1" w:styleId="MenuOptions">
    <w:name w:val="Menu Options"/>
    <w:basedOn w:val="DefaultParagraphFont"/>
    <w:rsid w:val="004B7212"/>
    <w:rPr>
      <w:rFonts w:ascii="Arial Narrow" w:hAnsi="Arial Narrow"/>
      <w:smallCaps/>
    </w:rPr>
  </w:style>
  <w:style w:type="character" w:customStyle="1" w:styleId="Buttons">
    <w:name w:val="Buttons"/>
    <w:basedOn w:val="DefaultParagraphFont"/>
    <w:rsid w:val="004B7212"/>
    <w:rPr>
      <w:b/>
    </w:rPr>
  </w:style>
  <w:style w:type="character" w:customStyle="1" w:styleId="Underlined">
    <w:name w:val="Underlined"/>
    <w:basedOn w:val="DefaultParagraphFont"/>
    <w:rsid w:val="004B7212"/>
    <w:rPr>
      <w:u w:val="single"/>
    </w:rPr>
  </w:style>
  <w:style w:type="paragraph" w:customStyle="1" w:styleId="TableBodyTextRight">
    <w:name w:val="Table Body Text Right"/>
    <w:basedOn w:val="TableBodyText"/>
    <w:rsid w:val="004B7212"/>
    <w:pPr>
      <w:widowControl w:val="0"/>
      <w:autoSpaceDE w:val="0"/>
      <w:autoSpaceDN w:val="0"/>
      <w:adjustRightInd w:val="0"/>
      <w:jc w:val="right"/>
    </w:pPr>
    <w:rPr>
      <w:rFonts w:cs="Arial"/>
      <w:szCs w:val="18"/>
    </w:rPr>
  </w:style>
  <w:style w:type="paragraph" w:customStyle="1" w:styleId="CopyrightText">
    <w:name w:val="Copyright Text"/>
    <w:basedOn w:val="BodyText"/>
    <w:rsid w:val="004B7212"/>
    <w:rPr>
      <w:sz w:val="18"/>
    </w:rPr>
  </w:style>
  <w:style w:type="paragraph" w:customStyle="1" w:styleId="BodySmallRight">
    <w:name w:val="Body Small Right"/>
    <w:basedOn w:val="BodyTextRight"/>
    <w:rsid w:val="004B7212"/>
    <w:rPr>
      <w:sz w:val="18"/>
      <w:szCs w:val="18"/>
    </w:rPr>
  </w:style>
  <w:style w:type="paragraph" w:customStyle="1" w:styleId="MarginEdition">
    <w:name w:val="Margin Edition"/>
    <w:basedOn w:val="MarginNote"/>
    <w:rsid w:val="004B7212"/>
    <w:pPr>
      <w:spacing w:before="0" w:after="0"/>
    </w:pPr>
    <w:rPr>
      <w:rFonts w:ascii="Times New Roman" w:hAnsi="Times New Roman"/>
      <w:color w:val="999999"/>
    </w:rPr>
  </w:style>
  <w:style w:type="paragraph" w:customStyle="1" w:styleId="Spacer">
    <w:name w:val="Spacer"/>
    <w:basedOn w:val="Normal"/>
    <w:rsid w:val="004B7212"/>
    <w:rPr>
      <w:sz w:val="2"/>
      <w:szCs w:val="2"/>
    </w:rPr>
  </w:style>
  <w:style w:type="character" w:customStyle="1" w:styleId="Small">
    <w:name w:val="Small"/>
    <w:basedOn w:val="DefaultParagraphFont"/>
    <w:rsid w:val="004B7212"/>
    <w:rPr>
      <w:sz w:val="16"/>
    </w:rPr>
  </w:style>
  <w:style w:type="paragraph" w:customStyle="1" w:styleId="WideTable">
    <w:name w:val="Wide Table"/>
    <w:basedOn w:val="Normal"/>
    <w:rsid w:val="004B7212"/>
    <w:pPr>
      <w:ind w:left="-1418"/>
    </w:pPr>
    <w:rPr>
      <w:sz w:val="2"/>
      <w:szCs w:val="2"/>
    </w:rPr>
  </w:style>
  <w:style w:type="character" w:styleId="PageNumber">
    <w:name w:val="page number"/>
    <w:basedOn w:val="DefaultParagraphFont"/>
    <w:rsid w:val="004B7212"/>
  </w:style>
  <w:style w:type="paragraph" w:styleId="Quote">
    <w:name w:val="Quote"/>
    <w:basedOn w:val="Heading1"/>
    <w:link w:val="QuoteChar"/>
    <w:qFormat/>
    <w:rsid w:val="004B7212"/>
    <w:rPr>
      <w:b w:val="0"/>
      <w:sz w:val="72"/>
      <w:szCs w:val="72"/>
      <w:lang w:val="en-NZ"/>
    </w:rPr>
  </w:style>
  <w:style w:type="character" w:customStyle="1" w:styleId="QuoteChar">
    <w:name w:val="Quote Char"/>
    <w:basedOn w:val="DefaultParagraphFont"/>
    <w:link w:val="Quote"/>
    <w:rsid w:val="004B72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212"/>
    <w:pPr>
      <w:pageBreakBefore/>
    </w:pPr>
  </w:style>
  <w:style w:type="paragraph" w:customStyle="1" w:styleId="Border">
    <w:name w:val="Border"/>
    <w:basedOn w:val="Normal"/>
    <w:qFormat/>
    <w:rsid w:val="004B72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212"/>
    <w:rPr>
      <w:b/>
      <w:bCs/>
      <w:i/>
      <w:iCs/>
      <w:color w:val="auto"/>
    </w:rPr>
  </w:style>
  <w:style w:type="paragraph" w:styleId="IntenseQuote">
    <w:name w:val="Intense Quote"/>
    <w:basedOn w:val="Normal"/>
    <w:next w:val="Normal"/>
    <w:link w:val="IntenseQuoteChar"/>
    <w:uiPriority w:val="30"/>
    <w:qFormat/>
    <w:rsid w:val="004B72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2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7212"/>
    <w:rPr>
      <w:smallCaps/>
      <w:color w:val="auto"/>
      <w:u w:val="single"/>
    </w:rPr>
  </w:style>
  <w:style w:type="character" w:styleId="IntenseReference">
    <w:name w:val="Intense Reference"/>
    <w:basedOn w:val="DefaultParagraphFont"/>
    <w:uiPriority w:val="32"/>
    <w:qFormat/>
    <w:rsid w:val="004B7212"/>
    <w:rPr>
      <w:b/>
      <w:bCs/>
      <w:smallCaps/>
      <w:color w:val="auto"/>
      <w:spacing w:val="5"/>
      <w:u w:val="single"/>
    </w:rPr>
  </w:style>
  <w:style w:type="paragraph" w:customStyle="1" w:styleId="2ColumnHeading">
    <w:name w:val="2Column Heading"/>
    <w:basedOn w:val="BodyText"/>
    <w:qFormat/>
    <w:rsid w:val="004B7212"/>
    <w:pPr>
      <w:spacing w:after="60"/>
      <w:ind w:left="-2268"/>
    </w:pPr>
    <w:rPr>
      <w:b/>
    </w:rPr>
  </w:style>
  <w:style w:type="paragraph" w:customStyle="1" w:styleId="Heading1TOC">
    <w:name w:val="Heading1 TOC"/>
    <w:basedOn w:val="Normal"/>
    <w:qFormat/>
    <w:rsid w:val="004B7212"/>
    <w:pPr>
      <w:spacing w:before="240" w:after="120"/>
    </w:pPr>
    <w:rPr>
      <w:rFonts w:ascii="Times New Roman" w:hAnsi="Times New Roman"/>
      <w:b/>
      <w:sz w:val="32"/>
    </w:rPr>
  </w:style>
  <w:style w:type="paragraph" w:customStyle="1" w:styleId="Heading2TOC">
    <w:name w:val="Heading2 TOC"/>
    <w:basedOn w:val="Normal"/>
    <w:qFormat/>
    <w:rsid w:val="004B7212"/>
    <w:pPr>
      <w:spacing w:before="240" w:after="60"/>
    </w:pPr>
    <w:rPr>
      <w:rFonts w:ascii="Times New Roman" w:hAnsi="Times New Roman"/>
      <w:b/>
      <w:sz w:val="28"/>
    </w:rPr>
  </w:style>
  <w:style w:type="character" w:customStyle="1" w:styleId="Underline">
    <w:name w:val="Underline"/>
    <w:basedOn w:val="DefaultParagraphFont"/>
    <w:qFormat/>
    <w:rsid w:val="004B7212"/>
    <w:rPr>
      <w:u w:val="single"/>
    </w:rPr>
  </w:style>
  <w:style w:type="paragraph" w:styleId="BalloonText">
    <w:name w:val="Balloon Text"/>
    <w:basedOn w:val="Normal"/>
    <w:link w:val="BalloonTextChar"/>
    <w:rsid w:val="004B7212"/>
    <w:rPr>
      <w:rFonts w:ascii="Tahoma" w:hAnsi="Tahoma" w:cs="Tahoma"/>
      <w:sz w:val="16"/>
      <w:szCs w:val="16"/>
    </w:rPr>
  </w:style>
  <w:style w:type="character" w:customStyle="1" w:styleId="BalloonTextChar">
    <w:name w:val="Balloon Text Char"/>
    <w:basedOn w:val="DefaultParagraphFont"/>
    <w:link w:val="BalloonText"/>
    <w:rsid w:val="004B72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72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72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1973</Words>
  <Characters>12301</Characters>
  <Application>Microsoft Office Word</Application>
  <DocSecurity>0</DocSecurity>
  <Lines>438</Lines>
  <Paragraphs>230</Paragraphs>
  <ScaleCrop>false</ScaleCrop>
  <Company>Author-it Software Corporation Ltd.</Company>
  <LinksUpToDate>false</LinksUpToDate>
  <CharactersWithSpaces>14182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CPCCST3014A Set and anchor stone facades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2012-05-26T05:38:00Z</dcterms:created>
  <dcterms:modified xsi:type="dcterms:W3CDTF">2012-05-26T05:39:00Z</dcterms:modified>
</cp:coreProperties>
</file>