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56B1" w:rsidP="004A56B1">
      <w:pPr>
        <w:pStyle w:val="Title"/>
      </w:pPr>
      <w:r>
        <w:fldChar w:fldCharType="begin"/>
      </w:r>
      <w:r>
        <w:instrText xml:space="preserve"> TITLE   \* MERGEFORMAT </w:instrText>
      </w:r>
      <w:r>
        <w:fldChar w:fldCharType="separate"/>
      </w:r>
      <w:r>
        <w:t>CPCCST3008A Inlay lead to stone</w:t>
      </w:r>
      <w:r>
        <w:fldChar w:fldCharType="end"/>
      </w:r>
    </w:p>
    <w:p w:rsidR="004A56B1" w:rsidP="004A56B1">
      <w:pPr>
        <w:pStyle w:val="Version"/>
        <w:sectPr w:rsidSect="00D975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7592" w:rsidP="00D97592">
      <w:pPr>
        <w:pStyle w:val="SuperHeading"/>
      </w:pPr>
      <w:r w:rsidRPr="00D97592">
        <w:t>CPCCST3008A Inlay lead to stone</w:t>
      </w:r>
    </w:p>
    <w:p w:rsidR="00000000" w:rsidRPr="00D97592" w:rsidP="00D97592">
      <w:pPr>
        <w:pStyle w:val="Heading1"/>
      </w:pPr>
      <w:bookmarkStart w:id="1" w:name="O_269724"/>
      <w:bookmarkEnd w:id="1"/>
      <w:r w:rsidRPr="00D97592">
        <w:t>Modification History</w:t>
      </w:r>
    </w:p>
    <w:p w:rsidR="00000000" w:rsidRPr="00D97592" w:rsidP="00D97592">
      <w:pPr>
        <w:pStyle w:val="BodyText"/>
      </w:pPr>
      <w:r w:rsidRPr="00D97592">
        <w:t>Not Applicable</w:t>
      </w:r>
    </w:p>
    <w:p w:rsidR="00000000" w:rsidRPr="00D97592" w:rsidP="00D97592">
      <w:pPr>
        <w:pStyle w:val="AllowPageBreak"/>
      </w:pPr>
    </w:p>
    <w:p w:rsidR="00000000" w:rsidRPr="00D97592" w:rsidP="00D97592">
      <w:pPr>
        <w:pStyle w:val="Heading1"/>
      </w:pPr>
      <w:bookmarkStart w:id="2" w:name="O_198843"/>
      <w:bookmarkEnd w:id="2"/>
      <w:r w:rsidRPr="00D97592">
        <w:t>Unit Descriptor</w:t>
      </w:r>
    </w:p>
    <w:tbl>
      <w:tblPr>
        <w:tblW w:w="0" w:type="auto"/>
        <w:tblLayout w:type="fixed"/>
        <w:tblCellMar>
          <w:left w:w="62" w:type="dxa"/>
          <w:right w:w="62" w:type="dxa"/>
        </w:tblCellMar>
        <w:tblLook w:val="0000"/>
      </w:tblPr>
      <w:tblGrid>
        <w:gridCol w:w="2499"/>
        <w:gridCol w:w="6023"/>
      </w:tblGrid>
      <w:tr w:rsidTr="004A56B1">
        <w:tblPrEx>
          <w:tblW w:w="0" w:type="auto"/>
          <w:tblLayout w:type="fixed"/>
          <w:tblCellMar>
            <w:left w:w="62" w:type="dxa"/>
            <w:right w:w="62" w:type="dxa"/>
          </w:tblCellMar>
          <w:tblLook w:val="0000"/>
        </w:tblPrEx>
        <w:trPr>
          <w:tblHeader/>
        </w:trPr>
        <w:tc>
          <w:tcPr>
            <w:tcW w:w="2499" w:type="dxa"/>
            <w:tcBorders>
              <w:top w:val="nil"/>
              <w:left w:val="nil"/>
              <w:bottom w:val="nil"/>
              <w:right w:val="nil"/>
            </w:tcBorders>
            <w:tcMar>
              <w:top w:w="0" w:type="dxa"/>
              <w:left w:w="62" w:type="dxa"/>
              <w:bottom w:w="0" w:type="dxa"/>
              <w:right w:w="62" w:type="dxa"/>
            </w:tcMar>
          </w:tcPr>
          <w:p w:rsidR="00000000" w:rsidP="00D97592">
            <w:pPr>
              <w:pStyle w:val="BodyText"/>
              <w:rPr>
                <w:lang w:val="en-NZ"/>
              </w:rPr>
            </w:pPr>
            <w:r w:rsidRPr="00D97592">
              <w:rPr>
                <w:rStyle w:val="SpecialBold"/>
              </w:rPr>
              <w:t>Unit descriptor</w:t>
            </w:r>
          </w:p>
        </w:tc>
        <w:tc>
          <w:tcPr>
            <w:tcW w:w="6023" w:type="dxa"/>
            <w:tcBorders>
              <w:top w:val="nil"/>
              <w:left w:val="nil"/>
              <w:bottom w:val="nil"/>
              <w:right w:val="nil"/>
            </w:tcBorders>
            <w:tcMar>
              <w:top w:w="0" w:type="dxa"/>
              <w:left w:w="62" w:type="dxa"/>
              <w:bottom w:w="0" w:type="dxa"/>
              <w:right w:w="62" w:type="dxa"/>
            </w:tcMar>
          </w:tcPr>
          <w:p w:rsidR="00000000" w:rsidRPr="00D97592" w:rsidP="00D97592">
            <w:pPr>
              <w:pStyle w:val="BodyText"/>
            </w:pPr>
            <w:r w:rsidRPr="00D97592">
              <w:t>This unit specifies the outcomes required to inlay lead to lettering or shapes carved into stone surfaces.</w:t>
            </w:r>
          </w:p>
        </w:tc>
      </w:tr>
    </w:tbl>
    <w:p w:rsidR="004A56B1" w:rsidP="00D97592">
      <w:pPr>
        <w:pStyle w:val="BodyText"/>
      </w:pPr>
    </w:p>
    <w:p w:rsidR="004A56B1" w:rsidP="00D97592">
      <w:pPr>
        <w:pStyle w:val="BodyText"/>
      </w:pPr>
    </w:p>
    <w:p w:rsidR="00000000" w:rsidRPr="00D97592" w:rsidP="00D97592">
      <w:pPr>
        <w:pStyle w:val="Heading1"/>
      </w:pPr>
      <w:bookmarkStart w:id="3" w:name="O_198847"/>
      <w:bookmarkEnd w:id="3"/>
      <w:r w:rsidRPr="00D97592">
        <w:t>Application of the Unit</w:t>
      </w:r>
    </w:p>
    <w:tbl>
      <w:tblPr>
        <w:tblW w:w="0" w:type="auto"/>
        <w:tblLayout w:type="fixed"/>
        <w:tblCellMar>
          <w:left w:w="62" w:type="dxa"/>
          <w:right w:w="62" w:type="dxa"/>
        </w:tblCellMar>
        <w:tblLook w:val="0000"/>
      </w:tblPr>
      <w:tblGrid>
        <w:gridCol w:w="2566"/>
        <w:gridCol w:w="5956"/>
      </w:tblGrid>
      <w:tr w:rsidTr="004A56B1">
        <w:tblPrEx>
          <w:tblW w:w="0" w:type="auto"/>
          <w:tblLayout w:type="fixed"/>
          <w:tblCellMar>
            <w:left w:w="62" w:type="dxa"/>
            <w:right w:w="62" w:type="dxa"/>
          </w:tblCellMar>
          <w:tblLook w:val="0000"/>
        </w:tblPrEx>
        <w:trPr>
          <w:tblHeader/>
        </w:trPr>
        <w:tc>
          <w:tcPr>
            <w:tcW w:w="2566" w:type="dxa"/>
            <w:tcBorders>
              <w:top w:val="nil"/>
              <w:left w:val="nil"/>
              <w:bottom w:val="nil"/>
              <w:right w:val="nil"/>
            </w:tcBorders>
            <w:tcMar>
              <w:top w:w="0" w:type="dxa"/>
              <w:left w:w="62" w:type="dxa"/>
              <w:bottom w:w="0" w:type="dxa"/>
              <w:right w:w="62" w:type="dxa"/>
            </w:tcMar>
          </w:tcPr>
          <w:p w:rsidR="00000000" w:rsidP="00D97592">
            <w:pPr>
              <w:pStyle w:val="BodyText"/>
              <w:rPr>
                <w:lang w:val="en-NZ"/>
              </w:rPr>
            </w:pPr>
            <w:r w:rsidRPr="00D97592">
              <w:rPr>
                <w:rStyle w:val="SpecialBold"/>
              </w:rPr>
              <w:t>Application of the unit</w:t>
            </w:r>
          </w:p>
        </w:tc>
        <w:tc>
          <w:tcPr>
            <w:tcW w:w="5956" w:type="dxa"/>
            <w:tcBorders>
              <w:top w:val="nil"/>
              <w:left w:val="nil"/>
              <w:bottom w:val="nil"/>
              <w:right w:val="nil"/>
            </w:tcBorders>
            <w:tcMar>
              <w:top w:w="0" w:type="dxa"/>
              <w:left w:w="62" w:type="dxa"/>
              <w:bottom w:w="0" w:type="dxa"/>
              <w:right w:w="62" w:type="dxa"/>
            </w:tcMar>
          </w:tcPr>
          <w:p w:rsidR="00000000" w:rsidRPr="00D97592" w:rsidP="00D97592">
            <w:pPr>
              <w:pStyle w:val="BodyText"/>
            </w:pPr>
            <w:r w:rsidRPr="00D97592">
              <w:t xml:space="preserve">This unit of competency supports the achievement of skills and knowledge to inlay lead to stone products, which may include working with others and as a member of a team. </w:t>
            </w:r>
          </w:p>
        </w:tc>
      </w:tr>
    </w:tbl>
    <w:p w:rsidR="004A56B1" w:rsidP="00D97592">
      <w:pPr>
        <w:pStyle w:val="BodyText"/>
      </w:pPr>
    </w:p>
    <w:p w:rsidR="004A56B1" w:rsidP="00D97592">
      <w:pPr>
        <w:pStyle w:val="BodyText"/>
      </w:pPr>
    </w:p>
    <w:p w:rsidR="00000000" w:rsidRPr="00D97592" w:rsidP="00D97592">
      <w:pPr>
        <w:pStyle w:val="Heading1"/>
      </w:pPr>
      <w:bookmarkStart w:id="4" w:name="O_277984"/>
      <w:bookmarkEnd w:id="4"/>
      <w:r w:rsidRPr="00D97592">
        <w:t>Licensin</w:t>
      </w:r>
      <w:r w:rsidRPr="00D97592">
        <w:t>g/Regulatory Information</w:t>
      </w:r>
    </w:p>
    <w:p w:rsidR="00000000" w:rsidRPr="00D97592" w:rsidP="00D97592">
      <w:pPr>
        <w:pStyle w:val="BodyText"/>
      </w:pPr>
      <w:r w:rsidRPr="00D97592">
        <w:t>Not Applicable</w:t>
      </w:r>
    </w:p>
    <w:p w:rsidR="00000000" w:rsidRPr="00D97592" w:rsidP="00D97592">
      <w:pPr>
        <w:pStyle w:val="AllowPageBreak"/>
      </w:pPr>
    </w:p>
    <w:p w:rsidR="00000000" w:rsidRPr="00D97592" w:rsidP="00D97592">
      <w:pPr>
        <w:pStyle w:val="Heading1"/>
      </w:pPr>
      <w:bookmarkStart w:id="5" w:name="O_198845"/>
      <w:bookmarkEnd w:id="5"/>
      <w:r w:rsidRPr="00D97592">
        <w:t>Pre-Requisites</w:t>
      </w:r>
    </w:p>
    <w:tbl>
      <w:tblPr>
        <w:tblW w:w="0" w:type="auto"/>
        <w:tblLayout w:type="fixed"/>
        <w:tblCellMar>
          <w:left w:w="62" w:type="dxa"/>
          <w:right w:w="62" w:type="dxa"/>
        </w:tblCellMar>
        <w:tblLook w:val="0000"/>
      </w:tblPr>
      <w:tblGrid>
        <w:gridCol w:w="2528"/>
        <w:gridCol w:w="2737"/>
        <w:gridCol w:w="3257"/>
      </w:tblGrid>
      <w:tr w:rsidTr="004A56B1">
        <w:tblPrEx>
          <w:tblW w:w="0" w:type="auto"/>
          <w:tblLayout w:type="fixed"/>
          <w:tblCellMar>
            <w:left w:w="62" w:type="dxa"/>
            <w:right w:w="62" w:type="dxa"/>
          </w:tblCellMar>
          <w:tblLook w:val="0000"/>
        </w:tblPrEx>
        <w:trPr>
          <w:tblHeader/>
        </w:trPr>
        <w:tc>
          <w:tcPr>
            <w:tcW w:w="2528" w:type="dxa"/>
            <w:tcBorders>
              <w:top w:val="nil"/>
              <w:left w:val="nil"/>
              <w:bottom w:val="nil"/>
              <w:right w:val="nil"/>
            </w:tcBorders>
            <w:tcMar>
              <w:top w:w="0" w:type="dxa"/>
              <w:left w:w="62" w:type="dxa"/>
              <w:bottom w:w="0" w:type="dxa"/>
              <w:right w:w="62" w:type="dxa"/>
            </w:tcMar>
          </w:tcPr>
          <w:p w:rsidR="00000000" w:rsidP="00D97592">
            <w:pPr>
              <w:pStyle w:val="BodyText"/>
              <w:rPr>
                <w:lang w:val="en-NZ"/>
              </w:rPr>
            </w:pPr>
            <w:r w:rsidRPr="00D97592">
              <w:rPr>
                <w:rStyle w:val="SpecialBold"/>
              </w:rPr>
              <w:t>Prerequisite units</w:t>
            </w:r>
          </w:p>
        </w:tc>
        <w:tc>
          <w:tcPr>
            <w:tcW w:w="5994" w:type="dxa"/>
            <w:gridSpan w:val="2"/>
            <w:tcBorders>
              <w:top w:val="nil"/>
              <w:left w:val="nil"/>
              <w:bottom w:val="nil"/>
              <w:right w:val="nil"/>
            </w:tcBorders>
            <w:tcMar>
              <w:top w:w="0" w:type="dxa"/>
              <w:left w:w="62" w:type="dxa"/>
              <w:bottom w:w="0" w:type="dxa"/>
              <w:right w:w="62" w:type="dxa"/>
            </w:tcMar>
          </w:tcPr>
          <w:p w:rsidR="00000000" w:rsidP="00D97592">
            <w:pPr>
              <w:pStyle w:val="BodyText"/>
              <w:rPr>
                <w:lang w:val="en-NZ"/>
              </w:rPr>
            </w:pPr>
          </w:p>
        </w:tc>
      </w:tr>
      <w:tr w:rsidTr="004A56B1">
        <w:tblPrEx>
          <w:tblW w:w="0" w:type="auto"/>
          <w:tblLayout w:type="fixed"/>
          <w:tblCellMar>
            <w:left w:w="62" w:type="dxa"/>
            <w:right w:w="62" w:type="dxa"/>
          </w:tblCellMar>
          <w:tblLook w:val="0000"/>
        </w:tblPrEx>
        <w:tc>
          <w:tcPr>
            <w:tcW w:w="25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rsidP="00D97592">
            <w:pPr>
              <w:pStyle w:val="BodyText"/>
              <w:rPr>
                <w:lang w:val="en-NZ"/>
              </w:rPr>
            </w:pPr>
            <w:r w:rsidRPr="00D97592">
              <w:t>CPCCOHS2001A</w:t>
            </w:r>
          </w:p>
        </w:tc>
        <w:tc>
          <w:tcPr>
            <w:tcW w:w="3257" w:type="dxa"/>
            <w:tcBorders>
              <w:top w:val="nil"/>
              <w:left w:val="nil"/>
              <w:bottom w:val="nil"/>
              <w:right w:val="nil"/>
            </w:tcBorders>
            <w:tcMar>
              <w:top w:w="0" w:type="dxa"/>
              <w:left w:w="62" w:type="dxa"/>
              <w:bottom w:w="0" w:type="dxa"/>
              <w:right w:w="62" w:type="dxa"/>
            </w:tcMar>
          </w:tcPr>
          <w:p w:rsidR="00000000" w:rsidP="00D97592">
            <w:pPr>
              <w:pStyle w:val="BodyText"/>
              <w:rPr>
                <w:lang w:val="en-NZ"/>
              </w:rPr>
            </w:pPr>
            <w:r w:rsidRPr="00D97592">
              <w:t>Apply OHS requirements, policies and procedures in the construction industry</w:t>
            </w:r>
          </w:p>
        </w:tc>
      </w:tr>
      <w:tr w:rsidTr="004A56B1">
        <w:tblPrEx>
          <w:tblW w:w="0" w:type="auto"/>
          <w:tblLayout w:type="fixed"/>
          <w:tblCellMar>
            <w:left w:w="62" w:type="dxa"/>
            <w:right w:w="62" w:type="dxa"/>
          </w:tblCellMar>
          <w:tblLook w:val="0000"/>
        </w:tblPrEx>
        <w:tc>
          <w:tcPr>
            <w:tcW w:w="25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257" w:type="dxa"/>
            <w:tcBorders>
              <w:top w:val="nil"/>
              <w:left w:val="nil"/>
              <w:bottom w:val="nil"/>
              <w:right w:val="nil"/>
            </w:tcBorders>
            <w:tcMar>
              <w:top w:w="0" w:type="dxa"/>
              <w:left w:w="62" w:type="dxa"/>
              <w:bottom w:w="0" w:type="dxa"/>
              <w:right w:w="62" w:type="dxa"/>
            </w:tcMar>
          </w:tcPr>
          <w:p w:rsidR="00000000" w:rsidRPr="00D97592" w:rsidP="00D97592">
            <w:pPr>
              <w:pStyle w:val="BodyText"/>
            </w:pPr>
          </w:p>
        </w:tc>
      </w:tr>
    </w:tbl>
    <w:p w:rsidR="004A56B1" w:rsidP="00D97592">
      <w:pPr>
        <w:pStyle w:val="BodyText"/>
      </w:pPr>
    </w:p>
    <w:p w:rsidR="004A56B1" w:rsidP="00D97592">
      <w:pPr>
        <w:pStyle w:val="BodyText"/>
      </w:pPr>
    </w:p>
    <w:p w:rsidR="00000000" w:rsidRPr="00D97592" w:rsidP="00D97592">
      <w:pPr>
        <w:pStyle w:val="Heading1"/>
      </w:pPr>
      <w:bookmarkStart w:id="6" w:name="O_198844"/>
      <w:bookmarkEnd w:id="6"/>
      <w:r w:rsidRPr="00D97592">
        <w:t>Employability Skills Information</w:t>
      </w:r>
    </w:p>
    <w:tbl>
      <w:tblPr>
        <w:tblW w:w="0" w:type="auto"/>
        <w:tblLayout w:type="fixed"/>
        <w:tblCellMar>
          <w:left w:w="62" w:type="dxa"/>
          <w:right w:w="62" w:type="dxa"/>
        </w:tblCellMar>
        <w:tblLook w:val="0000"/>
      </w:tblPr>
      <w:tblGrid>
        <w:gridCol w:w="2624"/>
        <w:gridCol w:w="5898"/>
      </w:tblGrid>
      <w:tr w:rsidTr="004A56B1">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D97592">
            <w:pPr>
              <w:pStyle w:val="BodyText"/>
              <w:rPr>
                <w:lang w:val="en-NZ"/>
              </w:rPr>
            </w:pPr>
            <w:r w:rsidRPr="00D97592">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D97592" w:rsidP="00D97592">
            <w:pPr>
              <w:pStyle w:val="BodyText"/>
            </w:pPr>
            <w:r w:rsidRPr="00D97592">
              <w:t>This unit contains employability skills.</w:t>
            </w:r>
          </w:p>
        </w:tc>
      </w:tr>
    </w:tbl>
    <w:p w:rsidR="004A56B1" w:rsidP="00D97592">
      <w:pPr>
        <w:pStyle w:val="BodyText"/>
      </w:pPr>
    </w:p>
    <w:p w:rsidR="004A56B1" w:rsidP="00D97592">
      <w:pPr>
        <w:pStyle w:val="BodyText"/>
      </w:pPr>
    </w:p>
    <w:p w:rsidR="00000000" w:rsidRPr="00D97592" w:rsidP="00D97592">
      <w:pPr>
        <w:pStyle w:val="Heading1"/>
      </w:pPr>
      <w:bookmarkStart w:id="7" w:name="O_287770"/>
      <w:bookmarkEnd w:id="7"/>
      <w:r w:rsidRPr="00D97592">
        <w:t>Elements and Performance Criteria Pre-Content</w:t>
      </w:r>
    </w:p>
    <w:tbl>
      <w:tblPr>
        <w:tblW w:w="0" w:type="auto"/>
        <w:tblLayout w:type="fixed"/>
        <w:tblCellMar>
          <w:left w:w="62" w:type="dxa"/>
          <w:right w:w="62" w:type="dxa"/>
        </w:tblCellMar>
        <w:tblLook w:val="0000"/>
      </w:tblPr>
      <w:tblGrid>
        <w:gridCol w:w="2489"/>
        <w:gridCol w:w="6033"/>
      </w:tblGrid>
      <w:tr w:rsidTr="004A56B1">
        <w:tblPrEx>
          <w:tblW w:w="0" w:type="auto"/>
          <w:tblLayout w:type="fixed"/>
          <w:tblCellMar>
            <w:left w:w="62" w:type="dxa"/>
            <w:right w:w="62" w:type="dxa"/>
          </w:tblCellMar>
          <w:tblLook w:val="0000"/>
        </w:tblPrEx>
        <w:tc>
          <w:tcPr>
            <w:tcW w:w="2489" w:type="dxa"/>
            <w:tcBorders>
              <w:top w:val="single" w:sz="6" w:space="0" w:color="auto"/>
              <w:left w:val="nil"/>
              <w:bottom w:val="nil"/>
              <w:right w:val="nil"/>
            </w:tcBorders>
            <w:tcMar>
              <w:top w:w="0" w:type="dxa"/>
              <w:left w:w="62" w:type="dxa"/>
              <w:bottom w:w="0" w:type="dxa"/>
              <w:right w:w="62" w:type="dxa"/>
            </w:tcMar>
          </w:tcPr>
          <w:p w:rsidR="00000000" w:rsidP="00D97592">
            <w:pPr>
              <w:pStyle w:val="BodyText"/>
              <w:rPr>
                <w:lang w:val="en-NZ"/>
              </w:rPr>
            </w:pPr>
            <w:r w:rsidRPr="00D97592">
              <w:t>Elements describe the essential outcomes of a unit of competency.</w:t>
            </w:r>
          </w:p>
        </w:tc>
        <w:tc>
          <w:tcPr>
            <w:tcW w:w="6033" w:type="dxa"/>
            <w:tcBorders>
              <w:top w:val="single" w:sz="6" w:space="0" w:color="auto"/>
              <w:left w:val="nil"/>
              <w:bottom w:val="nil"/>
              <w:right w:val="nil"/>
            </w:tcBorders>
            <w:tcMar>
              <w:top w:w="0" w:type="dxa"/>
              <w:left w:w="62" w:type="dxa"/>
              <w:bottom w:w="0" w:type="dxa"/>
              <w:right w:w="62" w:type="dxa"/>
            </w:tcMar>
          </w:tcPr>
          <w:p w:rsidR="00000000" w:rsidRPr="00D97592" w:rsidP="00D97592">
            <w:pPr>
              <w:pStyle w:val="BodyText"/>
            </w:pPr>
            <w:r w:rsidRPr="00D97592">
              <w:t>Performance criteria describe the performance needed to demons</w:t>
            </w:r>
            <w:r w:rsidRPr="00D97592">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D97592" w:rsidP="00D97592">
      <w:pPr>
        <w:pStyle w:val="BodyText"/>
      </w:pPr>
    </w:p>
    <w:p w:rsidR="00000000" w:rsidRPr="00D97592" w:rsidP="00D97592">
      <w:pPr>
        <w:pStyle w:val="AllowPageBreak"/>
      </w:pPr>
    </w:p>
    <w:p w:rsidR="00000000" w:rsidRPr="00D97592" w:rsidP="00D97592">
      <w:pPr>
        <w:pStyle w:val="Heading1"/>
      </w:pPr>
      <w:bookmarkStart w:id="8" w:name="O_234437"/>
      <w:bookmarkEnd w:id="8"/>
      <w:r w:rsidRPr="00D97592">
        <w:t>Elements and Performance Criteria</w:t>
      </w:r>
    </w:p>
    <w:tbl>
      <w:tblPr>
        <w:tblW w:w="0" w:type="auto"/>
        <w:tblLayout w:type="fixed"/>
        <w:tblCellMar>
          <w:left w:w="62" w:type="dxa"/>
          <w:right w:w="62" w:type="dxa"/>
        </w:tblCellMar>
        <w:tblLook w:val="0000"/>
      </w:tblPr>
      <w:tblGrid>
        <w:gridCol w:w="2489"/>
        <w:gridCol w:w="6033"/>
      </w:tblGrid>
      <w:tr w:rsidTr="004A56B1">
        <w:tblPrEx>
          <w:tblW w:w="0" w:type="auto"/>
          <w:tblLayout w:type="fixed"/>
          <w:tblCellMar>
            <w:left w:w="62" w:type="dxa"/>
            <w:right w:w="62" w:type="dxa"/>
          </w:tblCellMar>
          <w:tblLook w:val="0000"/>
        </w:tblPrEx>
        <w:trPr>
          <w:tblHeader/>
        </w:trPr>
        <w:tc>
          <w:tcPr>
            <w:tcW w:w="2489" w:type="dxa"/>
            <w:tcBorders>
              <w:top w:val="nil"/>
              <w:left w:val="nil"/>
              <w:bottom w:val="single" w:sz="6" w:space="0" w:color="auto"/>
              <w:right w:val="nil"/>
            </w:tcBorders>
            <w:tcMar>
              <w:top w:w="0" w:type="dxa"/>
              <w:left w:w="62" w:type="dxa"/>
              <w:bottom w:w="0" w:type="dxa"/>
              <w:right w:w="62" w:type="dxa"/>
            </w:tcMar>
          </w:tcPr>
          <w:p w:rsidR="00000000" w:rsidRPr="00D97592" w:rsidP="00D97592">
            <w:pPr>
              <w:pStyle w:val="BodyText"/>
            </w:pPr>
            <w:r w:rsidRPr="00D97592">
              <w:rPr>
                <w:rStyle w:val="SpecialBold"/>
              </w:rPr>
              <w:t>ELEMENT</w:t>
            </w:r>
          </w:p>
        </w:tc>
        <w:tc>
          <w:tcPr>
            <w:tcW w:w="6033" w:type="dxa"/>
            <w:tcBorders>
              <w:top w:val="nil"/>
              <w:left w:val="nil"/>
              <w:bottom w:val="single" w:sz="6" w:space="0" w:color="auto"/>
              <w:right w:val="nil"/>
            </w:tcBorders>
            <w:tcMar>
              <w:top w:w="0" w:type="dxa"/>
              <w:left w:w="62" w:type="dxa"/>
              <w:bottom w:w="0" w:type="dxa"/>
              <w:right w:w="62" w:type="dxa"/>
            </w:tcMar>
          </w:tcPr>
          <w:p w:rsidR="00000000" w:rsidP="00D97592">
            <w:pPr>
              <w:pStyle w:val="BodyText"/>
              <w:rPr>
                <w:lang w:val="en-NZ"/>
              </w:rPr>
            </w:pPr>
            <w:r w:rsidRPr="00D97592">
              <w:rPr>
                <w:rStyle w:val="SpecialBold"/>
              </w:rPr>
              <w:t>PERFORMANCE CRITERIA</w:t>
            </w:r>
          </w:p>
        </w:tc>
      </w:tr>
      <w:tr w:rsidTr="004A56B1">
        <w:tblPrEx>
          <w:tblW w:w="0" w:type="auto"/>
          <w:tblLayout w:type="fixed"/>
          <w:tblCellMar>
            <w:left w:w="62" w:type="dxa"/>
            <w:right w:w="62" w:type="dxa"/>
          </w:tblCellMar>
          <w:tblLook w:val="0000"/>
        </w:tblPrEx>
        <w:tc>
          <w:tcPr>
            <w:tcW w:w="2489" w:type="dxa"/>
            <w:tcBorders>
              <w:top w:val="nil"/>
              <w:left w:val="nil"/>
              <w:bottom w:val="nil"/>
              <w:right w:val="nil"/>
            </w:tcBorders>
            <w:tcMar>
              <w:top w:w="0" w:type="dxa"/>
              <w:left w:w="62" w:type="dxa"/>
              <w:bottom w:w="0" w:type="dxa"/>
              <w:right w:w="62" w:type="dxa"/>
            </w:tcMar>
          </w:tcPr>
          <w:p w:rsidR="00000000" w:rsidP="00D97592">
            <w:pPr>
              <w:pStyle w:val="List"/>
              <w:rPr>
                <w:lang w:val="en-NZ"/>
              </w:rPr>
            </w:pPr>
            <w:r w:rsidRPr="00D97592">
              <w:t>1.</w:t>
            </w:r>
            <w:r w:rsidRPr="00D97592">
              <w:tab/>
              <w:t>Plan and prepare.</w:t>
            </w:r>
          </w:p>
        </w:tc>
        <w:tc>
          <w:tcPr>
            <w:tcW w:w="6033" w:type="dxa"/>
            <w:tcBorders>
              <w:top w:val="nil"/>
              <w:left w:val="nil"/>
              <w:bottom w:val="nil"/>
              <w:right w:val="nil"/>
            </w:tcBorders>
            <w:tcMar>
              <w:top w:w="0" w:type="dxa"/>
              <w:left w:w="62" w:type="dxa"/>
              <w:bottom w:w="0" w:type="dxa"/>
              <w:right w:w="62" w:type="dxa"/>
            </w:tcMar>
          </w:tcPr>
          <w:p w:rsidR="00000000" w:rsidRPr="00D97592" w:rsidP="00D97592">
            <w:pPr>
              <w:pStyle w:val="List2"/>
            </w:pPr>
            <w:r w:rsidRPr="00D97592">
              <w:t>1.1.</w:t>
            </w:r>
            <w:r w:rsidRPr="00D97592">
              <w:tab/>
              <w:t xml:space="preserve">Work instructions and operational details are obtained using relevant </w:t>
            </w:r>
            <w:r w:rsidRPr="00D97592">
              <w:rPr>
                <w:rStyle w:val="BoldandItalics"/>
              </w:rPr>
              <w:t>information</w:t>
            </w:r>
            <w:r w:rsidRPr="00D97592">
              <w:t xml:space="preserve">, confirmed and applied for </w:t>
            </w:r>
            <w:r w:rsidRPr="00D97592">
              <w:rPr>
                <w:rStyle w:val="BoldandItalics"/>
              </w:rPr>
              <w:t>planning and preparation</w:t>
            </w:r>
            <w:r w:rsidRPr="00D97592">
              <w:t xml:space="preserve"> purposes. </w:t>
            </w:r>
          </w:p>
          <w:p w:rsidR="00000000" w:rsidRPr="00D97592" w:rsidP="00D97592">
            <w:pPr>
              <w:pStyle w:val="List2"/>
            </w:pPr>
            <w:r w:rsidRPr="00D97592">
              <w:t>1.2.</w:t>
            </w:r>
            <w:r w:rsidRPr="00D97592">
              <w:tab/>
            </w:r>
            <w:r w:rsidRPr="00D97592">
              <w:rPr>
                <w:rStyle w:val="BoldandItalics"/>
              </w:rPr>
              <w:t>Safety</w:t>
            </w:r>
            <w:r w:rsidRPr="00D97592">
              <w:t xml:space="preserve"> (</w:t>
            </w:r>
            <w:r w:rsidRPr="00D97592">
              <w:rPr>
                <w:rStyle w:val="BoldandItalics"/>
              </w:rPr>
              <w:t>OHS</w:t>
            </w:r>
            <w:r w:rsidRPr="00D97592">
              <w:t xml:space="preserve">) requirements are followed in accordance with safety plans and policies. </w:t>
            </w:r>
          </w:p>
          <w:p w:rsidR="00000000" w:rsidRPr="00D97592" w:rsidP="00D97592">
            <w:pPr>
              <w:pStyle w:val="List2"/>
            </w:pPr>
            <w:r w:rsidRPr="00D97592">
              <w:t>1.3.</w:t>
            </w:r>
            <w:r w:rsidRPr="00D97592">
              <w:tab/>
              <w:t>Signage and barricade requirements are identified and implemented.</w:t>
            </w:r>
          </w:p>
          <w:p w:rsidR="00000000" w:rsidRPr="00D97592" w:rsidP="00D97592">
            <w:pPr>
              <w:pStyle w:val="List2"/>
            </w:pPr>
            <w:r w:rsidRPr="00D97592">
              <w:t>1.4.</w:t>
            </w:r>
            <w:r w:rsidRPr="00D97592">
              <w:tab/>
            </w:r>
            <w:r w:rsidRPr="00D97592">
              <w:rPr>
                <w:rStyle w:val="BoldandItalics"/>
              </w:rPr>
              <w:t>Tools and equipment</w:t>
            </w:r>
            <w:r w:rsidRPr="00D97592">
              <w:t xml:space="preserve"> selected to carry out tasks are consistent with job requirements, checked for ser</w:t>
            </w:r>
            <w:r w:rsidRPr="00D97592">
              <w:t xml:space="preserve">viceability and any faults are rectified or reported prior to commencement. </w:t>
            </w:r>
          </w:p>
          <w:p w:rsidR="00000000" w:rsidRPr="00D97592" w:rsidP="00D97592">
            <w:pPr>
              <w:pStyle w:val="List2"/>
            </w:pPr>
            <w:r w:rsidRPr="00D97592">
              <w:t>1.5.</w:t>
            </w:r>
            <w:r w:rsidRPr="00D97592">
              <w:tab/>
              <w:t xml:space="preserve">Material quantity requirements are calculated in accordance with plans, specifications and </w:t>
            </w:r>
            <w:r w:rsidRPr="00D97592">
              <w:rPr>
                <w:rStyle w:val="BoldandItalics"/>
              </w:rPr>
              <w:t>quality requirements</w:t>
            </w:r>
            <w:r w:rsidRPr="00D97592">
              <w:t xml:space="preserve">. </w:t>
            </w:r>
          </w:p>
          <w:p w:rsidR="00000000" w:rsidRPr="00D97592" w:rsidP="00D97592">
            <w:pPr>
              <w:pStyle w:val="List2"/>
            </w:pPr>
            <w:r w:rsidRPr="00D97592">
              <w:t>1.6.</w:t>
            </w:r>
            <w:r w:rsidRPr="00D97592">
              <w:tab/>
            </w:r>
            <w:r w:rsidRPr="00D97592">
              <w:rPr>
                <w:rStyle w:val="BoldandItalics"/>
              </w:rPr>
              <w:t>Materials</w:t>
            </w:r>
            <w:r w:rsidRPr="00D97592">
              <w:t xml:space="preserve"> appropriate to the work application are ident</w:t>
            </w:r>
            <w:r w:rsidRPr="00D97592">
              <w:t xml:space="preserve">ified, obtained, prepared, safely handled and located ready for use. </w:t>
            </w:r>
          </w:p>
          <w:p w:rsidR="00000000" w:rsidP="00D97592">
            <w:pPr>
              <w:pStyle w:val="List2"/>
              <w:rPr>
                <w:lang w:val="en-NZ"/>
              </w:rPr>
            </w:pPr>
            <w:r w:rsidRPr="00D97592">
              <w:t>1.7.</w:t>
            </w:r>
            <w:r w:rsidRPr="00D97592">
              <w:tab/>
            </w:r>
            <w:r w:rsidRPr="00D97592">
              <w:rPr>
                <w:rStyle w:val="BoldandItalics"/>
              </w:rPr>
              <w:t>Environmental requirements</w:t>
            </w:r>
            <w:r w:rsidRPr="00D97592">
              <w:t xml:space="preserve"> are identified for the project in accordance with environmental plans and </w:t>
            </w:r>
            <w:r w:rsidRPr="00D97592">
              <w:rPr>
                <w:rStyle w:val="BoldandItalics"/>
              </w:rPr>
              <w:t>statutory and regulatory authority</w:t>
            </w:r>
            <w:r w:rsidRPr="00D97592">
              <w:t xml:space="preserve"> requirements, and are applied. </w:t>
            </w:r>
          </w:p>
        </w:tc>
      </w:tr>
      <w:tr w:rsidTr="004A56B1">
        <w:tblPrEx>
          <w:tblW w:w="0" w:type="auto"/>
          <w:tblLayout w:type="fixed"/>
          <w:tblCellMar>
            <w:left w:w="62" w:type="dxa"/>
            <w:right w:w="62" w:type="dxa"/>
          </w:tblCellMar>
          <w:tblLook w:val="0000"/>
        </w:tblPrEx>
        <w:tc>
          <w:tcPr>
            <w:tcW w:w="2489" w:type="dxa"/>
            <w:tcBorders>
              <w:top w:val="nil"/>
              <w:left w:val="nil"/>
              <w:bottom w:val="nil"/>
              <w:right w:val="nil"/>
            </w:tcBorders>
            <w:tcMar>
              <w:top w:w="0" w:type="dxa"/>
              <w:left w:w="62" w:type="dxa"/>
              <w:bottom w:w="0" w:type="dxa"/>
              <w:right w:w="62" w:type="dxa"/>
            </w:tcMar>
          </w:tcPr>
          <w:p w:rsidR="00000000" w:rsidP="00D97592">
            <w:pPr>
              <w:pStyle w:val="List"/>
              <w:rPr>
                <w:lang w:val="en-NZ"/>
              </w:rPr>
            </w:pPr>
            <w:r w:rsidRPr="00D97592">
              <w:t>2.</w:t>
            </w:r>
            <w:r w:rsidRPr="00D97592">
              <w:tab/>
            </w:r>
            <w:r w:rsidRPr="00D97592">
              <w:t>Prepare background surface.</w:t>
            </w:r>
          </w:p>
        </w:tc>
        <w:tc>
          <w:tcPr>
            <w:tcW w:w="6033" w:type="dxa"/>
            <w:tcBorders>
              <w:top w:val="nil"/>
              <w:left w:val="nil"/>
              <w:bottom w:val="nil"/>
              <w:right w:val="nil"/>
            </w:tcBorders>
            <w:tcMar>
              <w:top w:w="0" w:type="dxa"/>
              <w:left w:w="62" w:type="dxa"/>
              <w:bottom w:w="0" w:type="dxa"/>
              <w:right w:w="62" w:type="dxa"/>
            </w:tcMar>
          </w:tcPr>
          <w:p w:rsidR="00000000" w:rsidRPr="00D97592" w:rsidP="00D97592">
            <w:pPr>
              <w:pStyle w:val="List2"/>
            </w:pPr>
            <w:r w:rsidRPr="00D97592">
              <w:t>2.1.</w:t>
            </w:r>
            <w:r w:rsidRPr="00D97592">
              <w:tab/>
              <w:t>Appropriate equipment is selected and used for removing excess material so that surface is even and flat.</w:t>
            </w:r>
          </w:p>
          <w:p w:rsidR="00000000" w:rsidRPr="00D97592" w:rsidP="00D97592">
            <w:pPr>
              <w:pStyle w:val="List2"/>
            </w:pPr>
            <w:r w:rsidRPr="00D97592">
              <w:t>2.2.</w:t>
            </w:r>
            <w:r w:rsidRPr="00D97592">
              <w:tab/>
              <w:t xml:space="preserve">Surface is made suitable for designed treatment as per specifications for setting out and cutting letters, with </w:t>
            </w:r>
            <w:r w:rsidRPr="00D97592">
              <w:t>protection to surrounds of lettering area applied using appropriate masking and covering technique.</w:t>
            </w:r>
          </w:p>
          <w:p w:rsidR="00000000" w:rsidP="00D97592">
            <w:pPr>
              <w:pStyle w:val="List2"/>
              <w:rPr>
                <w:lang w:val="en-NZ"/>
              </w:rPr>
            </w:pPr>
            <w:r w:rsidRPr="00D97592">
              <w:t>2.3.</w:t>
            </w:r>
            <w:r w:rsidRPr="00D97592">
              <w:tab/>
              <w:t>Surface is painted with weak water-based paint to specifications for ease of marking out letters and shapes.</w:t>
            </w:r>
          </w:p>
        </w:tc>
      </w:tr>
      <w:tr w:rsidTr="004A56B1">
        <w:tblPrEx>
          <w:tblW w:w="0" w:type="auto"/>
          <w:tblLayout w:type="fixed"/>
          <w:tblCellMar>
            <w:left w:w="62" w:type="dxa"/>
            <w:right w:w="62" w:type="dxa"/>
          </w:tblCellMar>
          <w:tblLook w:val="0000"/>
        </w:tblPrEx>
        <w:tc>
          <w:tcPr>
            <w:tcW w:w="2489" w:type="dxa"/>
            <w:tcBorders>
              <w:top w:val="nil"/>
              <w:left w:val="nil"/>
              <w:bottom w:val="nil"/>
              <w:right w:val="nil"/>
            </w:tcBorders>
            <w:tcMar>
              <w:top w:w="0" w:type="dxa"/>
              <w:left w:w="62" w:type="dxa"/>
              <w:bottom w:w="0" w:type="dxa"/>
              <w:right w:w="62" w:type="dxa"/>
            </w:tcMar>
          </w:tcPr>
          <w:p w:rsidR="00000000" w:rsidP="00D97592">
            <w:pPr>
              <w:pStyle w:val="List"/>
              <w:rPr>
                <w:lang w:val="en-NZ"/>
              </w:rPr>
            </w:pPr>
            <w:r w:rsidRPr="00D97592">
              <w:t>3.</w:t>
            </w:r>
            <w:r w:rsidRPr="00D97592">
              <w:tab/>
              <w:t>Identify and draw to scale various typ</w:t>
            </w:r>
            <w:r w:rsidRPr="00D97592">
              <w:t>es of lettering, insignias and monograms.</w:t>
            </w:r>
          </w:p>
        </w:tc>
        <w:tc>
          <w:tcPr>
            <w:tcW w:w="6033" w:type="dxa"/>
            <w:tcBorders>
              <w:top w:val="nil"/>
              <w:left w:val="nil"/>
              <w:bottom w:val="nil"/>
              <w:right w:val="nil"/>
            </w:tcBorders>
            <w:tcMar>
              <w:top w:w="0" w:type="dxa"/>
              <w:left w:w="62" w:type="dxa"/>
              <w:bottom w:w="0" w:type="dxa"/>
              <w:right w:w="62" w:type="dxa"/>
            </w:tcMar>
          </w:tcPr>
          <w:p w:rsidR="00000000" w:rsidRPr="00D97592" w:rsidP="00D97592">
            <w:pPr>
              <w:pStyle w:val="List2"/>
            </w:pPr>
            <w:r w:rsidRPr="00D97592">
              <w:t>3.1.</w:t>
            </w:r>
            <w:r w:rsidRPr="00D97592">
              <w:tab/>
              <w:t>Drafted designs are set out and drawn to appropriate scale on set-out material.</w:t>
            </w:r>
          </w:p>
          <w:p w:rsidR="00000000" w:rsidRPr="00D97592" w:rsidP="00D97592">
            <w:pPr>
              <w:pStyle w:val="List2"/>
            </w:pPr>
            <w:r w:rsidRPr="00D97592">
              <w:t>3.2.</w:t>
            </w:r>
            <w:r w:rsidRPr="00D97592">
              <w:tab/>
              <w:t>Designs are transferred to prepared surface either directly or by using templates or stencils.</w:t>
            </w:r>
          </w:p>
          <w:p w:rsidR="00000000" w:rsidP="00D97592">
            <w:pPr>
              <w:pStyle w:val="List2"/>
              <w:rPr>
                <w:lang w:val="en-NZ"/>
              </w:rPr>
            </w:pPr>
            <w:r w:rsidRPr="00D97592">
              <w:t>3.3.</w:t>
            </w:r>
            <w:r w:rsidRPr="00D97592">
              <w:tab/>
              <w:t>Designs are marked by pe</w:t>
            </w:r>
            <w:r w:rsidRPr="00D97592">
              <w:t>ncils or scribers accurately to stencil/template or direct set-out.</w:t>
            </w:r>
          </w:p>
        </w:tc>
      </w:tr>
      <w:tr w:rsidTr="004A56B1">
        <w:tblPrEx>
          <w:tblW w:w="0" w:type="auto"/>
          <w:tblLayout w:type="fixed"/>
          <w:tblCellMar>
            <w:left w:w="62" w:type="dxa"/>
            <w:right w:w="62" w:type="dxa"/>
          </w:tblCellMar>
          <w:tblLook w:val="0000"/>
        </w:tblPrEx>
        <w:tc>
          <w:tcPr>
            <w:tcW w:w="2489" w:type="dxa"/>
            <w:tcBorders>
              <w:top w:val="nil"/>
              <w:left w:val="nil"/>
              <w:bottom w:val="nil"/>
              <w:right w:val="nil"/>
            </w:tcBorders>
            <w:tcMar>
              <w:top w:w="0" w:type="dxa"/>
              <w:left w:w="62" w:type="dxa"/>
              <w:bottom w:w="0" w:type="dxa"/>
              <w:right w:w="62" w:type="dxa"/>
            </w:tcMar>
          </w:tcPr>
          <w:p w:rsidR="00000000" w:rsidP="00D97592">
            <w:pPr>
              <w:pStyle w:val="List"/>
              <w:rPr>
                <w:lang w:val="en-NZ"/>
              </w:rPr>
            </w:pPr>
            <w:r w:rsidRPr="00D97592">
              <w:t>4.</w:t>
            </w:r>
            <w:r w:rsidRPr="00D97592">
              <w:tab/>
              <w:t>Use hand and power tools for cutting letters.</w:t>
            </w:r>
          </w:p>
        </w:tc>
        <w:tc>
          <w:tcPr>
            <w:tcW w:w="6033" w:type="dxa"/>
            <w:tcBorders>
              <w:top w:val="nil"/>
              <w:left w:val="nil"/>
              <w:bottom w:val="nil"/>
              <w:right w:val="nil"/>
            </w:tcBorders>
            <w:tcMar>
              <w:top w:w="0" w:type="dxa"/>
              <w:left w:w="62" w:type="dxa"/>
              <w:bottom w:w="0" w:type="dxa"/>
              <w:right w:w="62" w:type="dxa"/>
            </w:tcMar>
          </w:tcPr>
          <w:p w:rsidR="00000000" w:rsidRPr="00D97592" w:rsidP="00D97592">
            <w:pPr>
              <w:pStyle w:val="List2"/>
            </w:pPr>
            <w:r w:rsidRPr="00D97592">
              <w:t>4.1.</w:t>
            </w:r>
            <w:r w:rsidRPr="00D97592">
              <w:tab/>
              <w:t>Material is safely held in most suitable position ready for cutting/shaping operation with stone, less than 30mm thick, fixed to a la</w:t>
            </w:r>
            <w:r w:rsidRPr="00D97592">
              <w:t>rger section of stone to minimise risk of breaking.</w:t>
            </w:r>
          </w:p>
          <w:p w:rsidR="00000000" w:rsidRPr="00D97592" w:rsidP="00D97592">
            <w:pPr>
              <w:pStyle w:val="List2"/>
            </w:pPr>
            <w:r w:rsidRPr="00D97592">
              <w:t>4.2.</w:t>
            </w:r>
            <w:r w:rsidRPr="00D97592">
              <w:tab/>
              <w:t>Tools and equipment are selected for cutting/shaping process in accordance with size and shape of letters, and are adjusted correctly for operation according to standard operating procedures and work</w:t>
            </w:r>
            <w:r w:rsidRPr="00D97592">
              <w:t xml:space="preserve"> to be undertaken.</w:t>
            </w:r>
          </w:p>
          <w:p w:rsidR="00000000" w:rsidRPr="00D97592" w:rsidP="00D97592">
            <w:pPr>
              <w:pStyle w:val="List2"/>
            </w:pPr>
            <w:r w:rsidRPr="00D97592">
              <w:t>4.3.</w:t>
            </w:r>
            <w:r w:rsidRPr="00D97592">
              <w:tab/>
              <w:t>Start-up and shut-down procedures for use of equipment are carried out in accordance with specifications, where applicable, and tools and equipment are used to carefully cut letters to set-out.</w:t>
            </w:r>
          </w:p>
          <w:p w:rsidR="00000000" w:rsidP="00D97592">
            <w:pPr>
              <w:pStyle w:val="List2"/>
              <w:rPr>
                <w:lang w:val="en-NZ"/>
              </w:rPr>
            </w:pPr>
            <w:r w:rsidRPr="00D97592">
              <w:t>4.4.</w:t>
            </w:r>
            <w:r w:rsidRPr="00D97592">
              <w:tab/>
              <w:t>Letters are cut to size and depth</w:t>
            </w:r>
            <w:r w:rsidRPr="00D97592">
              <w:t xml:space="preserve"> specified and holes are drilled for cut out letters to specifications, to provide keying for securing load.</w:t>
            </w:r>
          </w:p>
        </w:tc>
      </w:tr>
      <w:tr w:rsidTr="004A56B1">
        <w:tblPrEx>
          <w:tblW w:w="0" w:type="auto"/>
          <w:tblLayout w:type="fixed"/>
          <w:tblCellMar>
            <w:left w:w="62" w:type="dxa"/>
            <w:right w:w="62" w:type="dxa"/>
          </w:tblCellMar>
          <w:tblLook w:val="0000"/>
        </w:tblPrEx>
        <w:tc>
          <w:tcPr>
            <w:tcW w:w="2489" w:type="dxa"/>
            <w:tcBorders>
              <w:top w:val="nil"/>
              <w:left w:val="nil"/>
              <w:bottom w:val="nil"/>
              <w:right w:val="nil"/>
            </w:tcBorders>
            <w:tcMar>
              <w:top w:w="0" w:type="dxa"/>
              <w:left w:w="62" w:type="dxa"/>
              <w:bottom w:w="0" w:type="dxa"/>
              <w:right w:w="62" w:type="dxa"/>
            </w:tcMar>
          </w:tcPr>
          <w:p w:rsidR="00000000" w:rsidP="00D97592">
            <w:pPr>
              <w:pStyle w:val="List"/>
              <w:rPr>
                <w:lang w:val="en-NZ"/>
              </w:rPr>
            </w:pPr>
            <w:r w:rsidRPr="00D97592">
              <w:t>5.</w:t>
            </w:r>
            <w:r w:rsidRPr="00D97592">
              <w:tab/>
              <w:t>Perform lead inlay process on lettering of stone surfaces.</w:t>
            </w:r>
          </w:p>
        </w:tc>
        <w:tc>
          <w:tcPr>
            <w:tcW w:w="6033" w:type="dxa"/>
            <w:tcBorders>
              <w:top w:val="nil"/>
              <w:left w:val="nil"/>
              <w:bottom w:val="nil"/>
              <w:right w:val="nil"/>
            </w:tcBorders>
            <w:tcMar>
              <w:top w:w="0" w:type="dxa"/>
              <w:left w:w="62" w:type="dxa"/>
              <w:bottom w:w="0" w:type="dxa"/>
              <w:right w:w="62" w:type="dxa"/>
            </w:tcMar>
          </w:tcPr>
          <w:p w:rsidR="00000000" w:rsidRPr="00D97592" w:rsidP="00D97592">
            <w:pPr>
              <w:pStyle w:val="List2"/>
            </w:pPr>
            <w:r w:rsidRPr="00D97592">
              <w:t>5.1.</w:t>
            </w:r>
            <w:r w:rsidRPr="00D97592">
              <w:tab/>
              <w:t xml:space="preserve">Pre-cut </w:t>
            </w:r>
            <w:r w:rsidRPr="00D97592">
              <w:rPr>
                <w:rStyle w:val="BoldandItalics"/>
              </w:rPr>
              <w:t>lettering</w:t>
            </w:r>
            <w:r w:rsidRPr="00D97592">
              <w:t xml:space="preserve"> is inlaid with solid or melted lead using appropriate tools o</w:t>
            </w:r>
            <w:r w:rsidRPr="00D97592">
              <w:t xml:space="preserve">r method and without damage to stone. </w:t>
            </w:r>
          </w:p>
          <w:p w:rsidR="00000000" w:rsidRPr="00D97592" w:rsidP="00D97592">
            <w:pPr>
              <w:pStyle w:val="List2"/>
            </w:pPr>
            <w:r w:rsidRPr="00D97592">
              <w:t>5.2.</w:t>
            </w:r>
            <w:r w:rsidRPr="00D97592">
              <w:tab/>
              <w:t>Molten lead is heated and handled safely in accordance with job and OHS requirements.</w:t>
            </w:r>
          </w:p>
          <w:p w:rsidR="00000000" w:rsidRPr="00D97592" w:rsidP="00D97592">
            <w:pPr>
              <w:pStyle w:val="List2"/>
            </w:pPr>
            <w:r w:rsidRPr="00D97592">
              <w:t>5.3.</w:t>
            </w:r>
            <w:r w:rsidRPr="00D97592">
              <w:tab/>
              <w:t>Lead is inlaid to give a flat or raised finish to stone in accordance with specifications.</w:t>
            </w:r>
          </w:p>
          <w:p w:rsidR="00000000" w:rsidP="00D97592">
            <w:pPr>
              <w:pStyle w:val="List2"/>
              <w:rPr>
                <w:lang w:val="en-NZ"/>
              </w:rPr>
            </w:pPr>
            <w:r w:rsidRPr="00D97592">
              <w:t>5.4.</w:t>
            </w:r>
            <w:r w:rsidRPr="00D97592">
              <w:tab/>
            </w:r>
            <w:r w:rsidRPr="00D97592">
              <w:t>Letters or insignias are finished clean on their edges and surface is finished to specifications.</w:t>
            </w:r>
          </w:p>
        </w:tc>
      </w:tr>
      <w:tr w:rsidTr="004A56B1">
        <w:tblPrEx>
          <w:tblW w:w="0" w:type="auto"/>
          <w:tblLayout w:type="fixed"/>
          <w:tblCellMar>
            <w:left w:w="62" w:type="dxa"/>
            <w:right w:w="62" w:type="dxa"/>
          </w:tblCellMar>
          <w:tblLook w:val="0000"/>
        </w:tblPrEx>
        <w:tc>
          <w:tcPr>
            <w:tcW w:w="2489" w:type="dxa"/>
            <w:tcBorders>
              <w:top w:val="nil"/>
              <w:left w:val="nil"/>
              <w:bottom w:val="nil"/>
              <w:right w:val="nil"/>
            </w:tcBorders>
            <w:tcMar>
              <w:top w:w="0" w:type="dxa"/>
              <w:left w:w="62" w:type="dxa"/>
              <w:bottom w:w="0" w:type="dxa"/>
              <w:right w:w="62" w:type="dxa"/>
            </w:tcMar>
          </w:tcPr>
          <w:p w:rsidR="00000000" w:rsidP="00D97592">
            <w:pPr>
              <w:pStyle w:val="List"/>
              <w:rPr>
                <w:lang w:val="en-NZ"/>
              </w:rPr>
            </w:pPr>
            <w:r w:rsidRPr="00D97592">
              <w:t>6.</w:t>
            </w:r>
            <w:r w:rsidRPr="00D97592">
              <w:tab/>
              <w:t>Clean up.</w:t>
            </w:r>
          </w:p>
        </w:tc>
        <w:tc>
          <w:tcPr>
            <w:tcW w:w="6033" w:type="dxa"/>
            <w:tcBorders>
              <w:top w:val="nil"/>
              <w:left w:val="nil"/>
              <w:bottom w:val="nil"/>
              <w:right w:val="nil"/>
            </w:tcBorders>
            <w:tcMar>
              <w:top w:w="0" w:type="dxa"/>
              <w:left w:w="62" w:type="dxa"/>
              <w:bottom w:w="0" w:type="dxa"/>
              <w:right w:w="62" w:type="dxa"/>
            </w:tcMar>
          </w:tcPr>
          <w:p w:rsidR="00000000" w:rsidRPr="00D97592" w:rsidP="00D97592">
            <w:pPr>
              <w:pStyle w:val="List2"/>
            </w:pPr>
            <w:r w:rsidRPr="00D97592">
              <w:t>6.1.</w:t>
            </w:r>
            <w:r w:rsidRPr="00D97592">
              <w:tab/>
              <w:t>Waste and unwanted material is disposed of safely.</w:t>
            </w:r>
          </w:p>
          <w:p w:rsidR="00000000" w:rsidRPr="00D97592" w:rsidP="00D97592">
            <w:pPr>
              <w:pStyle w:val="List2"/>
            </w:pPr>
            <w:r w:rsidRPr="00D97592">
              <w:t>6.2.</w:t>
            </w:r>
            <w:r w:rsidRPr="00D97592">
              <w:tab/>
              <w:t>Re-usable and recyclable materials are salvaged and stored.</w:t>
            </w:r>
          </w:p>
          <w:p w:rsidR="00000000" w:rsidRPr="00D97592" w:rsidP="00D97592">
            <w:pPr>
              <w:pStyle w:val="List2"/>
            </w:pPr>
            <w:r w:rsidRPr="00D97592">
              <w:t>6.3.</w:t>
            </w:r>
            <w:r w:rsidRPr="00D97592">
              <w:tab/>
              <w:t>Tools and equipmen</w:t>
            </w:r>
            <w:r w:rsidRPr="00D97592">
              <w:t>t are cleaned, maintained and stored.</w:t>
            </w:r>
          </w:p>
        </w:tc>
      </w:tr>
    </w:tbl>
    <w:p w:rsidR="004A56B1" w:rsidP="00D97592">
      <w:pPr>
        <w:pStyle w:val="BodyText"/>
      </w:pPr>
    </w:p>
    <w:p w:rsidR="004A56B1" w:rsidP="00D97592">
      <w:pPr>
        <w:pStyle w:val="BodyText"/>
      </w:pPr>
    </w:p>
    <w:p w:rsidR="00000000" w:rsidRPr="00D97592" w:rsidP="00D97592">
      <w:pPr>
        <w:pStyle w:val="Heading1"/>
      </w:pPr>
      <w:bookmarkStart w:id="9" w:name="O_258387"/>
      <w:bookmarkEnd w:id="9"/>
      <w:r w:rsidRPr="00D97592">
        <w:t>Required Skills and Knowledge</w:t>
      </w:r>
    </w:p>
    <w:tbl>
      <w:tblPr>
        <w:tblW w:w="0" w:type="auto"/>
        <w:tblLayout w:type="fixed"/>
        <w:tblCellMar>
          <w:left w:w="62" w:type="dxa"/>
          <w:right w:w="62" w:type="dxa"/>
        </w:tblCellMar>
        <w:tblLook w:val="0000"/>
      </w:tblPr>
      <w:tblGrid>
        <w:gridCol w:w="8522"/>
      </w:tblGrid>
      <w:tr w:rsidTr="004A56B1">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D97592">
            <w:pPr>
              <w:pStyle w:val="BodyText"/>
              <w:rPr>
                <w:lang w:val="en-NZ"/>
              </w:rPr>
            </w:pPr>
            <w:r w:rsidRPr="00D97592">
              <w:rPr>
                <w:rStyle w:val="SpecialBold"/>
              </w:rPr>
              <w:t>REQUIRED SKILLS AND KNOWLEDGE</w:t>
            </w:r>
          </w:p>
        </w:tc>
      </w:tr>
      <w:tr w:rsidTr="004A56B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97592">
            <w:pPr>
              <w:pStyle w:val="BodyText"/>
              <w:rPr>
                <w:lang w:val="en-NZ"/>
              </w:rPr>
            </w:pPr>
            <w:r w:rsidRPr="00D97592">
              <w:t>This section describes the skills and knowledge required for this unit.</w:t>
            </w:r>
          </w:p>
        </w:tc>
      </w:tr>
      <w:tr w:rsidTr="004A56B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97592">
            <w:pPr>
              <w:pStyle w:val="BodyText"/>
              <w:rPr>
                <w:lang w:val="en-NZ"/>
              </w:rPr>
            </w:pPr>
            <w:r w:rsidRPr="00D97592">
              <w:rPr>
                <w:rStyle w:val="SpecialBold"/>
              </w:rPr>
              <w:t>Required skills</w:t>
            </w:r>
          </w:p>
        </w:tc>
      </w:tr>
      <w:tr w:rsidTr="004A56B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97592" w:rsidP="00D97592">
            <w:pPr>
              <w:pStyle w:val="BodyText"/>
            </w:pPr>
            <w:r w:rsidRPr="00D97592">
              <w:t>Required skills for this unit are:</w:t>
            </w:r>
          </w:p>
          <w:p w:rsidR="00000000" w:rsidRPr="00D97592" w:rsidP="00D97592">
            <w:pPr>
              <w:pStyle w:val="ListBullet"/>
            </w:pPr>
            <w:r w:rsidRPr="00D97592">
              <w:t>ability to recognise procedures, respond to change and contribute to workplace responsibilities, such as current work site environmental or sustainability frameworks or management systems</w:t>
            </w:r>
          </w:p>
          <w:p w:rsidR="00000000" w:rsidRPr="00D97592" w:rsidP="00D97592">
            <w:pPr>
              <w:pStyle w:val="ListBullet"/>
            </w:pPr>
            <w:r w:rsidRPr="00D97592">
              <w:t>communication skills to:</w:t>
            </w:r>
          </w:p>
          <w:p w:rsidR="00000000" w:rsidRPr="00D97592" w:rsidP="00D97592">
            <w:pPr>
              <w:pStyle w:val="ListBullet2"/>
            </w:pPr>
            <w:r w:rsidRPr="00D97592">
              <w:t>enable clear and direct communication, using questioning to identify and confirm requirements, share information, listen and understand</w:t>
            </w:r>
          </w:p>
          <w:p w:rsidR="00000000" w:rsidRPr="00D97592" w:rsidP="00D97592">
            <w:pPr>
              <w:pStyle w:val="ListBullet2"/>
            </w:pPr>
            <w:r w:rsidRPr="00D97592">
              <w:t>follow instructions</w:t>
            </w:r>
          </w:p>
          <w:p w:rsidR="00000000" w:rsidRPr="00D97592" w:rsidP="00D97592">
            <w:pPr>
              <w:pStyle w:val="ListBullet2"/>
            </w:pPr>
            <w:r w:rsidRPr="00D97592">
              <w:t>identify letters in order to check spelling</w:t>
            </w:r>
          </w:p>
          <w:p w:rsidR="00000000" w:rsidRPr="00D97592" w:rsidP="00D97592">
            <w:pPr>
              <w:pStyle w:val="ListBullet2"/>
            </w:pPr>
            <w:r w:rsidRPr="00D97592">
              <w:t>read and interpret drawings and specifications</w:t>
            </w:r>
          </w:p>
          <w:p w:rsidR="00000000" w:rsidRPr="00D97592" w:rsidP="00D97592">
            <w:pPr>
              <w:pStyle w:val="ListBullet2"/>
            </w:pPr>
            <w:r w:rsidRPr="00D97592">
              <w:t>use and i</w:t>
            </w:r>
            <w:r w:rsidRPr="00D97592">
              <w:t>nterpret non-verbal communication</w:t>
            </w:r>
          </w:p>
          <w:p w:rsidR="00000000" w:rsidRPr="00D97592" w:rsidP="00D97592">
            <w:pPr>
              <w:pStyle w:val="ListBullet2"/>
            </w:pPr>
            <w:r w:rsidRPr="00D97592">
              <w:t>use language and concepts appropriate to cultural differences</w:t>
            </w:r>
          </w:p>
          <w:p w:rsidR="00000000" w:rsidRPr="00D97592" w:rsidP="00D97592">
            <w:pPr>
              <w:pStyle w:val="ListBullet"/>
            </w:pPr>
            <w:r w:rsidRPr="00D97592">
              <w:t>innovation skills to select appropriate tools and equipment, respond to workplace challenges and put ideas into action</w:t>
            </w:r>
          </w:p>
          <w:p w:rsidR="00000000" w:rsidRPr="00D97592" w:rsidP="00D97592">
            <w:pPr>
              <w:pStyle w:val="ListBullet"/>
            </w:pPr>
            <w:r w:rsidRPr="00D97592">
              <w:t>numeracy skills to apply measurements an</w:t>
            </w:r>
            <w:r w:rsidRPr="00D97592">
              <w:t>d calculations</w:t>
            </w:r>
          </w:p>
          <w:p w:rsidR="00000000" w:rsidRPr="00D97592" w:rsidP="00D97592">
            <w:pPr>
              <w:pStyle w:val="ListBullet"/>
            </w:pPr>
            <w:r w:rsidRPr="00D97592">
              <w:t>planning and organisational skills to identify requirements, apply relevant resources and sequence tasks</w:t>
            </w:r>
          </w:p>
          <w:p w:rsidR="00000000" w:rsidRPr="00D97592" w:rsidP="00D97592">
            <w:pPr>
              <w:pStyle w:val="ListBullet"/>
            </w:pPr>
            <w:r w:rsidRPr="00D97592">
              <w:t>problem solving skills to recognise and take action to rectify minor faults and problems</w:t>
            </w:r>
          </w:p>
          <w:p w:rsidR="00000000" w:rsidP="00D97592">
            <w:pPr>
              <w:pStyle w:val="ListBullet"/>
              <w:rPr>
                <w:lang w:val="en-NZ"/>
              </w:rPr>
            </w:pPr>
            <w:r w:rsidRPr="00D97592">
              <w:t xml:space="preserve">teamwork skills to be able to work with others </w:t>
            </w:r>
            <w:r w:rsidRPr="00D97592">
              <w:t>to action tasks and relate to people from a range of cultural, social, ethnic backgrounds and with varying physical and mental abilities.</w:t>
            </w:r>
          </w:p>
        </w:tc>
      </w:tr>
      <w:tr w:rsidTr="004A56B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97592">
            <w:pPr>
              <w:pStyle w:val="BodyText"/>
              <w:rPr>
                <w:lang w:val="en-NZ"/>
              </w:rPr>
            </w:pPr>
            <w:r w:rsidRPr="00D97592">
              <w:rPr>
                <w:rStyle w:val="SpecialBold"/>
              </w:rPr>
              <w:t>Required knowledge</w:t>
            </w:r>
          </w:p>
        </w:tc>
      </w:tr>
      <w:tr w:rsidTr="004A56B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97592" w:rsidP="00D97592">
            <w:pPr>
              <w:pStyle w:val="BodyText"/>
            </w:pPr>
            <w:r w:rsidRPr="00D97592">
              <w:t>Required knowledge for this unit is:</w:t>
            </w:r>
          </w:p>
          <w:p w:rsidR="00000000" w:rsidRPr="00D97592" w:rsidP="00D97592">
            <w:pPr>
              <w:pStyle w:val="ListBullet"/>
            </w:pPr>
            <w:r w:rsidRPr="00D97592">
              <w:t>effect of lead on the human body and organs, and related safety precautions</w:t>
            </w:r>
          </w:p>
          <w:p w:rsidR="00000000" w:rsidRPr="00D97592" w:rsidP="00D97592">
            <w:pPr>
              <w:pStyle w:val="ListBullet"/>
            </w:pPr>
            <w:r w:rsidRPr="00D97592">
              <w:t>interpretation of drawings and specifications</w:t>
            </w:r>
          </w:p>
          <w:p w:rsidR="00000000" w:rsidRPr="00D97592" w:rsidP="00D97592">
            <w:pPr>
              <w:pStyle w:val="ListBullet"/>
            </w:pPr>
            <w:r w:rsidRPr="00D97592">
              <w:t>job safety analysis (JSA) and safe work method statements</w:t>
            </w:r>
          </w:p>
          <w:p w:rsidR="00000000" w:rsidRPr="00D97592" w:rsidP="00D97592">
            <w:pPr>
              <w:pStyle w:val="ListBullet"/>
            </w:pPr>
            <w:r w:rsidRPr="00D97592">
              <w:t>measuring and marking techniques used in stonemasonry work</w:t>
            </w:r>
          </w:p>
          <w:p w:rsidR="00000000" w:rsidRPr="00D97592" w:rsidP="00D97592">
            <w:pPr>
              <w:pStyle w:val="ListBullet"/>
            </w:pPr>
            <w:r w:rsidRPr="00D97592">
              <w:t>methods of inlayi</w:t>
            </w:r>
            <w:r w:rsidRPr="00D97592">
              <w:t>ng lead to stone</w:t>
            </w:r>
          </w:p>
          <w:p w:rsidR="00000000" w:rsidRPr="00D97592" w:rsidP="00D97592">
            <w:pPr>
              <w:pStyle w:val="ListBullet"/>
            </w:pPr>
            <w:r w:rsidRPr="00D97592">
              <w:t>methods of working stone</w:t>
            </w:r>
          </w:p>
          <w:p w:rsidR="00000000" w:rsidRPr="00D97592" w:rsidP="00D97592">
            <w:pPr>
              <w:pStyle w:val="ListBullet"/>
            </w:pPr>
            <w:r w:rsidRPr="00D97592">
              <w:t>traditional and contemporary font styles used in stonemasonry work</w:t>
            </w:r>
          </w:p>
          <w:p w:rsidR="00000000" w:rsidRPr="00D97592" w:rsidP="00D97592">
            <w:pPr>
              <w:pStyle w:val="ListBullet"/>
            </w:pPr>
            <w:r w:rsidRPr="00D97592">
              <w:t>types and use of templates or stencils</w:t>
            </w:r>
          </w:p>
          <w:p w:rsidR="00000000" w:rsidRPr="00D97592" w:rsidP="00D97592">
            <w:pPr>
              <w:pStyle w:val="ListBullet"/>
            </w:pPr>
            <w:r w:rsidRPr="00D97592">
              <w:t>types of stone and their characteristics</w:t>
            </w:r>
          </w:p>
          <w:p w:rsidR="00000000" w:rsidRPr="00D97592" w:rsidP="00D97592">
            <w:pPr>
              <w:pStyle w:val="ListBullet"/>
            </w:pPr>
            <w:r w:rsidRPr="00D97592">
              <w:t>workplace and equipment safety requirements.</w:t>
            </w:r>
          </w:p>
        </w:tc>
      </w:tr>
    </w:tbl>
    <w:p w:rsidR="004A56B1" w:rsidP="00D97592">
      <w:pPr>
        <w:pStyle w:val="BodyText"/>
      </w:pPr>
    </w:p>
    <w:p w:rsidR="004A56B1" w:rsidP="00D97592">
      <w:pPr>
        <w:pStyle w:val="BodyText"/>
      </w:pPr>
    </w:p>
    <w:p w:rsidR="00000000" w:rsidRPr="00D97592" w:rsidP="00D97592">
      <w:pPr>
        <w:pStyle w:val="AllowPageBreak"/>
      </w:pPr>
    </w:p>
    <w:p w:rsidR="00000000" w:rsidRPr="00D97592" w:rsidP="00D97592">
      <w:pPr>
        <w:pStyle w:val="Heading1"/>
      </w:pPr>
      <w:bookmarkStart w:id="10" w:name="O_242421"/>
      <w:bookmarkEnd w:id="10"/>
      <w:r w:rsidRPr="00D97592">
        <w:t>Evidence Guide</w:t>
      </w:r>
    </w:p>
    <w:tbl>
      <w:tblPr>
        <w:tblW w:w="0" w:type="auto"/>
        <w:tblLayout w:type="fixed"/>
        <w:tblCellMar>
          <w:left w:w="62" w:type="dxa"/>
          <w:right w:w="62" w:type="dxa"/>
        </w:tblCellMar>
        <w:tblLook w:val="0000"/>
      </w:tblPr>
      <w:tblGrid>
        <w:gridCol w:w="3508"/>
        <w:gridCol w:w="5014"/>
      </w:tblGrid>
      <w:tr w:rsidTr="004A56B1">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D97592">
            <w:pPr>
              <w:pStyle w:val="BodyText"/>
              <w:rPr>
                <w:lang w:val="en-NZ"/>
              </w:rPr>
            </w:pPr>
            <w:r w:rsidRPr="00D97592">
              <w:rPr>
                <w:rStyle w:val="SpecialBold"/>
              </w:rPr>
              <w:t>EVIDENCE GUIDE</w:t>
            </w:r>
          </w:p>
        </w:tc>
      </w:tr>
      <w:tr w:rsidTr="004A56B1">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D97592">
            <w:pPr>
              <w:pStyle w:val="BodyText"/>
              <w:rPr>
                <w:lang w:val="en-NZ"/>
              </w:rPr>
            </w:pPr>
            <w:r w:rsidRPr="00D97592">
              <w:t xml:space="preserve">The evidence guide provides advice on assessment and must be read in conjunction with the performance criteria, required skills and knowledge, </w:t>
            </w:r>
            <w:r w:rsidRPr="00D97592">
              <w:t>range statement and the Assessment Guidelines for the Training Package.</w:t>
            </w:r>
          </w:p>
        </w:tc>
      </w:tr>
      <w:tr w:rsidTr="004A56B1">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D97592">
            <w:pPr>
              <w:pStyle w:val="BodyText"/>
              <w:rPr>
                <w:lang w:val="en-NZ"/>
              </w:rPr>
            </w:pPr>
            <w:r w:rsidRPr="00D97592">
              <w:rPr>
                <w:rStyle w:val="SpecialBold"/>
              </w:rPr>
              <w:t>Overview of assessment</w:t>
            </w:r>
          </w:p>
        </w:tc>
        <w:tc>
          <w:tcPr>
            <w:tcW w:w="5014" w:type="dxa"/>
            <w:tcBorders>
              <w:top w:val="nil"/>
              <w:left w:val="nil"/>
              <w:bottom w:val="nil"/>
              <w:right w:val="nil"/>
            </w:tcBorders>
            <w:tcMar>
              <w:top w:w="0" w:type="dxa"/>
              <w:left w:w="62" w:type="dxa"/>
              <w:bottom w:w="0" w:type="dxa"/>
              <w:right w:w="62" w:type="dxa"/>
            </w:tcMar>
          </w:tcPr>
          <w:p w:rsidR="00000000" w:rsidP="00D97592">
            <w:pPr>
              <w:pStyle w:val="BodyText"/>
              <w:rPr>
                <w:lang w:val="en-NZ"/>
              </w:rPr>
            </w:pPr>
            <w:r w:rsidRPr="00D97592">
              <w:t>This unit of competency could be assessed in the workplace or a close simulation of the workplace environment, provided that simulated or project-based assessm</w:t>
            </w:r>
            <w:r w:rsidRPr="00D97592">
              <w:t xml:space="preserve">ent techniques fully replicate construction workplace conditions, materials, activities, responsibilities and procedures. </w:t>
            </w:r>
          </w:p>
        </w:tc>
      </w:tr>
      <w:tr w:rsidTr="004A56B1">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D97592">
            <w:pPr>
              <w:pStyle w:val="BodyText"/>
              <w:rPr>
                <w:lang w:val="en-NZ"/>
              </w:rPr>
            </w:pPr>
            <w:r w:rsidRPr="00D97592">
              <w:rPr>
                <w:rStyle w:val="SpecialBold"/>
              </w:rPr>
              <w:t>Critical aspects for assessment and evidence required to demonstrate competency in this unit</w:t>
            </w:r>
          </w:p>
        </w:tc>
        <w:tc>
          <w:tcPr>
            <w:tcW w:w="5014" w:type="dxa"/>
            <w:tcBorders>
              <w:top w:val="nil"/>
              <w:left w:val="nil"/>
              <w:bottom w:val="nil"/>
              <w:right w:val="nil"/>
            </w:tcBorders>
            <w:tcMar>
              <w:top w:w="0" w:type="dxa"/>
              <w:left w:w="62" w:type="dxa"/>
              <w:bottom w:w="0" w:type="dxa"/>
              <w:right w:w="62" w:type="dxa"/>
            </w:tcMar>
          </w:tcPr>
          <w:p w:rsidR="00000000" w:rsidRPr="00D97592" w:rsidP="00D97592">
            <w:pPr>
              <w:pStyle w:val="BodyText"/>
            </w:pPr>
            <w:r w:rsidRPr="00D97592">
              <w:t>A person who demonstrates competency in this unit must be able to lead inlay lettering using both solid and melted metal, providing evidence of the ability to:</w:t>
            </w:r>
          </w:p>
          <w:p w:rsidR="00000000" w:rsidRPr="00D97592" w:rsidP="00D97592">
            <w:pPr>
              <w:pStyle w:val="ListBullet"/>
            </w:pPr>
            <w:r w:rsidRPr="00D97592">
              <w:t>select and use appropriate tools, equipment and processes consistent with requirements of activ</w:t>
            </w:r>
            <w:r w:rsidRPr="00D97592">
              <w:t>ity</w:t>
            </w:r>
          </w:p>
          <w:p w:rsidR="00000000" w:rsidRPr="00D97592" w:rsidP="00D97592">
            <w:pPr>
              <w:pStyle w:val="ListBullet"/>
            </w:pPr>
            <w:r w:rsidRPr="00D97592">
              <w:t>comply with OHS regulations applicable to workplace operations</w:t>
            </w:r>
          </w:p>
          <w:p w:rsidR="00000000" w:rsidRPr="00D97592" w:rsidP="00D97592">
            <w:pPr>
              <w:pStyle w:val="ListBullet"/>
            </w:pPr>
            <w:r w:rsidRPr="00D97592">
              <w:t>apply organisational quality procedures and processes within context of inlaying lead to stone</w:t>
            </w:r>
          </w:p>
          <w:p w:rsidR="00000000" w:rsidRPr="00D97592" w:rsidP="00D97592">
            <w:pPr>
              <w:pStyle w:val="ListBullet"/>
            </w:pPr>
            <w:r w:rsidRPr="00D97592">
              <w:t>prepare face for lettering and finish to specification</w:t>
            </w:r>
          </w:p>
          <w:p w:rsidR="00000000" w:rsidRPr="00D97592" w:rsidP="00D97592">
            <w:pPr>
              <w:pStyle w:val="ListBullet"/>
            </w:pPr>
            <w:r w:rsidRPr="00D97592">
              <w:t>accurately set out lettering to form balanced presentation</w:t>
            </w:r>
          </w:p>
          <w:p w:rsidR="00000000" w:rsidRPr="00D97592" w:rsidP="00D97592">
            <w:pPr>
              <w:pStyle w:val="ListBullet"/>
            </w:pPr>
            <w:r w:rsidRPr="00D97592">
              <w:t>check spelling prior to cutting letters</w:t>
            </w:r>
          </w:p>
          <w:p w:rsidR="00000000" w:rsidRPr="00D97592" w:rsidP="00D97592">
            <w:pPr>
              <w:pStyle w:val="ListBullet"/>
            </w:pPr>
            <w:r w:rsidRPr="00D97592">
              <w:t>provide appropriate protection to surrounding area</w:t>
            </w:r>
          </w:p>
          <w:p w:rsidR="00000000" w:rsidRPr="00D97592" w:rsidP="00D97592">
            <w:pPr>
              <w:pStyle w:val="ListBullet"/>
            </w:pPr>
            <w:r w:rsidRPr="00D97592">
              <w:t>use safe and effective procedures to inlay lead to recesses</w:t>
            </w:r>
          </w:p>
          <w:p w:rsidR="00000000" w:rsidRPr="00D97592" w:rsidP="00D97592">
            <w:pPr>
              <w:pStyle w:val="ListBullet"/>
            </w:pPr>
            <w:r w:rsidRPr="00D97592">
              <w:t>complete inlaying of lead and finishing of sur</w:t>
            </w:r>
            <w:r w:rsidRPr="00D97592">
              <w:t>face to specifications</w:t>
            </w:r>
          </w:p>
          <w:p w:rsidR="00000000" w:rsidRPr="00D97592" w:rsidP="00D97592">
            <w:pPr>
              <w:pStyle w:val="ListBullet"/>
            </w:pPr>
            <w:r w:rsidRPr="00D97592">
              <w:t>accurately cut letters on design to specifications</w:t>
            </w:r>
          </w:p>
          <w:p w:rsidR="00000000" w:rsidP="00D97592">
            <w:pPr>
              <w:pStyle w:val="ListBullet"/>
              <w:rPr>
                <w:lang w:val="en-NZ"/>
              </w:rPr>
            </w:pPr>
            <w:r w:rsidRPr="00D97592">
              <w:t>communicate with others to ensure safe and effective workplace operations.</w:t>
            </w:r>
          </w:p>
        </w:tc>
      </w:tr>
      <w:tr w:rsidTr="004A56B1">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D97592">
            <w:pPr>
              <w:pStyle w:val="BodyText"/>
              <w:rPr>
                <w:lang w:val="en-NZ"/>
              </w:rPr>
            </w:pPr>
            <w:r w:rsidRPr="00D97592">
              <w:rPr>
                <w:rStyle w:val="SpecialBold"/>
              </w:rPr>
              <w:t>Context of and specific resources for assessment</w:t>
            </w:r>
          </w:p>
        </w:tc>
        <w:tc>
          <w:tcPr>
            <w:tcW w:w="5014" w:type="dxa"/>
            <w:tcBorders>
              <w:top w:val="nil"/>
              <w:left w:val="nil"/>
              <w:bottom w:val="nil"/>
              <w:right w:val="nil"/>
            </w:tcBorders>
            <w:tcMar>
              <w:top w:w="0" w:type="dxa"/>
              <w:left w:w="62" w:type="dxa"/>
              <w:bottom w:w="0" w:type="dxa"/>
              <w:right w:w="62" w:type="dxa"/>
            </w:tcMar>
          </w:tcPr>
          <w:p w:rsidR="00000000" w:rsidRPr="00D97592" w:rsidP="00D97592">
            <w:pPr>
              <w:pStyle w:val="BodyText"/>
            </w:pPr>
            <w:r w:rsidRPr="00D97592">
              <w:t>This competency is to be assessed using standard and auth</w:t>
            </w:r>
            <w:r w:rsidRPr="00D97592">
              <w:t>orised work practices, safety requirements and environmental constraints.</w:t>
            </w:r>
          </w:p>
          <w:p w:rsidR="00000000" w:rsidRPr="00D97592" w:rsidP="00D97592">
            <w:pPr>
              <w:pStyle w:val="BodyText"/>
            </w:pPr>
            <w:r w:rsidRPr="00D97592">
              <w:t>Assessment of essential underpinning knowledge will usually be conducted in an off-site context.</w:t>
            </w:r>
          </w:p>
          <w:p w:rsidR="00000000" w:rsidRPr="00D97592" w:rsidP="00D97592">
            <w:pPr>
              <w:pStyle w:val="BodyText"/>
            </w:pPr>
            <w:r w:rsidRPr="00D97592">
              <w:t>Assessment is to comply with relevant regulatory or Australian standards' requirement</w:t>
            </w:r>
            <w:r w:rsidRPr="00D97592">
              <w:t>s.</w:t>
            </w:r>
          </w:p>
          <w:p w:rsidR="00000000" w:rsidRPr="00D97592" w:rsidP="00D97592">
            <w:pPr>
              <w:pStyle w:val="BodyText"/>
            </w:pPr>
            <w:r w:rsidRPr="00D97592">
              <w:t>Resource implications for assessment include:</w:t>
            </w:r>
          </w:p>
          <w:p w:rsidR="00000000" w:rsidRPr="00D97592" w:rsidP="00D97592">
            <w:pPr>
              <w:pStyle w:val="ListBullet"/>
            </w:pPr>
            <w:r w:rsidRPr="00D97592">
              <w:t>workplace location</w:t>
            </w:r>
          </w:p>
          <w:p w:rsidR="00000000" w:rsidRPr="00D97592" w:rsidP="00D97592">
            <w:pPr>
              <w:pStyle w:val="ListBullet"/>
            </w:pPr>
            <w:r w:rsidRPr="00D97592">
              <w:t>tools and equipment appropriate to inlaying processes</w:t>
            </w:r>
          </w:p>
          <w:p w:rsidR="00000000" w:rsidRPr="00D97592" w:rsidP="00D97592">
            <w:pPr>
              <w:pStyle w:val="ListBullet"/>
            </w:pPr>
            <w:r w:rsidRPr="00D97592">
              <w:t>stone relevant to proposed activity</w:t>
            </w:r>
          </w:p>
          <w:p w:rsidR="00000000" w:rsidRPr="00D97592" w:rsidP="00D97592">
            <w:pPr>
              <w:pStyle w:val="ListBullet"/>
            </w:pPr>
            <w:r w:rsidRPr="00D97592">
              <w:t>drawings, specifications and documentation relevant to activity.</w:t>
            </w:r>
          </w:p>
          <w:p w:rsidR="00000000" w:rsidP="00D97592">
            <w:pPr>
              <w:pStyle w:val="BodyText"/>
              <w:rPr>
                <w:lang w:val="en-NZ"/>
              </w:rPr>
            </w:pPr>
            <w:r w:rsidRPr="00D97592">
              <w:t xml:space="preserve">Reasonable adjustments for people with disabilities must be made to assessment processes where required. This could include access to modified equipment and other physical resources, and the provision of appropriate assessment support. </w:t>
            </w:r>
          </w:p>
        </w:tc>
      </w:tr>
      <w:tr w:rsidTr="004A56B1">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D97592">
            <w:pPr>
              <w:pStyle w:val="BodyText"/>
              <w:rPr>
                <w:lang w:val="en-NZ"/>
              </w:rPr>
            </w:pPr>
            <w:r w:rsidRPr="00D97592">
              <w:rPr>
                <w:rStyle w:val="SpecialBold"/>
              </w:rPr>
              <w:t>Method of assessme</w:t>
            </w:r>
            <w:r w:rsidRPr="00D97592">
              <w:rPr>
                <w:rStyle w:val="SpecialBold"/>
              </w:rPr>
              <w:t>nt</w:t>
            </w:r>
          </w:p>
        </w:tc>
        <w:tc>
          <w:tcPr>
            <w:tcW w:w="5014" w:type="dxa"/>
            <w:tcBorders>
              <w:top w:val="nil"/>
              <w:left w:val="nil"/>
              <w:bottom w:val="nil"/>
              <w:right w:val="nil"/>
            </w:tcBorders>
            <w:tcMar>
              <w:top w:w="0" w:type="dxa"/>
              <w:left w:w="62" w:type="dxa"/>
              <w:bottom w:w="0" w:type="dxa"/>
              <w:right w:w="62" w:type="dxa"/>
            </w:tcMar>
          </w:tcPr>
          <w:p w:rsidR="00000000" w:rsidRPr="00D97592" w:rsidP="00D97592">
            <w:pPr>
              <w:pStyle w:val="BodyText"/>
            </w:pPr>
            <w:r w:rsidRPr="00D97592">
              <w:t>Assessment methods must:</w:t>
            </w:r>
          </w:p>
          <w:p w:rsidR="00000000" w:rsidRPr="00D97592" w:rsidP="00D97592">
            <w:pPr>
              <w:pStyle w:val="ListBullet"/>
            </w:pPr>
            <w:r w:rsidRPr="00D97592">
              <w:t>satisfy the endorsed Assessment Guidelines of the Construction, Plumbing and Services Training Package</w:t>
            </w:r>
          </w:p>
          <w:p w:rsidR="00000000" w:rsidRPr="00D97592" w:rsidP="00D97592">
            <w:pPr>
              <w:pStyle w:val="ListBullet"/>
            </w:pPr>
            <w:r w:rsidRPr="00D97592">
              <w:t>include direct observation of tasks in real or simulated work conditions, with questioning to confirm the ability to consist</w:t>
            </w:r>
            <w:r w:rsidRPr="00D97592">
              <w:t>ently identify and correctly interpret the essential underpinning knowledge required for practical application</w:t>
            </w:r>
          </w:p>
          <w:p w:rsidR="00000000" w:rsidRPr="00D97592" w:rsidP="00D97592">
            <w:pPr>
              <w:pStyle w:val="ListBullet"/>
            </w:pPr>
            <w:r w:rsidRPr="00D97592">
              <w:t>reinforce the integration of employability skills with workplace tasks and job roles</w:t>
            </w:r>
          </w:p>
          <w:p w:rsidR="00000000" w:rsidRPr="00D97592" w:rsidP="00D97592">
            <w:pPr>
              <w:pStyle w:val="ListBullet"/>
            </w:pPr>
            <w:r w:rsidRPr="00D97592">
              <w:t>confirm a reasonable inference that competency is not only v</w:t>
            </w:r>
            <w:r w:rsidRPr="00D97592">
              <w:t>erified under the particular assessment circumstance, but is able to be transferred to other circumstances and environments.</w:t>
            </w:r>
          </w:p>
          <w:p w:rsidR="00000000" w:rsidRPr="00D97592" w:rsidP="00D97592">
            <w:pPr>
              <w:pStyle w:val="BodyText"/>
            </w:pPr>
            <w:r w:rsidRPr="00D97592">
              <w:t>Validity and sufficiency of evidence requires that:</w:t>
            </w:r>
          </w:p>
          <w:p w:rsidR="00000000" w:rsidRPr="00D97592" w:rsidP="00D97592">
            <w:pPr>
              <w:pStyle w:val="ListBullet"/>
            </w:pPr>
            <w:r w:rsidRPr="00D97592">
              <w:t>competency will need to be demonstrated over a period of time reflecting the s</w:t>
            </w:r>
            <w:r w:rsidRPr="00D97592">
              <w:t>cope of the role and practical requirements of the workplace</w:t>
            </w:r>
          </w:p>
          <w:p w:rsidR="00000000" w:rsidRPr="00D97592" w:rsidP="00D97592">
            <w:pPr>
              <w:pStyle w:val="ListBullet"/>
            </w:pPr>
            <w:r w:rsidRPr="00D97592">
              <w:t xml:space="preserve">where the assessment is part of a structured learning experience the evidence collected must relate to a number of performances assessed at different points in time and separated by further learning and practice with a decision on competency only taken at </w:t>
            </w:r>
            <w:r w:rsidRPr="00D97592">
              <w:t>the point when the assessor has complete confidence in the person's demonstrated ability and applied knowledge</w:t>
            </w:r>
          </w:p>
          <w:p w:rsidR="00000000" w:rsidRPr="00D97592" w:rsidP="00D97592">
            <w:pPr>
              <w:pStyle w:val="ListBullet"/>
            </w:pPr>
            <w:r w:rsidRPr="00D97592">
              <w:t>all assessment that is part of a structured learning experience must include a combination of direct, indirect and supplementary evidence.</w:t>
            </w:r>
          </w:p>
          <w:p w:rsidR="00000000" w:rsidRPr="00D97592" w:rsidP="00D97592">
            <w:pPr>
              <w:pStyle w:val="BodyText"/>
            </w:pPr>
            <w:r w:rsidRPr="00D97592">
              <w:t>Assess</w:t>
            </w:r>
            <w:r w:rsidRPr="00D97592">
              <w:t>ment processes and techniques should, as far as is practical, take into account the language, literacy and numeracy capacity of the candidate in relation to the competency being assessed.</w:t>
            </w:r>
          </w:p>
          <w:p w:rsidR="00000000" w:rsidRPr="00D97592" w:rsidP="00D97592">
            <w:pPr>
              <w:pStyle w:val="BodyText"/>
            </w:pPr>
            <w:r w:rsidRPr="00D97592">
              <w:t>Supplementary evidence of competency may be obtained from relevant a</w:t>
            </w:r>
            <w:r w:rsidRPr="00D97592">
              <w:t xml:space="preserve">uthenticated documentation from third parties, such as existing supervisors, team leaders or specialist training staff. </w:t>
            </w:r>
          </w:p>
        </w:tc>
      </w:tr>
    </w:tbl>
    <w:p w:rsidR="004A56B1" w:rsidP="00D97592">
      <w:pPr>
        <w:pStyle w:val="BodyText"/>
      </w:pPr>
    </w:p>
    <w:p w:rsidR="004A56B1" w:rsidP="00D97592">
      <w:pPr>
        <w:pStyle w:val="BodyText"/>
      </w:pPr>
    </w:p>
    <w:p w:rsidR="00000000" w:rsidRPr="00D97592" w:rsidP="00D97592">
      <w:pPr>
        <w:pStyle w:val="Heading1"/>
      </w:pPr>
      <w:bookmarkStart w:id="11" w:name="O_250404"/>
      <w:bookmarkEnd w:id="11"/>
      <w:r w:rsidRPr="00D97592">
        <w:t>Range Statement</w:t>
      </w:r>
    </w:p>
    <w:tbl>
      <w:tblPr>
        <w:tblW w:w="0" w:type="auto"/>
        <w:tblLayout w:type="fixed"/>
        <w:tblCellMar>
          <w:left w:w="62" w:type="dxa"/>
          <w:right w:w="62" w:type="dxa"/>
        </w:tblCellMar>
        <w:tblLook w:val="0000"/>
      </w:tblPr>
      <w:tblGrid>
        <w:gridCol w:w="3481"/>
        <w:gridCol w:w="5041"/>
      </w:tblGrid>
      <w:tr w:rsidTr="004A56B1">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D97592">
            <w:pPr>
              <w:pStyle w:val="BodyText"/>
              <w:rPr>
                <w:lang w:val="en-NZ"/>
              </w:rPr>
            </w:pPr>
            <w:r w:rsidRPr="00D97592">
              <w:rPr>
                <w:rStyle w:val="SpecialBold"/>
              </w:rPr>
              <w:t>RANGE STATEMENT</w:t>
            </w:r>
          </w:p>
        </w:tc>
      </w:tr>
      <w:tr w:rsidTr="004A56B1">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D97592">
            <w:pPr>
              <w:pStyle w:val="BodyText"/>
              <w:rPr>
                <w:lang w:val="en-NZ"/>
              </w:rPr>
            </w:pPr>
            <w:r w:rsidRPr="00D97592">
              <w:t>The range statement relates to the unit of competency as a whole. It allows for different work environments and situations that may affect performance. Bold italicised wording, if used in the performance criteria, is detailed below. Essential operating con</w:t>
            </w:r>
            <w:r w:rsidRPr="00D97592">
              <w:t>ditions that may be present with training and assessment (depending on the work situation, needs of the candidate, accessibility of the item, and local industry and regional contexts) may also be included.</w:t>
            </w:r>
          </w:p>
        </w:tc>
      </w:tr>
      <w:tr w:rsidTr="004A56B1">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D97592">
            <w:pPr>
              <w:pStyle w:val="BodyText"/>
              <w:rPr>
                <w:lang w:val="en-NZ"/>
              </w:rPr>
            </w:pPr>
            <w:r w:rsidRPr="00D97592">
              <w:rPr>
                <w:rStyle w:val="BoldandItalics"/>
              </w:rPr>
              <w:t>Information</w:t>
            </w:r>
            <w:r w:rsidRPr="00D97592">
              <w:t xml:space="preserve"> includes:</w:t>
            </w:r>
          </w:p>
        </w:tc>
        <w:tc>
          <w:tcPr>
            <w:tcW w:w="5041" w:type="dxa"/>
            <w:tcBorders>
              <w:top w:val="nil"/>
              <w:left w:val="nil"/>
              <w:bottom w:val="nil"/>
              <w:right w:val="nil"/>
            </w:tcBorders>
            <w:tcMar>
              <w:top w:w="0" w:type="dxa"/>
              <w:left w:w="62" w:type="dxa"/>
              <w:bottom w:w="0" w:type="dxa"/>
              <w:right w:w="62" w:type="dxa"/>
            </w:tcMar>
          </w:tcPr>
          <w:p w:rsidR="00000000" w:rsidRPr="00D97592" w:rsidP="00D97592">
            <w:pPr>
              <w:pStyle w:val="ListBullet"/>
            </w:pPr>
            <w:r w:rsidRPr="00D97592">
              <w:t>diagrams or sketches</w:t>
            </w:r>
          </w:p>
          <w:p w:rsidR="00000000" w:rsidRPr="00D97592" w:rsidP="00D97592">
            <w:pPr>
              <w:pStyle w:val="ListBullet"/>
            </w:pPr>
            <w:r w:rsidRPr="00D97592">
              <w:t>instructions issued by authorised organisational or external personnel</w:t>
            </w:r>
          </w:p>
          <w:p w:rsidR="00000000" w:rsidRPr="00D97592" w:rsidP="00D97592">
            <w:pPr>
              <w:pStyle w:val="ListBullet"/>
            </w:pPr>
            <w:r w:rsidRPr="00D97592">
              <w:t>manufacturer specifications and instructions, where specified</w:t>
            </w:r>
          </w:p>
          <w:p w:rsidR="00000000" w:rsidRPr="00D97592" w:rsidP="00D97592">
            <w:pPr>
              <w:pStyle w:val="ListBullet"/>
            </w:pPr>
            <w:r w:rsidRPr="00D97592">
              <w:t>material safety data sheets (MSDS)</w:t>
            </w:r>
          </w:p>
          <w:p w:rsidR="00000000" w:rsidRPr="00D97592" w:rsidP="00D97592">
            <w:pPr>
              <w:pStyle w:val="ListBullet"/>
            </w:pPr>
            <w:r w:rsidRPr="00D97592">
              <w:t>memos</w:t>
            </w:r>
          </w:p>
          <w:p w:rsidR="00000000" w:rsidRPr="00D97592" w:rsidP="00D97592">
            <w:pPr>
              <w:pStyle w:val="ListBullet"/>
            </w:pPr>
            <w:r w:rsidRPr="00D97592">
              <w:t>regulatory and legislative requirements pertaining to handling lead and stone</w:t>
            </w:r>
          </w:p>
          <w:p w:rsidR="00000000" w:rsidRPr="00D97592" w:rsidP="00D97592">
            <w:pPr>
              <w:pStyle w:val="ListBullet"/>
            </w:pPr>
            <w:r w:rsidRPr="00D97592">
              <w:t>rele</w:t>
            </w:r>
            <w:r w:rsidRPr="00D97592">
              <w:t>vant Australian standards</w:t>
            </w:r>
          </w:p>
          <w:p w:rsidR="00000000" w:rsidRPr="00D97592" w:rsidP="00D97592">
            <w:pPr>
              <w:pStyle w:val="ListBullet"/>
            </w:pPr>
            <w:r w:rsidRPr="00D97592">
              <w:t>safe work procedures relating to handling lead and stone</w:t>
            </w:r>
          </w:p>
          <w:p w:rsidR="00000000" w:rsidRPr="00D97592" w:rsidP="00D97592">
            <w:pPr>
              <w:pStyle w:val="ListBullet"/>
            </w:pPr>
            <w:r w:rsidRPr="00D97592">
              <w:t>signage</w:t>
            </w:r>
          </w:p>
          <w:p w:rsidR="00000000" w:rsidRPr="00D97592" w:rsidP="00D97592">
            <w:pPr>
              <w:pStyle w:val="ListBullet"/>
            </w:pPr>
            <w:r w:rsidRPr="00D97592">
              <w:t>verbal, written and graphical instructions</w:t>
            </w:r>
          </w:p>
          <w:p w:rsidR="00000000" w:rsidRPr="00D97592" w:rsidP="00D97592">
            <w:pPr>
              <w:pStyle w:val="ListBullet"/>
            </w:pPr>
            <w:r w:rsidRPr="00D97592">
              <w:t>work bulletins</w:t>
            </w:r>
          </w:p>
          <w:p w:rsidR="00000000" w:rsidP="00D97592">
            <w:pPr>
              <w:pStyle w:val="ListBullet"/>
              <w:rPr>
                <w:lang w:val="en-NZ"/>
              </w:rPr>
            </w:pPr>
            <w:r w:rsidRPr="00D97592">
              <w:t>work schedules, plans and specifications.</w:t>
            </w:r>
          </w:p>
        </w:tc>
      </w:tr>
      <w:tr w:rsidTr="004A56B1">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D97592">
            <w:pPr>
              <w:pStyle w:val="BodyText"/>
              <w:rPr>
                <w:lang w:val="en-NZ"/>
              </w:rPr>
            </w:pPr>
            <w:r w:rsidRPr="00D97592">
              <w:rPr>
                <w:rStyle w:val="BoldandItalics"/>
              </w:rPr>
              <w:t>Planning and preparation</w:t>
            </w:r>
            <w:r w:rsidRPr="00D97592">
              <w:t xml:space="preserve"> include:</w:t>
            </w:r>
          </w:p>
        </w:tc>
        <w:tc>
          <w:tcPr>
            <w:tcW w:w="5041" w:type="dxa"/>
            <w:tcBorders>
              <w:top w:val="nil"/>
              <w:left w:val="nil"/>
              <w:bottom w:val="nil"/>
              <w:right w:val="nil"/>
            </w:tcBorders>
            <w:tcMar>
              <w:top w:w="0" w:type="dxa"/>
              <w:left w:w="62" w:type="dxa"/>
              <w:bottom w:w="0" w:type="dxa"/>
              <w:right w:w="62" w:type="dxa"/>
            </w:tcMar>
          </w:tcPr>
          <w:p w:rsidR="00000000" w:rsidRPr="00D97592" w:rsidP="00D97592">
            <w:pPr>
              <w:pStyle w:val="ListBullet"/>
            </w:pPr>
            <w:r w:rsidRPr="00D97592">
              <w:t xml:space="preserve">assessment of conditions and </w:t>
            </w:r>
            <w:r w:rsidRPr="00D97592">
              <w:t>hazards</w:t>
            </w:r>
          </w:p>
          <w:p w:rsidR="00000000" w:rsidRPr="00D97592" w:rsidP="00D97592">
            <w:pPr>
              <w:pStyle w:val="ListBullet"/>
            </w:pPr>
            <w:r w:rsidRPr="00D97592">
              <w:t>determination of work requirements and safety plans and policies</w:t>
            </w:r>
          </w:p>
          <w:p w:rsidR="00000000" w:rsidRPr="00D97592" w:rsidP="00D97592">
            <w:pPr>
              <w:pStyle w:val="ListBullet"/>
            </w:pPr>
            <w:r w:rsidRPr="00D97592">
              <w:t>equipment defect identification</w:t>
            </w:r>
          </w:p>
          <w:p w:rsidR="00000000" w:rsidP="00D97592">
            <w:pPr>
              <w:pStyle w:val="ListBullet"/>
              <w:rPr>
                <w:lang w:val="en-NZ"/>
              </w:rPr>
            </w:pPr>
            <w:r w:rsidRPr="00D97592">
              <w:t>work site inspection.</w:t>
            </w:r>
          </w:p>
        </w:tc>
      </w:tr>
      <w:tr w:rsidTr="004A56B1">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D97592">
            <w:pPr>
              <w:pStyle w:val="BodyText"/>
              <w:rPr>
                <w:lang w:val="en-NZ"/>
              </w:rPr>
            </w:pPr>
            <w:r w:rsidRPr="00D97592">
              <w:rPr>
                <w:rStyle w:val="BoldandItalics"/>
              </w:rPr>
              <w:t>Safety</w:t>
            </w:r>
            <w:r w:rsidRPr="00D97592">
              <w:t xml:space="preserve"> (</w:t>
            </w:r>
            <w:r w:rsidRPr="00D97592">
              <w:rPr>
                <w:rStyle w:val="BoldandItalics"/>
              </w:rPr>
              <w:t>OHS</w:t>
            </w:r>
            <w:r w:rsidRPr="00D97592">
              <w:t xml:space="preserve">) is to </w:t>
            </w:r>
            <w:r w:rsidRPr="00D97592">
              <w:t>be in accordance with state and territory legislation and regulations and project safety plan and may include:</w:t>
            </w:r>
          </w:p>
        </w:tc>
        <w:tc>
          <w:tcPr>
            <w:tcW w:w="5041" w:type="dxa"/>
            <w:tcBorders>
              <w:top w:val="nil"/>
              <w:left w:val="nil"/>
              <w:bottom w:val="nil"/>
              <w:right w:val="nil"/>
            </w:tcBorders>
            <w:tcMar>
              <w:top w:w="0" w:type="dxa"/>
              <w:left w:w="62" w:type="dxa"/>
              <w:bottom w:w="0" w:type="dxa"/>
              <w:right w:w="62" w:type="dxa"/>
            </w:tcMar>
          </w:tcPr>
          <w:p w:rsidR="00000000" w:rsidRPr="00D97592" w:rsidP="00D97592">
            <w:pPr>
              <w:pStyle w:val="ListBullet"/>
            </w:pPr>
            <w:r w:rsidRPr="00D97592">
              <w:t>emergency procedures, including extinguishing fires, organisational first aid requirements and evacuation</w:t>
            </w:r>
          </w:p>
          <w:p w:rsidR="00000000" w:rsidRPr="00D97592" w:rsidP="00D97592">
            <w:pPr>
              <w:pStyle w:val="ListBullet"/>
            </w:pPr>
            <w:r w:rsidRPr="00D97592">
              <w:t>hazard control</w:t>
            </w:r>
          </w:p>
          <w:p w:rsidR="00000000" w:rsidRPr="00D97592" w:rsidP="00D97592">
            <w:pPr>
              <w:pStyle w:val="ListBullet"/>
            </w:pPr>
            <w:r w:rsidRPr="00D97592">
              <w:t>hazardous materials and</w:t>
            </w:r>
            <w:r w:rsidRPr="00D97592">
              <w:t xml:space="preserve"> substances</w:t>
            </w:r>
          </w:p>
          <w:p w:rsidR="00000000" w:rsidRPr="00D97592" w:rsidP="00D97592">
            <w:pPr>
              <w:pStyle w:val="ListBullet"/>
            </w:pPr>
            <w:r w:rsidRPr="00D97592">
              <w:t>organisational first aid</w:t>
            </w:r>
          </w:p>
          <w:p w:rsidR="00000000" w:rsidRPr="00D97592" w:rsidP="00D97592">
            <w:pPr>
              <w:pStyle w:val="ListBullet"/>
            </w:pPr>
            <w:r w:rsidRPr="00D97592">
              <w:t>PPE prescribed under legislation, regulations and workplace policies and practices</w:t>
            </w:r>
          </w:p>
          <w:p w:rsidR="00000000" w:rsidRPr="00D97592" w:rsidP="00D97592">
            <w:pPr>
              <w:pStyle w:val="ListBullet"/>
            </w:pPr>
            <w:r w:rsidRPr="00D97592">
              <w:t>safe operating procedures, including the conduct of operational risk assessment and treatments associated with:</w:t>
            </w:r>
          </w:p>
          <w:p w:rsidR="00000000" w:rsidRPr="00D97592" w:rsidP="00D97592">
            <w:pPr>
              <w:pStyle w:val="ListBullet2"/>
            </w:pPr>
            <w:r w:rsidRPr="00D97592">
              <w:t>concealed services (wat</w:t>
            </w:r>
            <w:r w:rsidRPr="00D97592">
              <w:t>er, power and gas)</w:t>
            </w:r>
          </w:p>
          <w:p w:rsidR="00000000" w:rsidRPr="00D97592" w:rsidP="00D97592">
            <w:pPr>
              <w:pStyle w:val="ListBullet2"/>
            </w:pPr>
            <w:r w:rsidRPr="00D97592">
              <w:t>lighting</w:t>
            </w:r>
          </w:p>
          <w:p w:rsidR="00000000" w:rsidRPr="00D97592" w:rsidP="00D97592">
            <w:pPr>
              <w:pStyle w:val="ListBullet2"/>
            </w:pPr>
            <w:r w:rsidRPr="00D97592">
              <w:t>restricted access barriers</w:t>
            </w:r>
          </w:p>
          <w:p w:rsidR="00000000" w:rsidRPr="00D97592" w:rsidP="00D97592">
            <w:pPr>
              <w:pStyle w:val="ListBullet2"/>
            </w:pPr>
            <w:r w:rsidRPr="00D97592">
              <w:t>traffic control</w:t>
            </w:r>
          </w:p>
          <w:p w:rsidR="00000000" w:rsidRPr="00D97592" w:rsidP="00D97592">
            <w:pPr>
              <w:pStyle w:val="ListBullet2"/>
            </w:pPr>
            <w:r w:rsidRPr="00D97592">
              <w:t>working at heights</w:t>
            </w:r>
          </w:p>
          <w:p w:rsidR="00000000" w:rsidRPr="00D97592" w:rsidP="00D97592">
            <w:pPr>
              <w:pStyle w:val="ListBullet2"/>
            </w:pPr>
            <w:r w:rsidRPr="00D97592">
              <w:t>work site visitors and the public</w:t>
            </w:r>
          </w:p>
          <w:p w:rsidR="00000000" w:rsidRPr="00D97592" w:rsidP="00D97592">
            <w:pPr>
              <w:pStyle w:val="ListBullet2"/>
            </w:pPr>
            <w:r w:rsidRPr="00D97592">
              <w:t>working at heights</w:t>
            </w:r>
          </w:p>
          <w:p w:rsidR="00000000" w:rsidRPr="00D97592" w:rsidP="00D97592">
            <w:pPr>
              <w:pStyle w:val="ListBullet2"/>
            </w:pPr>
            <w:r w:rsidRPr="00D97592">
              <w:t>working in proximity to others</w:t>
            </w:r>
          </w:p>
          <w:p w:rsidR="00000000" w:rsidRPr="00D97592" w:rsidP="00D97592">
            <w:pPr>
              <w:pStyle w:val="ListBullet"/>
            </w:pPr>
            <w:r w:rsidRPr="00D97592">
              <w:t>use of firefighting equipment</w:t>
            </w:r>
          </w:p>
          <w:p w:rsidR="00000000" w:rsidRPr="00D97592" w:rsidP="00D97592">
            <w:pPr>
              <w:pStyle w:val="ListBullet"/>
            </w:pPr>
            <w:r w:rsidRPr="00D97592">
              <w:t>use of tools and equipment</w:t>
            </w:r>
          </w:p>
          <w:p w:rsidR="00000000" w:rsidP="00D97592">
            <w:pPr>
              <w:pStyle w:val="ListBullet"/>
              <w:rPr>
                <w:lang w:val="en-NZ"/>
              </w:rPr>
            </w:pPr>
            <w:r w:rsidRPr="00D97592">
              <w:t>workplace environmental requirements and safety.</w:t>
            </w:r>
          </w:p>
        </w:tc>
      </w:tr>
      <w:tr w:rsidTr="004A56B1">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D97592">
            <w:pPr>
              <w:pStyle w:val="BodyText"/>
              <w:rPr>
                <w:lang w:val="en-NZ"/>
              </w:rPr>
            </w:pPr>
            <w:r w:rsidRPr="00D97592">
              <w:rPr>
                <w:rStyle w:val="BoldandItalics"/>
              </w:rPr>
              <w:t>Tools and equipment</w:t>
            </w:r>
            <w:r w:rsidRPr="00D97592">
              <w:t xml:space="preserve"> include:</w:t>
            </w:r>
          </w:p>
        </w:tc>
        <w:tc>
          <w:tcPr>
            <w:tcW w:w="5041" w:type="dxa"/>
            <w:tcBorders>
              <w:top w:val="nil"/>
              <w:left w:val="nil"/>
              <w:bottom w:val="nil"/>
              <w:right w:val="nil"/>
            </w:tcBorders>
            <w:tcMar>
              <w:top w:w="0" w:type="dxa"/>
              <w:left w:w="62" w:type="dxa"/>
              <w:bottom w:w="0" w:type="dxa"/>
              <w:right w:w="62" w:type="dxa"/>
            </w:tcMar>
          </w:tcPr>
          <w:p w:rsidR="00000000" w:rsidRPr="00D97592" w:rsidP="00D97592">
            <w:pPr>
              <w:pStyle w:val="ListBullet"/>
            </w:pPr>
            <w:r w:rsidRPr="00D97592">
              <w:t>clamps</w:t>
            </w:r>
          </w:p>
          <w:p w:rsidR="00000000" w:rsidRPr="00D97592" w:rsidP="00D97592">
            <w:pPr>
              <w:pStyle w:val="ListBullet"/>
            </w:pPr>
            <w:r w:rsidRPr="00D97592">
              <w:t>hammers</w:t>
            </w:r>
          </w:p>
          <w:p w:rsidR="00000000" w:rsidRPr="00D97592" w:rsidP="00D97592">
            <w:pPr>
              <w:pStyle w:val="ListBullet"/>
            </w:pPr>
            <w:r w:rsidRPr="00D97592">
              <w:t>lettering chisels</w:t>
            </w:r>
          </w:p>
          <w:p w:rsidR="00000000" w:rsidRPr="00D97592" w:rsidP="00D97592">
            <w:pPr>
              <w:pStyle w:val="ListBullet"/>
            </w:pPr>
            <w:r w:rsidRPr="00D97592">
              <w:t>mallets</w:t>
            </w:r>
          </w:p>
          <w:p w:rsidR="00000000" w:rsidRPr="00D97592" w:rsidP="00D97592">
            <w:pPr>
              <w:pStyle w:val="ListBullet"/>
            </w:pPr>
            <w:r w:rsidRPr="00D97592">
              <w:t>masonry drills</w:t>
            </w:r>
          </w:p>
          <w:p w:rsidR="00000000" w:rsidRPr="00D97592" w:rsidP="00D97592">
            <w:pPr>
              <w:pStyle w:val="ListBullet"/>
            </w:pPr>
            <w:r w:rsidRPr="00D97592">
              <w:t>measuring tapes and rules</w:t>
            </w:r>
          </w:p>
          <w:p w:rsidR="00000000" w:rsidRPr="00D97592" w:rsidP="00D97592">
            <w:pPr>
              <w:pStyle w:val="ListBullet"/>
            </w:pPr>
            <w:r w:rsidRPr="00D97592">
              <w:t>pneumatic lettering chisels</w:t>
            </w:r>
          </w:p>
          <w:p w:rsidR="00000000" w:rsidRPr="00D97592" w:rsidP="00D97592">
            <w:pPr>
              <w:pStyle w:val="ListBullet"/>
            </w:pPr>
            <w:r w:rsidRPr="00D97592">
              <w:t>power grinders</w:t>
            </w:r>
          </w:p>
          <w:p w:rsidR="00000000" w:rsidRPr="00D97592" w:rsidP="00D97592">
            <w:pPr>
              <w:pStyle w:val="ListBullet"/>
            </w:pPr>
            <w:r w:rsidRPr="00D97592">
              <w:t>power leads</w:t>
            </w:r>
          </w:p>
          <w:p w:rsidR="00000000" w:rsidRPr="00D97592" w:rsidP="00D97592">
            <w:pPr>
              <w:pStyle w:val="ListBullet"/>
            </w:pPr>
            <w:r w:rsidRPr="00D97592">
              <w:t>punch</w:t>
            </w:r>
          </w:p>
          <w:p w:rsidR="00000000" w:rsidRPr="00D97592" w:rsidP="00D97592">
            <w:pPr>
              <w:pStyle w:val="ListBullet"/>
            </w:pPr>
            <w:r w:rsidRPr="00D97592">
              <w:t>scribers</w:t>
            </w:r>
          </w:p>
          <w:p w:rsidR="00000000" w:rsidRPr="00D97592" w:rsidP="00D97592">
            <w:pPr>
              <w:pStyle w:val="ListBullet"/>
            </w:pPr>
            <w:r w:rsidRPr="00D97592">
              <w:t>sculptor's chisels</w:t>
            </w:r>
          </w:p>
          <w:p w:rsidR="00000000" w:rsidRPr="00D97592" w:rsidP="00D97592">
            <w:pPr>
              <w:pStyle w:val="ListBullet"/>
            </w:pPr>
            <w:r w:rsidRPr="00D97592">
              <w:t>squares</w:t>
            </w:r>
          </w:p>
          <w:p w:rsidR="00000000" w:rsidP="00D97592">
            <w:pPr>
              <w:pStyle w:val="ListBullet"/>
              <w:rPr>
                <w:lang w:val="en-NZ"/>
              </w:rPr>
            </w:pPr>
            <w:r w:rsidRPr="00D97592">
              <w:t>straight edges.</w:t>
            </w:r>
          </w:p>
        </w:tc>
      </w:tr>
      <w:tr w:rsidTr="004A56B1">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D97592">
            <w:pPr>
              <w:pStyle w:val="BodyText"/>
              <w:rPr>
                <w:lang w:val="en-NZ"/>
              </w:rPr>
            </w:pPr>
            <w:r w:rsidRPr="00D97592">
              <w:rPr>
                <w:rStyle w:val="BoldandItalics"/>
              </w:rPr>
              <w:t>Quality requirements</w:t>
            </w:r>
            <w:r w:rsidRPr="00D97592">
              <w:t xml:space="preserve"> include:</w:t>
            </w:r>
          </w:p>
        </w:tc>
        <w:tc>
          <w:tcPr>
            <w:tcW w:w="5041" w:type="dxa"/>
            <w:tcBorders>
              <w:top w:val="nil"/>
              <w:left w:val="nil"/>
              <w:bottom w:val="nil"/>
              <w:right w:val="nil"/>
            </w:tcBorders>
            <w:tcMar>
              <w:top w:w="0" w:type="dxa"/>
              <w:left w:w="62" w:type="dxa"/>
              <w:bottom w:w="0" w:type="dxa"/>
              <w:right w:w="62" w:type="dxa"/>
            </w:tcMar>
          </w:tcPr>
          <w:p w:rsidR="00000000" w:rsidRPr="00D97592" w:rsidP="00D97592">
            <w:pPr>
              <w:pStyle w:val="ListBullet"/>
            </w:pPr>
            <w:r w:rsidRPr="00D97592">
              <w:t>attention to specifications of work</w:t>
            </w:r>
          </w:p>
          <w:p w:rsidR="00000000" w:rsidRPr="00D97592" w:rsidP="00D97592">
            <w:pPr>
              <w:pStyle w:val="ListBullet"/>
            </w:pPr>
            <w:r w:rsidRPr="00D97592">
              <w:t>control of handling procedures</w:t>
            </w:r>
          </w:p>
          <w:p w:rsidR="00000000" w:rsidRPr="00D97592" w:rsidP="00D97592">
            <w:pPr>
              <w:pStyle w:val="ListBullet"/>
            </w:pPr>
            <w:r w:rsidRPr="00D97592">
              <w:t>finishing of stone surfaces</w:t>
            </w:r>
          </w:p>
          <w:p w:rsidR="00000000" w:rsidRPr="00D97592" w:rsidP="00D97592">
            <w:pPr>
              <w:pStyle w:val="ListBullet"/>
            </w:pPr>
            <w:r w:rsidRPr="00D97592">
              <w:t>quality of materials</w:t>
            </w:r>
          </w:p>
          <w:p w:rsidR="00000000" w:rsidRPr="00D97592" w:rsidP="00D97592">
            <w:pPr>
              <w:pStyle w:val="ListBullet"/>
            </w:pPr>
            <w:r w:rsidRPr="00D97592">
              <w:t>relevant regulations, including:</w:t>
            </w:r>
          </w:p>
          <w:p w:rsidR="00000000" w:rsidRPr="00D97592" w:rsidP="00D97592">
            <w:pPr>
              <w:pStyle w:val="ListBullet2"/>
            </w:pPr>
            <w:r w:rsidRPr="00D97592">
              <w:t>Australian standards</w:t>
            </w:r>
          </w:p>
          <w:p w:rsidR="00000000" w:rsidRPr="00D97592" w:rsidP="00D97592">
            <w:pPr>
              <w:pStyle w:val="ListBullet2"/>
            </w:pPr>
            <w:r w:rsidRPr="00D97592">
              <w:t>internal company quality policy and standards</w:t>
            </w:r>
          </w:p>
          <w:p w:rsidR="00000000" w:rsidRPr="00D97592" w:rsidP="00D97592">
            <w:pPr>
              <w:pStyle w:val="ListBullet2"/>
            </w:pPr>
            <w:r w:rsidRPr="00D97592">
              <w:t>manufacturer specifications where specified</w:t>
            </w:r>
          </w:p>
          <w:p w:rsidR="00000000" w:rsidP="00D97592">
            <w:pPr>
              <w:pStyle w:val="ListBullet2"/>
              <w:rPr>
                <w:lang w:val="en-NZ"/>
              </w:rPr>
            </w:pPr>
            <w:r w:rsidRPr="00D97592">
              <w:t>workplace operations and procedures.</w:t>
            </w:r>
          </w:p>
        </w:tc>
      </w:tr>
      <w:tr w:rsidTr="004A56B1">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D97592">
            <w:pPr>
              <w:pStyle w:val="BodyText"/>
              <w:rPr>
                <w:lang w:val="en-NZ"/>
              </w:rPr>
            </w:pPr>
            <w:r w:rsidRPr="00D97592">
              <w:rPr>
                <w:rStyle w:val="BoldandItalics"/>
              </w:rPr>
              <w:t>Materials</w:t>
            </w:r>
            <w:r w:rsidRPr="00D97592">
              <w:t xml:space="preserve"> include:</w:t>
            </w:r>
          </w:p>
        </w:tc>
        <w:tc>
          <w:tcPr>
            <w:tcW w:w="5041" w:type="dxa"/>
            <w:tcBorders>
              <w:top w:val="nil"/>
              <w:left w:val="nil"/>
              <w:bottom w:val="nil"/>
              <w:right w:val="nil"/>
            </w:tcBorders>
            <w:tcMar>
              <w:top w:w="0" w:type="dxa"/>
              <w:left w:w="62" w:type="dxa"/>
              <w:bottom w:w="0" w:type="dxa"/>
              <w:right w:w="62" w:type="dxa"/>
            </w:tcMar>
          </w:tcPr>
          <w:p w:rsidR="00000000" w:rsidRPr="00D97592" w:rsidP="00D97592">
            <w:pPr>
              <w:pStyle w:val="ListBullet"/>
            </w:pPr>
            <w:r w:rsidRPr="00D97592">
              <w:t>aluminium sheet</w:t>
            </w:r>
          </w:p>
          <w:p w:rsidR="00000000" w:rsidRPr="00D97592" w:rsidP="00D97592">
            <w:pPr>
              <w:pStyle w:val="ListBullet"/>
            </w:pPr>
            <w:r w:rsidRPr="00D97592">
              <w:t>cardboard</w:t>
            </w:r>
          </w:p>
          <w:p w:rsidR="00000000" w:rsidRPr="00D97592" w:rsidP="00D97592">
            <w:pPr>
              <w:pStyle w:val="ListBullet"/>
            </w:pPr>
            <w:r w:rsidRPr="00D97592">
              <w:t>lead</w:t>
            </w:r>
          </w:p>
          <w:p w:rsidR="00000000" w:rsidRPr="00D97592" w:rsidP="00D97592">
            <w:pPr>
              <w:pStyle w:val="ListBullet"/>
            </w:pPr>
            <w:r w:rsidRPr="00D97592">
              <w:t>plastic sheet</w:t>
            </w:r>
          </w:p>
          <w:p w:rsidR="00000000" w:rsidRPr="00D97592" w:rsidP="00D97592">
            <w:pPr>
              <w:pStyle w:val="ListBullet"/>
            </w:pPr>
            <w:r w:rsidRPr="00D97592">
              <w:t>plywood</w:t>
            </w:r>
          </w:p>
          <w:p w:rsidR="00000000" w:rsidP="00D97592">
            <w:pPr>
              <w:pStyle w:val="ListBullet"/>
              <w:rPr>
                <w:lang w:val="en-NZ"/>
              </w:rPr>
            </w:pPr>
            <w:r w:rsidRPr="00D97592">
              <w:t>zincalume sheet.</w:t>
            </w:r>
          </w:p>
        </w:tc>
      </w:tr>
      <w:tr w:rsidTr="004A56B1">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D97592">
            <w:pPr>
              <w:pStyle w:val="BodyText"/>
              <w:rPr>
                <w:lang w:val="en-NZ"/>
              </w:rPr>
            </w:pPr>
            <w:r w:rsidRPr="00D97592">
              <w:rPr>
                <w:rStyle w:val="BoldandItalics"/>
              </w:rPr>
              <w:t>Environmental requirements</w:t>
            </w:r>
            <w:r w:rsidRPr="00D97592">
              <w:t xml:space="preserve"> include:</w:t>
            </w:r>
          </w:p>
        </w:tc>
        <w:tc>
          <w:tcPr>
            <w:tcW w:w="5041" w:type="dxa"/>
            <w:tcBorders>
              <w:top w:val="nil"/>
              <w:left w:val="nil"/>
              <w:bottom w:val="nil"/>
              <w:right w:val="nil"/>
            </w:tcBorders>
            <w:tcMar>
              <w:top w:w="0" w:type="dxa"/>
              <w:left w:w="62" w:type="dxa"/>
              <w:bottom w:w="0" w:type="dxa"/>
              <w:right w:w="62" w:type="dxa"/>
            </w:tcMar>
          </w:tcPr>
          <w:p w:rsidR="00000000" w:rsidRPr="00D97592" w:rsidP="00D97592">
            <w:pPr>
              <w:pStyle w:val="ListBullet"/>
            </w:pPr>
            <w:r w:rsidRPr="00D97592">
              <w:t>clean-up management</w:t>
            </w:r>
          </w:p>
          <w:p w:rsidR="00000000" w:rsidRPr="00D97592" w:rsidP="00D97592">
            <w:pPr>
              <w:pStyle w:val="ListBullet"/>
            </w:pPr>
            <w:r w:rsidRPr="00D97592">
              <w:t>dust and noise</w:t>
            </w:r>
          </w:p>
          <w:p w:rsidR="00000000" w:rsidRPr="00D97592" w:rsidP="00D97592">
            <w:pPr>
              <w:pStyle w:val="ListBullet"/>
            </w:pPr>
            <w:r w:rsidRPr="00D97592">
              <w:t>vibration</w:t>
            </w:r>
          </w:p>
          <w:p w:rsidR="00000000" w:rsidP="00D97592">
            <w:pPr>
              <w:pStyle w:val="ListBullet"/>
              <w:rPr>
                <w:lang w:val="en-NZ"/>
              </w:rPr>
            </w:pPr>
            <w:r w:rsidRPr="00D97592">
              <w:t>waste management.</w:t>
            </w:r>
          </w:p>
        </w:tc>
      </w:tr>
      <w:tr w:rsidTr="004A56B1">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D97592">
            <w:pPr>
              <w:pStyle w:val="BodyText"/>
              <w:rPr>
                <w:lang w:val="en-NZ"/>
              </w:rPr>
            </w:pPr>
            <w:r w:rsidRPr="00D97592">
              <w:rPr>
                <w:rStyle w:val="BoldandItalics"/>
              </w:rPr>
              <w:t>Statutory and regulatory authority</w:t>
            </w:r>
            <w:r w:rsidRPr="00D97592">
              <w:t xml:space="preserve"> includes:</w:t>
            </w:r>
          </w:p>
        </w:tc>
        <w:tc>
          <w:tcPr>
            <w:tcW w:w="5041" w:type="dxa"/>
            <w:tcBorders>
              <w:top w:val="nil"/>
              <w:left w:val="nil"/>
              <w:bottom w:val="nil"/>
              <w:right w:val="nil"/>
            </w:tcBorders>
            <w:tcMar>
              <w:top w:w="0" w:type="dxa"/>
              <w:left w:w="62" w:type="dxa"/>
              <w:bottom w:w="0" w:type="dxa"/>
              <w:right w:w="62" w:type="dxa"/>
            </w:tcMar>
          </w:tcPr>
          <w:p w:rsidR="00000000" w:rsidP="00D97592">
            <w:pPr>
              <w:pStyle w:val="ListBullet"/>
              <w:rPr>
                <w:lang w:val="en-NZ"/>
              </w:rPr>
            </w:pPr>
            <w:r w:rsidRPr="00D97592">
              <w:t>federal, state and local authorities administering applicable Acts, regulations and codes of practice.</w:t>
            </w:r>
          </w:p>
        </w:tc>
      </w:tr>
      <w:tr w:rsidTr="004A56B1">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D97592">
            <w:pPr>
              <w:pStyle w:val="BodyText"/>
              <w:rPr>
                <w:lang w:val="en-NZ"/>
              </w:rPr>
            </w:pPr>
            <w:r w:rsidRPr="00D97592">
              <w:rPr>
                <w:rStyle w:val="BoldandItalics"/>
              </w:rPr>
              <w:t>Lettering</w:t>
            </w:r>
            <w:r w:rsidRPr="00D97592">
              <w:t xml:space="preserve"> uses operations that include:</w:t>
            </w:r>
          </w:p>
        </w:tc>
        <w:tc>
          <w:tcPr>
            <w:tcW w:w="5041" w:type="dxa"/>
            <w:tcBorders>
              <w:top w:val="nil"/>
              <w:left w:val="nil"/>
              <w:bottom w:val="nil"/>
              <w:right w:val="nil"/>
            </w:tcBorders>
            <w:tcMar>
              <w:top w:w="0" w:type="dxa"/>
              <w:left w:w="62" w:type="dxa"/>
              <w:bottom w:w="0" w:type="dxa"/>
              <w:right w:w="62" w:type="dxa"/>
            </w:tcMar>
          </w:tcPr>
          <w:p w:rsidR="00000000" w:rsidRPr="00D97592" w:rsidP="00D97592">
            <w:pPr>
              <w:pStyle w:val="ListBullet"/>
            </w:pPr>
            <w:r w:rsidRPr="00D97592">
              <w:t>cutting</w:t>
            </w:r>
          </w:p>
          <w:p w:rsidR="00000000" w:rsidRPr="00D97592" w:rsidP="00D97592">
            <w:pPr>
              <w:pStyle w:val="ListBullet"/>
            </w:pPr>
            <w:r w:rsidRPr="00D97592">
              <w:t>forming</w:t>
            </w:r>
          </w:p>
          <w:p w:rsidR="00000000" w:rsidRPr="00D97592" w:rsidP="00D97592">
            <w:pPr>
              <w:pStyle w:val="ListBullet"/>
            </w:pPr>
            <w:r w:rsidRPr="00D97592">
              <w:t>melting</w:t>
            </w:r>
          </w:p>
          <w:p w:rsidR="00000000" w:rsidRPr="00D97592" w:rsidP="00D97592">
            <w:pPr>
              <w:pStyle w:val="ListBullet"/>
            </w:pPr>
            <w:r w:rsidRPr="00D97592">
              <w:t>shaping.</w:t>
            </w:r>
          </w:p>
        </w:tc>
      </w:tr>
    </w:tbl>
    <w:p w:rsidR="004A56B1" w:rsidP="00D97592">
      <w:pPr>
        <w:pStyle w:val="BodyText"/>
      </w:pPr>
    </w:p>
    <w:p w:rsidR="004A56B1" w:rsidP="00D97592">
      <w:pPr>
        <w:pStyle w:val="BodyText"/>
      </w:pPr>
    </w:p>
    <w:p w:rsidR="00000000" w:rsidRPr="00D97592" w:rsidP="00D97592">
      <w:pPr>
        <w:pStyle w:val="Heading1"/>
      </w:pPr>
      <w:bookmarkStart w:id="12" w:name="O_198849"/>
      <w:bookmarkEnd w:id="12"/>
      <w:r w:rsidRPr="00D97592">
        <w:t>Unit Sector(s)</w:t>
      </w:r>
    </w:p>
    <w:tbl>
      <w:tblPr>
        <w:tblW w:w="0" w:type="auto"/>
        <w:tblLayout w:type="fixed"/>
        <w:tblCellMar>
          <w:left w:w="62" w:type="dxa"/>
          <w:right w:w="62" w:type="dxa"/>
        </w:tblCellMar>
        <w:tblLook w:val="0000"/>
      </w:tblPr>
      <w:tblGrid>
        <w:gridCol w:w="2461"/>
        <w:gridCol w:w="6061"/>
      </w:tblGrid>
      <w:tr w:rsidTr="004A56B1">
        <w:tblPrEx>
          <w:tblW w:w="0" w:type="auto"/>
          <w:tblLayout w:type="fixed"/>
          <w:tblCellMar>
            <w:left w:w="62" w:type="dxa"/>
            <w:right w:w="62" w:type="dxa"/>
          </w:tblCellMar>
          <w:tblLook w:val="0000"/>
        </w:tblPrEx>
        <w:trPr>
          <w:tblHeader/>
        </w:trPr>
        <w:tc>
          <w:tcPr>
            <w:tcW w:w="2461" w:type="dxa"/>
            <w:tcBorders>
              <w:top w:val="nil"/>
              <w:left w:val="nil"/>
              <w:bottom w:val="nil"/>
              <w:right w:val="nil"/>
            </w:tcBorders>
            <w:tcMar>
              <w:top w:w="0" w:type="dxa"/>
              <w:left w:w="62" w:type="dxa"/>
              <w:bottom w:w="0" w:type="dxa"/>
              <w:right w:w="62" w:type="dxa"/>
            </w:tcMar>
          </w:tcPr>
          <w:p w:rsidR="00000000" w:rsidP="00D97592">
            <w:pPr>
              <w:pStyle w:val="BodyText"/>
              <w:rPr>
                <w:lang w:val="en-NZ"/>
              </w:rPr>
            </w:pPr>
            <w:r w:rsidRPr="00D97592">
              <w:rPr>
                <w:rStyle w:val="SpecialBold"/>
              </w:rPr>
              <w:t>Unit sector</w:t>
            </w:r>
          </w:p>
        </w:tc>
        <w:tc>
          <w:tcPr>
            <w:tcW w:w="6061" w:type="dxa"/>
            <w:tcBorders>
              <w:top w:val="nil"/>
              <w:left w:val="nil"/>
              <w:bottom w:val="nil"/>
              <w:right w:val="nil"/>
            </w:tcBorders>
            <w:tcMar>
              <w:top w:w="0" w:type="dxa"/>
              <w:left w:w="62" w:type="dxa"/>
              <w:bottom w:w="0" w:type="dxa"/>
              <w:right w:w="62" w:type="dxa"/>
            </w:tcMar>
          </w:tcPr>
          <w:p w:rsidR="00000000" w:rsidRPr="00D97592" w:rsidP="00D97592">
            <w:pPr>
              <w:pStyle w:val="BodyText"/>
            </w:pPr>
            <w:r w:rsidRPr="00D97592">
              <w:t>Construction</w:t>
            </w:r>
          </w:p>
        </w:tc>
      </w:tr>
    </w:tbl>
    <w:p w:rsidR="004A56B1" w:rsidP="00D97592">
      <w:pPr>
        <w:pStyle w:val="BodyText"/>
      </w:pPr>
    </w:p>
    <w:p w:rsidR="004A56B1" w:rsidP="00D97592">
      <w:pPr>
        <w:pStyle w:val="BodyText"/>
      </w:pPr>
    </w:p>
    <w:p w:rsidR="00000000" w:rsidRPr="00D97592" w:rsidP="00D97592">
      <w:pPr>
        <w:pStyle w:val="Heading1"/>
      </w:pPr>
      <w:bookmarkStart w:id="13" w:name="O_198846"/>
      <w:bookmarkEnd w:id="13"/>
      <w:r w:rsidRPr="00D97592">
        <w:t>Co-requisite units</w:t>
      </w:r>
    </w:p>
    <w:tbl>
      <w:tblPr>
        <w:tblW w:w="0" w:type="auto"/>
        <w:tblLayout w:type="fixed"/>
        <w:tblCellMar>
          <w:left w:w="62" w:type="dxa"/>
          <w:right w:w="62" w:type="dxa"/>
        </w:tblCellMar>
        <w:tblLook w:val="0000"/>
      </w:tblPr>
      <w:tblGrid>
        <w:gridCol w:w="2488"/>
        <w:gridCol w:w="2107"/>
        <w:gridCol w:w="3927"/>
      </w:tblGrid>
      <w:tr w:rsidTr="004A56B1">
        <w:tblPrEx>
          <w:tblW w:w="0" w:type="auto"/>
          <w:tblLayout w:type="fixed"/>
          <w:tblCellMar>
            <w:left w:w="62" w:type="dxa"/>
            <w:right w:w="62" w:type="dxa"/>
          </w:tblCellMar>
          <w:tblLook w:val="0000"/>
        </w:tblPrEx>
        <w:trPr>
          <w:tblHeader/>
        </w:trPr>
        <w:tc>
          <w:tcPr>
            <w:tcW w:w="2488" w:type="dxa"/>
            <w:tcBorders>
              <w:top w:val="nil"/>
              <w:left w:val="nil"/>
              <w:bottom w:val="nil"/>
              <w:right w:val="nil"/>
            </w:tcBorders>
            <w:tcMar>
              <w:top w:w="0" w:type="dxa"/>
              <w:left w:w="62" w:type="dxa"/>
              <w:bottom w:w="0" w:type="dxa"/>
              <w:right w:w="62" w:type="dxa"/>
            </w:tcMar>
          </w:tcPr>
          <w:p w:rsidR="00000000" w:rsidP="00D97592">
            <w:pPr>
              <w:pStyle w:val="BodyText"/>
              <w:rPr>
                <w:lang w:val="en-NZ"/>
              </w:rPr>
            </w:pPr>
            <w:r w:rsidRPr="00D97592">
              <w:rPr>
                <w:rStyle w:val="SpecialBold"/>
              </w:rPr>
              <w:t>Co-requisite units</w:t>
            </w:r>
          </w:p>
        </w:tc>
        <w:tc>
          <w:tcPr>
            <w:tcW w:w="6034" w:type="dxa"/>
            <w:gridSpan w:val="2"/>
            <w:tcBorders>
              <w:top w:val="nil"/>
              <w:left w:val="nil"/>
              <w:bottom w:val="nil"/>
              <w:right w:val="nil"/>
            </w:tcBorders>
            <w:tcMar>
              <w:top w:w="0" w:type="dxa"/>
              <w:left w:w="62" w:type="dxa"/>
              <w:bottom w:w="0" w:type="dxa"/>
              <w:right w:w="62" w:type="dxa"/>
            </w:tcMar>
          </w:tcPr>
          <w:p w:rsidR="00000000" w:rsidP="00D97592">
            <w:pPr>
              <w:pStyle w:val="BodyText"/>
              <w:rPr>
                <w:lang w:val="en-NZ"/>
              </w:rPr>
            </w:pPr>
          </w:p>
        </w:tc>
      </w:tr>
      <w:tr w:rsidTr="004A56B1">
        <w:tblPrEx>
          <w:tblW w:w="0" w:type="auto"/>
          <w:tblLayout w:type="fixed"/>
          <w:tblCellMar>
            <w:left w:w="62" w:type="dxa"/>
            <w:right w:w="62" w:type="dxa"/>
          </w:tblCellMar>
          <w:tblLook w:val="0000"/>
        </w:tblPrEx>
        <w:tc>
          <w:tcPr>
            <w:tcW w:w="24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27" w:type="dxa"/>
            <w:tcBorders>
              <w:top w:val="nil"/>
              <w:left w:val="nil"/>
              <w:bottom w:val="nil"/>
              <w:right w:val="nil"/>
            </w:tcBorders>
            <w:tcMar>
              <w:top w:w="0" w:type="dxa"/>
              <w:left w:w="62" w:type="dxa"/>
              <w:bottom w:w="0" w:type="dxa"/>
              <w:right w:w="62" w:type="dxa"/>
            </w:tcMar>
          </w:tcPr>
          <w:p w:rsidR="00000000" w:rsidRPr="00D97592" w:rsidP="00D97592">
            <w:pPr>
              <w:pStyle w:val="BodyText"/>
            </w:pPr>
          </w:p>
        </w:tc>
      </w:tr>
    </w:tbl>
    <w:p w:rsidR="004A56B1" w:rsidP="00D97592">
      <w:pPr>
        <w:pStyle w:val="BodyText"/>
      </w:pPr>
    </w:p>
    <w:p w:rsidR="004A56B1" w:rsidP="00D97592">
      <w:pPr>
        <w:pStyle w:val="BodyText"/>
      </w:pPr>
    </w:p>
    <w:p w:rsidR="00000000" w:rsidRPr="00D97592" w:rsidP="00D97592">
      <w:pPr>
        <w:pStyle w:val="Heading1"/>
      </w:pPr>
      <w:bookmarkStart w:id="14" w:name="O_198848"/>
      <w:bookmarkEnd w:id="14"/>
      <w:r w:rsidRPr="00D97592">
        <w:t>Functional area</w:t>
      </w:r>
    </w:p>
    <w:tbl>
      <w:tblPr>
        <w:tblW w:w="0" w:type="auto"/>
        <w:tblLayout w:type="fixed"/>
        <w:tblCellMar>
          <w:left w:w="62" w:type="dxa"/>
          <w:right w:w="62" w:type="dxa"/>
        </w:tblCellMar>
        <w:tblLook w:val="0000"/>
      </w:tblPr>
      <w:tblGrid>
        <w:gridCol w:w="2562"/>
        <w:gridCol w:w="5960"/>
      </w:tblGrid>
      <w:tr w:rsidTr="004A56B1">
        <w:tblPrEx>
          <w:tblW w:w="0" w:type="auto"/>
          <w:tblLayout w:type="fixed"/>
          <w:tblCellMar>
            <w:left w:w="62" w:type="dxa"/>
            <w:right w:w="62" w:type="dxa"/>
          </w:tblCellMar>
          <w:tblLook w:val="0000"/>
        </w:tblPrEx>
        <w:trPr>
          <w:tblHeader/>
        </w:trPr>
        <w:tc>
          <w:tcPr>
            <w:tcW w:w="2562" w:type="dxa"/>
            <w:tcBorders>
              <w:top w:val="nil"/>
              <w:left w:val="nil"/>
              <w:bottom w:val="nil"/>
              <w:right w:val="nil"/>
            </w:tcBorders>
            <w:tcMar>
              <w:top w:w="0" w:type="dxa"/>
              <w:left w:w="62" w:type="dxa"/>
              <w:bottom w:w="0" w:type="dxa"/>
              <w:right w:w="62" w:type="dxa"/>
            </w:tcMar>
          </w:tcPr>
          <w:p w:rsidR="00000000" w:rsidP="00D97592">
            <w:pPr>
              <w:pStyle w:val="BodyText"/>
              <w:rPr>
                <w:lang w:val="en-NZ"/>
              </w:rPr>
            </w:pPr>
            <w:r w:rsidRPr="00D97592">
              <w:rPr>
                <w:rStyle w:val="SpecialBold"/>
              </w:rPr>
              <w:t>Functional area</w:t>
            </w:r>
          </w:p>
        </w:tc>
        <w:tc>
          <w:tcPr>
            <w:tcW w:w="5960" w:type="dxa"/>
            <w:tcBorders>
              <w:top w:val="nil"/>
              <w:left w:val="nil"/>
              <w:bottom w:val="nil"/>
              <w:right w:val="nil"/>
            </w:tcBorders>
            <w:tcMar>
              <w:top w:w="0" w:type="dxa"/>
              <w:left w:w="62" w:type="dxa"/>
              <w:bottom w:w="0" w:type="dxa"/>
              <w:right w:w="62" w:type="dxa"/>
            </w:tcMar>
          </w:tcPr>
          <w:p w:rsidR="00000000" w:rsidRPr="00D97592" w:rsidP="00D97592">
            <w:pPr>
              <w:pStyle w:val="BodyText"/>
            </w:pPr>
          </w:p>
        </w:tc>
      </w:tr>
    </w:tbl>
    <w:p w:rsidR="004A56B1" w:rsidP="00D97592">
      <w:pPr>
        <w:pStyle w:val="BodyText"/>
      </w:pPr>
    </w:p>
    <w:p w:rsidR="004A56B1" w:rsidP="00D97592">
      <w:pPr>
        <w:pStyle w:val="BodyText"/>
      </w:pPr>
    </w:p>
    <w:p w:rsidR="00000000" w:rsidRPr="00D97592" w:rsidP="00D97592"/>
    <w:sectPr w:rsidSect="00D975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5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56B1" w:rsidP="004A56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5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6B1" w:rsidP="00D975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4A56B1" w:rsidP="00D9759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A56B1" w:rsidP="00D9759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5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56B1" w:rsidP="004A56B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5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6B1" w:rsidP="00D97592">
    <w:pPr>
      <w:pStyle w:val="Header"/>
      <w:framePr w:wrap="around"/>
    </w:pPr>
    <w:r>
      <w:fldChar w:fldCharType="begin"/>
    </w:r>
    <w:r>
      <w:instrText xml:space="preserve"> TITLE   \* MERGEFORMAT </w:instrText>
    </w:r>
    <w:r>
      <w:fldChar w:fldCharType="separate"/>
    </w:r>
    <w:r>
      <w:t>CPCCST3008A Inlay lead to stone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A56B1" w:rsidP="00D9759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42F8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0891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8E53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59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97592"/>
    <w:pPr>
      <w:spacing w:before="360" w:after="60"/>
      <w:outlineLvl w:val="0"/>
    </w:pPr>
    <w:rPr>
      <w:sz w:val="32"/>
    </w:rPr>
  </w:style>
  <w:style w:type="paragraph" w:styleId="Heading2">
    <w:name w:val="heading 2"/>
    <w:basedOn w:val="HeadingBase"/>
    <w:next w:val="BodyText"/>
    <w:link w:val="Heading2Char"/>
    <w:qFormat/>
    <w:rsid w:val="00D97592"/>
    <w:pPr>
      <w:keepLines/>
      <w:spacing w:before="240" w:after="120"/>
      <w:outlineLvl w:val="1"/>
    </w:pPr>
    <w:rPr>
      <w:sz w:val="28"/>
      <w:szCs w:val="40"/>
    </w:rPr>
  </w:style>
  <w:style w:type="paragraph" w:styleId="Heading3">
    <w:name w:val="heading 3"/>
    <w:basedOn w:val="HeadingBase"/>
    <w:next w:val="BodyText"/>
    <w:link w:val="Heading3Char"/>
    <w:qFormat/>
    <w:rsid w:val="00D97592"/>
    <w:pPr>
      <w:spacing w:before="180" w:after="120"/>
      <w:outlineLvl w:val="2"/>
    </w:pPr>
    <w:rPr>
      <w:spacing w:val="-10"/>
      <w:kern w:val="32"/>
    </w:rPr>
  </w:style>
  <w:style w:type="paragraph" w:styleId="Heading4">
    <w:name w:val="heading 4"/>
    <w:basedOn w:val="HeadingBase"/>
    <w:next w:val="BodyText"/>
    <w:link w:val="Heading4Char"/>
    <w:qFormat/>
    <w:rsid w:val="00D97592"/>
    <w:pPr>
      <w:spacing w:before="160" w:after="120"/>
      <w:outlineLvl w:val="3"/>
    </w:pPr>
    <w:rPr>
      <w:sz w:val="22"/>
    </w:rPr>
  </w:style>
  <w:style w:type="paragraph" w:styleId="Heading5">
    <w:name w:val="heading 5"/>
    <w:basedOn w:val="HeadingBase"/>
    <w:next w:val="Normal"/>
    <w:link w:val="Heading5Char"/>
    <w:qFormat/>
    <w:rsid w:val="00D97592"/>
    <w:pPr>
      <w:spacing w:before="80"/>
      <w:outlineLvl w:val="4"/>
    </w:pPr>
    <w:rPr>
      <w:color w:val="918585"/>
      <w:sz w:val="20"/>
    </w:rPr>
  </w:style>
  <w:style w:type="paragraph" w:styleId="Heading6">
    <w:name w:val="heading 6"/>
    <w:basedOn w:val="HeadingBase"/>
    <w:next w:val="Normal"/>
    <w:link w:val="Heading6Char"/>
    <w:qFormat/>
    <w:rsid w:val="00D97592"/>
    <w:pPr>
      <w:spacing w:before="60"/>
      <w:outlineLvl w:val="5"/>
    </w:pPr>
    <w:rPr>
      <w:color w:val="918585"/>
      <w:sz w:val="20"/>
    </w:rPr>
  </w:style>
  <w:style w:type="paragraph" w:styleId="Heading7">
    <w:name w:val="heading 7"/>
    <w:basedOn w:val="Normal"/>
    <w:next w:val="Normal"/>
    <w:link w:val="Heading7Char"/>
    <w:qFormat/>
    <w:rsid w:val="00D97592"/>
    <w:pPr>
      <w:ind w:left="720"/>
      <w:outlineLvl w:val="6"/>
    </w:pPr>
    <w:rPr>
      <w:i/>
    </w:rPr>
  </w:style>
  <w:style w:type="paragraph" w:styleId="Heading8">
    <w:name w:val="heading 8"/>
    <w:basedOn w:val="Normal"/>
    <w:next w:val="Normal"/>
    <w:link w:val="Heading8Char"/>
    <w:qFormat/>
    <w:rsid w:val="00D97592"/>
    <w:pPr>
      <w:ind w:left="720"/>
      <w:outlineLvl w:val="7"/>
    </w:pPr>
    <w:rPr>
      <w:i/>
    </w:rPr>
  </w:style>
  <w:style w:type="paragraph" w:styleId="Heading9">
    <w:name w:val="heading 9"/>
    <w:basedOn w:val="Normal"/>
    <w:next w:val="Normal"/>
    <w:link w:val="Heading9Char"/>
    <w:qFormat/>
    <w:rsid w:val="00D97592"/>
    <w:pPr>
      <w:ind w:left="720"/>
      <w:outlineLvl w:val="8"/>
    </w:pPr>
    <w:rPr>
      <w:i/>
    </w:rPr>
  </w:style>
  <w:style w:type="character" w:default="1" w:styleId="DefaultParagraphFont">
    <w:name w:val="Default Paragraph Font"/>
    <w:uiPriority w:val="1"/>
    <w:unhideWhenUsed/>
    <w:rsid w:val="00D975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7592"/>
  </w:style>
  <w:style w:type="character" w:customStyle="1" w:styleId="Heading1Char">
    <w:name w:val="Heading 1 Char"/>
    <w:basedOn w:val="DefaultParagraphFont"/>
    <w:link w:val="Heading1"/>
    <w:rsid w:val="00D97592"/>
    <w:rPr>
      <w:rFonts w:ascii="Times New Roman" w:eastAsia="Times New Roman" w:hAnsi="Times New Roman" w:cs="Times New Roman"/>
      <w:b/>
      <w:sz w:val="32"/>
      <w:szCs w:val="20"/>
      <w:lang w:eastAsia="en-US"/>
    </w:rPr>
  </w:style>
  <w:style w:type="paragraph" w:styleId="BodyText">
    <w:name w:val="Body Text"/>
    <w:basedOn w:val="Normal"/>
    <w:link w:val="BodyTextChar"/>
    <w:rsid w:val="00D9759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97592"/>
    <w:rPr>
      <w:rFonts w:ascii="Times New Roman" w:eastAsia="Times New Roman" w:hAnsi="Times New Roman" w:cs="Times New Roman"/>
      <w:sz w:val="24"/>
      <w:lang w:val="en-US" w:eastAsia="en-US"/>
    </w:rPr>
  </w:style>
  <w:style w:type="paragraph" w:styleId="Footer">
    <w:name w:val="footer"/>
    <w:basedOn w:val="Normal"/>
    <w:link w:val="FooterChar"/>
    <w:rsid w:val="00D975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7592"/>
    <w:rPr>
      <w:rFonts w:ascii="Times New Roman" w:eastAsia="Times New Roman" w:hAnsi="Times New Roman" w:cs="Times New Roman"/>
      <w:sz w:val="16"/>
      <w:lang w:val="en-US" w:eastAsia="en-US"/>
    </w:rPr>
  </w:style>
  <w:style w:type="paragraph" w:styleId="List">
    <w:name w:val="List"/>
    <w:basedOn w:val="BodyText"/>
    <w:next w:val="BodyText"/>
    <w:rsid w:val="00D97592"/>
    <w:pPr>
      <w:tabs>
        <w:tab w:val="left" w:pos="340"/>
      </w:tabs>
      <w:spacing w:before="60" w:after="60"/>
      <w:ind w:left="340" w:hanging="340"/>
    </w:pPr>
  </w:style>
  <w:style w:type="paragraph" w:styleId="ListBullet">
    <w:name w:val="List Bullet"/>
    <w:basedOn w:val="List"/>
    <w:rsid w:val="00D97592"/>
    <w:pPr>
      <w:numPr>
        <w:numId w:val="13"/>
      </w:numPr>
      <w:tabs>
        <w:tab w:val="clear" w:pos="340"/>
      </w:tabs>
      <w:spacing w:before="40" w:after="40"/>
    </w:pPr>
  </w:style>
  <w:style w:type="character" w:customStyle="1" w:styleId="SpecialBold">
    <w:name w:val="Special Bold"/>
    <w:basedOn w:val="DefaultParagraphFont"/>
    <w:rsid w:val="00D97592"/>
    <w:rPr>
      <w:b/>
      <w:spacing w:val="0"/>
    </w:rPr>
  </w:style>
  <w:style w:type="paragraph" w:styleId="ListBullet2">
    <w:name w:val="List Bullet 2"/>
    <w:basedOn w:val="List2"/>
    <w:rsid w:val="00D97592"/>
    <w:pPr>
      <w:numPr>
        <w:numId w:val="14"/>
      </w:numPr>
      <w:tabs>
        <w:tab w:val="clear" w:pos="680"/>
      </w:tabs>
    </w:pPr>
  </w:style>
  <w:style w:type="paragraph" w:styleId="Header">
    <w:name w:val="header"/>
    <w:basedOn w:val="Normal"/>
    <w:link w:val="HeaderChar"/>
    <w:rsid w:val="00D975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759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97592"/>
    <w:pPr>
      <w:spacing w:before="240" w:after="120"/>
      <w:outlineLvl w:val="0"/>
    </w:pPr>
    <w:rPr>
      <w:rFonts w:ascii="Times New Roman" w:hAnsi="Times New Roman"/>
      <w:b/>
      <w:sz w:val="28"/>
    </w:rPr>
  </w:style>
  <w:style w:type="paragraph" w:customStyle="1" w:styleId="AllowPageBreak">
    <w:name w:val="AllowPageBreak"/>
    <w:rsid w:val="00D9759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97592"/>
    <w:pPr>
      <w:tabs>
        <w:tab w:val="left" w:pos="680"/>
      </w:tabs>
      <w:spacing w:before="60" w:after="60"/>
      <w:ind w:left="680" w:hanging="340"/>
    </w:pPr>
  </w:style>
  <w:style w:type="character" w:customStyle="1" w:styleId="BoldandItalics">
    <w:name w:val="Bold and Italics"/>
    <w:qFormat/>
    <w:rsid w:val="00D97592"/>
    <w:rPr>
      <w:b/>
      <w:i/>
      <w:u w:val="none"/>
    </w:rPr>
  </w:style>
  <w:style w:type="character" w:customStyle="1" w:styleId="Heading2Char">
    <w:name w:val="Heading 2 Char"/>
    <w:basedOn w:val="DefaultParagraphFont"/>
    <w:link w:val="Heading2"/>
    <w:rsid w:val="00D975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75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75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75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75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759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9759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97592"/>
    <w:rPr>
      <w:rFonts w:ascii="Courier New" w:eastAsia="Times New Roman" w:hAnsi="Courier New" w:cs="Times New Roman"/>
      <w:i/>
      <w:szCs w:val="20"/>
      <w:lang w:val="en-US" w:eastAsia="en-US"/>
    </w:rPr>
  </w:style>
  <w:style w:type="paragraph" w:customStyle="1" w:styleId="HeadingBase">
    <w:name w:val="Heading Base"/>
    <w:rsid w:val="00D975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7592"/>
    <w:pPr>
      <w:tabs>
        <w:tab w:val="right" w:leader="dot" w:pos="9072"/>
      </w:tabs>
      <w:ind w:left="567"/>
    </w:pPr>
    <w:rPr>
      <w:szCs w:val="22"/>
    </w:rPr>
  </w:style>
  <w:style w:type="paragraph" w:customStyle="1" w:styleId="TOCBase">
    <w:name w:val="TOC Base"/>
    <w:rsid w:val="00D975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7592"/>
    <w:pPr>
      <w:tabs>
        <w:tab w:val="right" w:leader="dot" w:pos="9072"/>
      </w:tabs>
      <w:spacing w:before="40" w:after="40"/>
      <w:ind w:left="284"/>
    </w:pPr>
    <w:rPr>
      <w:rFonts w:ascii="Times New Roman" w:hAnsi="Times New Roman"/>
    </w:rPr>
  </w:style>
  <w:style w:type="paragraph" w:styleId="TOC1">
    <w:name w:val="toc 1"/>
    <w:basedOn w:val="TOCBase"/>
    <w:next w:val="Normal"/>
    <w:rsid w:val="00D9759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97592"/>
    <w:pPr>
      <w:spacing w:before="5040"/>
      <w:jc w:val="center"/>
    </w:pPr>
    <w:rPr>
      <w:sz w:val="48"/>
      <w:szCs w:val="72"/>
      <w:lang w:val="en-US"/>
    </w:rPr>
  </w:style>
  <w:style w:type="character" w:customStyle="1" w:styleId="TitleChar">
    <w:name w:val="Title Char"/>
    <w:basedOn w:val="DefaultParagraphFont"/>
    <w:link w:val="Title"/>
    <w:rsid w:val="00D975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7592"/>
    <w:pPr>
      <w:tabs>
        <w:tab w:val="left" w:pos="3600"/>
        <w:tab w:val="left" w:pos="3958"/>
      </w:tabs>
    </w:pPr>
  </w:style>
  <w:style w:type="paragraph" w:customStyle="1" w:styleId="Note">
    <w:name w:val="Note"/>
    <w:basedOn w:val="BodyText"/>
    <w:rsid w:val="00D975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7592"/>
    <w:pPr>
      <w:framePr w:wrap="auto" w:hAnchor="text" w:y="6049"/>
    </w:pPr>
    <w:rPr>
      <w:color w:val="000000"/>
      <w:sz w:val="40"/>
    </w:rPr>
  </w:style>
  <w:style w:type="paragraph" w:customStyle="1" w:styleId="TOCTitle">
    <w:name w:val="TOCTitle"/>
    <w:basedOn w:val="Heading1"/>
    <w:rsid w:val="00D97592"/>
    <w:pPr>
      <w:spacing w:after="240"/>
      <w:jc w:val="center"/>
      <w:outlineLvl w:val="9"/>
    </w:pPr>
    <w:rPr>
      <w:caps/>
    </w:rPr>
  </w:style>
  <w:style w:type="paragraph" w:customStyle="1" w:styleId="Version">
    <w:name w:val="Version"/>
    <w:rsid w:val="00D975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7592"/>
    <w:pPr>
      <w:keepNext w:val="0"/>
      <w:tabs>
        <w:tab w:val="right" w:pos="4176"/>
      </w:tabs>
      <w:ind w:left="198" w:hanging="198"/>
    </w:pPr>
    <w:rPr>
      <w:rFonts w:ascii="Garamond" w:hAnsi="Garamond"/>
    </w:rPr>
  </w:style>
  <w:style w:type="paragraph" w:styleId="IndexHeading">
    <w:name w:val="index heading"/>
    <w:basedOn w:val="Normal"/>
    <w:next w:val="Index1"/>
    <w:semiHidden/>
    <w:rsid w:val="00D97592"/>
    <w:pPr>
      <w:spacing w:before="120" w:after="120"/>
    </w:pPr>
    <w:rPr>
      <w:rFonts w:ascii="Arial" w:hAnsi="Arial"/>
      <w:b/>
      <w:color w:val="918585"/>
      <w:sz w:val="24"/>
    </w:rPr>
  </w:style>
  <w:style w:type="paragraph" w:customStyle="1" w:styleId="Chapter">
    <w:name w:val="Chapter"/>
    <w:basedOn w:val="Normal"/>
    <w:rsid w:val="00D97592"/>
    <w:pPr>
      <w:spacing w:before="240"/>
    </w:pPr>
    <w:rPr>
      <w:rFonts w:ascii="Times New Roman" w:hAnsi="Times New Roman"/>
      <w:smallCaps/>
      <w:spacing w:val="80"/>
      <w:sz w:val="28"/>
    </w:rPr>
  </w:style>
  <w:style w:type="paragraph" w:customStyle="1" w:styleId="InChapter">
    <w:name w:val="InChapter"/>
    <w:basedOn w:val="Heading3"/>
    <w:rsid w:val="00D97592"/>
    <w:pPr>
      <w:spacing w:after="240"/>
      <w:outlineLvl w:val="9"/>
    </w:pPr>
    <w:rPr>
      <w:noProof/>
    </w:rPr>
  </w:style>
  <w:style w:type="paragraph" w:styleId="Index2">
    <w:name w:val="index 2"/>
    <w:basedOn w:val="Normal"/>
    <w:next w:val="Normal"/>
    <w:semiHidden/>
    <w:rsid w:val="00D97592"/>
    <w:pPr>
      <w:tabs>
        <w:tab w:val="right" w:pos="4176"/>
      </w:tabs>
      <w:ind w:left="568" w:hanging="284"/>
    </w:pPr>
    <w:rPr>
      <w:rFonts w:ascii="Garamond" w:hAnsi="Garamond"/>
    </w:rPr>
  </w:style>
  <w:style w:type="paragraph" w:customStyle="1" w:styleId="Byline">
    <w:name w:val="Byline"/>
    <w:rsid w:val="00D975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7592"/>
    <w:pPr>
      <w:tabs>
        <w:tab w:val="clear" w:pos="3600"/>
        <w:tab w:val="clear" w:pos="3958"/>
      </w:tabs>
      <w:jc w:val="right"/>
    </w:pPr>
  </w:style>
  <w:style w:type="character" w:styleId="Emphasis">
    <w:name w:val="Emphasis"/>
    <w:basedOn w:val="DefaultParagraphFont"/>
    <w:qFormat/>
    <w:rsid w:val="00D97592"/>
    <w:rPr>
      <w:i/>
    </w:rPr>
  </w:style>
  <w:style w:type="paragraph" w:styleId="Caption">
    <w:name w:val="caption"/>
    <w:basedOn w:val="BodyText"/>
    <w:next w:val="Normal"/>
    <w:qFormat/>
    <w:rsid w:val="00D97592"/>
    <w:pPr>
      <w:framePr w:w="2268" w:hSpace="181" w:vSpace="181" w:wrap="around" w:vAnchor="text" w:hAnchor="page" w:x="1135" w:y="285" w:anchorLock="1"/>
    </w:pPr>
    <w:rPr>
      <w:i/>
    </w:rPr>
  </w:style>
  <w:style w:type="paragraph" w:customStyle="1" w:styleId="MiniTOCTitle">
    <w:name w:val="MiniTOCTitle"/>
    <w:basedOn w:val="Heading4"/>
    <w:rsid w:val="00D97592"/>
    <w:pPr>
      <w:spacing w:before="240"/>
      <w:outlineLvl w:val="9"/>
    </w:pPr>
    <w:rPr>
      <w:noProof/>
      <w:sz w:val="24"/>
    </w:rPr>
  </w:style>
  <w:style w:type="paragraph" w:customStyle="1" w:styleId="MiniTOCItem">
    <w:name w:val="MiniTOCItem"/>
    <w:basedOn w:val="ListBullet"/>
    <w:rsid w:val="00D97592"/>
    <w:pPr>
      <w:numPr>
        <w:numId w:val="0"/>
      </w:numPr>
      <w:tabs>
        <w:tab w:val="right" w:leader="dot" w:pos="6521"/>
      </w:tabs>
      <w:spacing w:before="0" w:after="0"/>
    </w:pPr>
  </w:style>
  <w:style w:type="paragraph" w:customStyle="1" w:styleId="TOFTitle">
    <w:name w:val="TOFTitle"/>
    <w:basedOn w:val="TOCTitle"/>
    <w:rsid w:val="00D97592"/>
  </w:style>
  <w:style w:type="paragraph" w:styleId="TableofFigures">
    <w:name w:val="table of figures"/>
    <w:basedOn w:val="Normal"/>
    <w:next w:val="Normal"/>
    <w:semiHidden/>
    <w:rsid w:val="00D97592"/>
    <w:pPr>
      <w:tabs>
        <w:tab w:val="right" w:leader="dot" w:pos="9072"/>
      </w:tabs>
      <w:ind w:left="970" w:hanging="403"/>
    </w:pPr>
    <w:rPr>
      <w:rFonts w:ascii="Times New Roman" w:hAnsi="Times New Roman"/>
      <w:b/>
    </w:rPr>
  </w:style>
  <w:style w:type="paragraph" w:styleId="ListNumber">
    <w:name w:val="List Number"/>
    <w:basedOn w:val="List"/>
    <w:rsid w:val="00D97592"/>
    <w:pPr>
      <w:numPr>
        <w:numId w:val="11"/>
      </w:numPr>
    </w:pPr>
  </w:style>
  <w:style w:type="character" w:customStyle="1" w:styleId="WingdingSymbols">
    <w:name w:val="Wingding Symbols"/>
    <w:rsid w:val="00D97592"/>
    <w:rPr>
      <w:rFonts w:ascii="Wingdings" w:hAnsi="Wingdings"/>
    </w:rPr>
  </w:style>
  <w:style w:type="paragraph" w:customStyle="1" w:styleId="TableHeading">
    <w:name w:val="Table Heading"/>
    <w:basedOn w:val="HeadingBase"/>
    <w:rsid w:val="00D97592"/>
    <w:pPr>
      <w:keepLines/>
      <w:pBdr>
        <w:bottom w:val="single" w:sz="6" w:space="1" w:color="918585"/>
      </w:pBdr>
      <w:spacing w:before="240"/>
    </w:pPr>
  </w:style>
  <w:style w:type="character" w:customStyle="1" w:styleId="HotSpot">
    <w:name w:val="HotSpot"/>
    <w:rsid w:val="00D97592"/>
    <w:rPr>
      <w:color w:val="0033CC"/>
      <w:u w:val="none"/>
    </w:rPr>
  </w:style>
  <w:style w:type="paragraph" w:customStyle="1" w:styleId="BodyTextRight">
    <w:name w:val="Body Text Right"/>
    <w:basedOn w:val="BodyText"/>
    <w:rsid w:val="00D97592"/>
    <w:pPr>
      <w:spacing w:before="0" w:after="0"/>
      <w:jc w:val="right"/>
    </w:pPr>
  </w:style>
  <w:style w:type="paragraph" w:styleId="Index3">
    <w:name w:val="index 3"/>
    <w:basedOn w:val="ListNumber2"/>
    <w:next w:val="Normal"/>
    <w:semiHidden/>
    <w:rsid w:val="00D97592"/>
    <w:pPr>
      <w:numPr>
        <w:numId w:val="0"/>
      </w:numPr>
      <w:tabs>
        <w:tab w:val="right" w:leader="dot" w:pos="4176"/>
      </w:tabs>
    </w:pPr>
  </w:style>
  <w:style w:type="paragraph" w:styleId="ListNumber2">
    <w:name w:val="List Number 2"/>
    <w:basedOn w:val="List2"/>
    <w:rsid w:val="00D97592"/>
    <w:pPr>
      <w:numPr>
        <w:numId w:val="10"/>
      </w:numPr>
      <w:tabs>
        <w:tab w:val="clear" w:pos="1060"/>
      </w:tabs>
    </w:pPr>
  </w:style>
  <w:style w:type="paragraph" w:customStyle="1" w:styleId="MarginNote">
    <w:name w:val="Margin Note"/>
    <w:basedOn w:val="BodyText"/>
    <w:rsid w:val="00D975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75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759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97592"/>
    <w:rPr>
      <w:sz w:val="32"/>
    </w:rPr>
  </w:style>
  <w:style w:type="paragraph" w:customStyle="1" w:styleId="HeadingProcedure">
    <w:name w:val="Heading Procedure"/>
    <w:basedOn w:val="HeadingBase"/>
    <w:next w:val="Normal"/>
    <w:rsid w:val="00D97592"/>
    <w:pPr>
      <w:tabs>
        <w:tab w:val="left" w:pos="0"/>
      </w:tabs>
      <w:spacing w:before="120" w:after="60"/>
    </w:pPr>
    <w:rPr>
      <w:i/>
      <w:color w:val="918585"/>
      <w:sz w:val="22"/>
    </w:rPr>
  </w:style>
  <w:style w:type="paragraph" w:customStyle="1" w:styleId="TableBodyText">
    <w:name w:val="Table Body Text"/>
    <w:basedOn w:val="BodyText"/>
    <w:rsid w:val="00D97592"/>
    <w:pPr>
      <w:spacing w:before="60" w:after="60"/>
    </w:pPr>
  </w:style>
  <w:style w:type="paragraph" w:styleId="ListContinue">
    <w:name w:val="List Continue"/>
    <w:basedOn w:val="List"/>
    <w:rsid w:val="00D97592"/>
    <w:pPr>
      <w:ind w:firstLine="0"/>
    </w:pPr>
  </w:style>
  <w:style w:type="paragraph" w:customStyle="1" w:styleId="ListNote">
    <w:name w:val="List Note"/>
    <w:basedOn w:val="List"/>
    <w:rsid w:val="00D97592"/>
    <w:pPr>
      <w:pBdr>
        <w:top w:val="single" w:sz="6" w:space="2" w:color="918585"/>
        <w:bottom w:val="single" w:sz="6" w:space="2" w:color="918585"/>
      </w:pBdr>
      <w:tabs>
        <w:tab w:val="left" w:pos="1021"/>
      </w:tabs>
      <w:ind w:firstLine="0"/>
    </w:pPr>
  </w:style>
  <w:style w:type="paragraph" w:customStyle="1" w:styleId="Warning">
    <w:name w:val="Warning"/>
    <w:basedOn w:val="BodyText"/>
    <w:rsid w:val="00D97592"/>
    <w:pPr>
      <w:shd w:val="clear" w:color="auto" w:fill="D9D9D9"/>
      <w:tabs>
        <w:tab w:val="left" w:pos="992"/>
      </w:tabs>
      <w:ind w:left="119" w:right="119"/>
    </w:pPr>
    <w:rPr>
      <w:sz w:val="20"/>
    </w:rPr>
  </w:style>
  <w:style w:type="paragraph" w:customStyle="1" w:styleId="MarginIcons">
    <w:name w:val="Margin Icons"/>
    <w:basedOn w:val="BodyText"/>
    <w:rsid w:val="00D975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7592"/>
    <w:rPr>
      <w:rFonts w:ascii="Courier New" w:hAnsi="Courier New"/>
    </w:rPr>
  </w:style>
  <w:style w:type="paragraph" w:customStyle="1" w:styleId="NoteBullet">
    <w:name w:val="Note Bullet"/>
    <w:basedOn w:val="Note"/>
    <w:rsid w:val="00D97592"/>
    <w:pPr>
      <w:tabs>
        <w:tab w:val="clear" w:pos="680"/>
      </w:tabs>
      <w:spacing w:before="60" w:after="60"/>
    </w:pPr>
  </w:style>
  <w:style w:type="paragraph" w:customStyle="1" w:styleId="SubHeading2">
    <w:name w:val="SubHeading2"/>
    <w:basedOn w:val="HeadingBase"/>
    <w:rsid w:val="00D97592"/>
    <w:pPr>
      <w:spacing w:before="240" w:after="60"/>
    </w:pPr>
    <w:rPr>
      <w:sz w:val="20"/>
    </w:rPr>
  </w:style>
  <w:style w:type="paragraph" w:customStyle="1" w:styleId="SubHeading1">
    <w:name w:val="SubHeading1"/>
    <w:basedOn w:val="HeadingBase"/>
    <w:rsid w:val="00D97592"/>
    <w:pPr>
      <w:spacing w:before="240" w:after="60"/>
    </w:pPr>
    <w:rPr>
      <w:color w:val="918585"/>
      <w:sz w:val="22"/>
    </w:rPr>
  </w:style>
  <w:style w:type="paragraph" w:customStyle="1" w:styleId="SideHeading">
    <w:name w:val="Side Heading"/>
    <w:basedOn w:val="HeadingBase"/>
    <w:rsid w:val="00D975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7592"/>
    <w:pPr>
      <w:numPr>
        <w:numId w:val="12"/>
      </w:numPr>
    </w:pPr>
  </w:style>
  <w:style w:type="paragraph" w:styleId="PlainText">
    <w:name w:val="Plain Text"/>
    <w:basedOn w:val="Normal"/>
    <w:link w:val="PlainTextChar"/>
    <w:rsid w:val="00D97592"/>
    <w:rPr>
      <w:sz w:val="20"/>
    </w:rPr>
  </w:style>
  <w:style w:type="character" w:customStyle="1" w:styleId="PlainTextChar">
    <w:name w:val="Plain Text Char"/>
    <w:basedOn w:val="DefaultParagraphFont"/>
    <w:link w:val="PlainText"/>
    <w:rsid w:val="00D9759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97592"/>
    <w:rPr>
      <w:b/>
      <w:smallCaps/>
    </w:rPr>
  </w:style>
  <w:style w:type="paragraph" w:customStyle="1" w:styleId="TableListNumber">
    <w:name w:val="Table List Number"/>
    <w:basedOn w:val="ListNumber"/>
    <w:rsid w:val="00D97592"/>
    <w:pPr>
      <w:numPr>
        <w:numId w:val="0"/>
      </w:numPr>
    </w:pPr>
  </w:style>
  <w:style w:type="paragraph" w:styleId="TOC4">
    <w:name w:val="toc 4"/>
    <w:basedOn w:val="TOCBase"/>
    <w:next w:val="Normal"/>
    <w:semiHidden/>
    <w:rsid w:val="00D97592"/>
    <w:pPr>
      <w:tabs>
        <w:tab w:val="right" w:leader="dot" w:pos="9071"/>
      </w:tabs>
      <w:ind w:left="1701"/>
    </w:pPr>
  </w:style>
  <w:style w:type="paragraph" w:customStyle="1" w:styleId="ListAlpha">
    <w:name w:val="List Alpha"/>
    <w:basedOn w:val="List"/>
    <w:rsid w:val="00D97592"/>
    <w:pPr>
      <w:numPr>
        <w:numId w:val="9"/>
      </w:numPr>
    </w:pPr>
  </w:style>
  <w:style w:type="paragraph" w:customStyle="1" w:styleId="ListAlpha2">
    <w:name w:val="List Alpha 2"/>
    <w:basedOn w:val="List2"/>
    <w:rsid w:val="00D97592"/>
    <w:pPr>
      <w:numPr>
        <w:numId w:val="8"/>
      </w:numPr>
    </w:pPr>
  </w:style>
  <w:style w:type="paragraph" w:styleId="List3">
    <w:name w:val="List 3"/>
    <w:basedOn w:val="BodyText"/>
    <w:rsid w:val="00D97592"/>
    <w:pPr>
      <w:tabs>
        <w:tab w:val="left" w:pos="1021"/>
      </w:tabs>
      <w:spacing w:before="60" w:after="60"/>
      <w:ind w:left="1020" w:hanging="340"/>
    </w:pPr>
  </w:style>
  <w:style w:type="paragraph" w:styleId="List4">
    <w:name w:val="List 4"/>
    <w:basedOn w:val="BodyText"/>
    <w:rsid w:val="00D97592"/>
    <w:pPr>
      <w:tabs>
        <w:tab w:val="left" w:pos="1361"/>
      </w:tabs>
      <w:spacing w:before="60" w:after="60"/>
      <w:ind w:left="1361" w:hanging="340"/>
    </w:pPr>
  </w:style>
  <w:style w:type="paragraph" w:styleId="List5">
    <w:name w:val="List 5"/>
    <w:basedOn w:val="BodyText"/>
    <w:rsid w:val="00D97592"/>
    <w:pPr>
      <w:tabs>
        <w:tab w:val="left" w:pos="1701"/>
      </w:tabs>
      <w:spacing w:before="60" w:after="60"/>
      <w:ind w:left="1701" w:hanging="340"/>
    </w:pPr>
  </w:style>
  <w:style w:type="paragraph" w:styleId="ListBullet3">
    <w:name w:val="List Bullet 3"/>
    <w:basedOn w:val="List3"/>
    <w:rsid w:val="00D97592"/>
    <w:pPr>
      <w:numPr>
        <w:numId w:val="15"/>
      </w:numPr>
      <w:tabs>
        <w:tab w:val="clear" w:pos="1021"/>
      </w:tabs>
      <w:ind w:left="1037" w:hanging="357"/>
    </w:pPr>
  </w:style>
  <w:style w:type="paragraph" w:styleId="ListBullet4">
    <w:name w:val="List Bullet 4"/>
    <w:basedOn w:val="List4"/>
    <w:rsid w:val="00D97592"/>
    <w:pPr>
      <w:numPr>
        <w:numId w:val="3"/>
      </w:numPr>
    </w:pPr>
  </w:style>
  <w:style w:type="paragraph" w:styleId="ListBullet5">
    <w:name w:val="List Bullet 5"/>
    <w:basedOn w:val="List5"/>
    <w:rsid w:val="00D97592"/>
    <w:pPr>
      <w:numPr>
        <w:numId w:val="4"/>
      </w:numPr>
    </w:pPr>
  </w:style>
  <w:style w:type="paragraph" w:styleId="ListContinue2">
    <w:name w:val="List Continue 2"/>
    <w:basedOn w:val="List2"/>
    <w:rsid w:val="00D97592"/>
    <w:pPr>
      <w:ind w:firstLine="0"/>
    </w:pPr>
  </w:style>
  <w:style w:type="paragraph" w:styleId="ListContinue3">
    <w:name w:val="List Continue 3"/>
    <w:basedOn w:val="List3"/>
    <w:rsid w:val="00D97592"/>
    <w:pPr>
      <w:ind w:left="1021" w:firstLine="0"/>
    </w:pPr>
  </w:style>
  <w:style w:type="paragraph" w:styleId="ListContinue4">
    <w:name w:val="List Continue 4"/>
    <w:basedOn w:val="List4"/>
    <w:rsid w:val="00D97592"/>
    <w:pPr>
      <w:ind w:firstLine="0"/>
    </w:pPr>
  </w:style>
  <w:style w:type="paragraph" w:styleId="ListContinue5">
    <w:name w:val="List Continue 5"/>
    <w:basedOn w:val="List5"/>
    <w:rsid w:val="00D97592"/>
    <w:pPr>
      <w:ind w:firstLine="0"/>
    </w:pPr>
  </w:style>
  <w:style w:type="paragraph" w:styleId="ListNumber3">
    <w:name w:val="List Number 3"/>
    <w:basedOn w:val="List3"/>
    <w:rsid w:val="00D97592"/>
    <w:pPr>
      <w:numPr>
        <w:numId w:val="5"/>
      </w:numPr>
    </w:pPr>
  </w:style>
  <w:style w:type="paragraph" w:styleId="ListNumber4">
    <w:name w:val="List Number 4"/>
    <w:basedOn w:val="List4"/>
    <w:rsid w:val="00D97592"/>
    <w:pPr>
      <w:numPr>
        <w:numId w:val="6"/>
      </w:numPr>
    </w:pPr>
  </w:style>
  <w:style w:type="paragraph" w:styleId="ListNumber5">
    <w:name w:val="List Number 5"/>
    <w:basedOn w:val="List5"/>
    <w:rsid w:val="00D97592"/>
    <w:pPr>
      <w:numPr>
        <w:numId w:val="7"/>
      </w:numPr>
    </w:pPr>
  </w:style>
  <w:style w:type="paragraph" w:styleId="BlockText">
    <w:name w:val="Block Text"/>
    <w:basedOn w:val="Normal"/>
    <w:rsid w:val="00D97592"/>
    <w:pPr>
      <w:spacing w:after="120"/>
      <w:ind w:left="1440" w:right="1440"/>
    </w:pPr>
  </w:style>
  <w:style w:type="character" w:customStyle="1" w:styleId="Subscript">
    <w:name w:val="Subscript"/>
    <w:basedOn w:val="DefaultParagraphFont"/>
    <w:rsid w:val="00D97592"/>
    <w:rPr>
      <w:sz w:val="16"/>
      <w:vertAlign w:val="subscript"/>
    </w:rPr>
  </w:style>
  <w:style w:type="character" w:customStyle="1" w:styleId="Superscript">
    <w:name w:val="Superscript"/>
    <w:basedOn w:val="DefaultParagraphFont"/>
    <w:rsid w:val="00D97592"/>
    <w:rPr>
      <w:sz w:val="16"/>
      <w:vertAlign w:val="superscript"/>
    </w:rPr>
  </w:style>
  <w:style w:type="character" w:customStyle="1" w:styleId="Symbols">
    <w:name w:val="Symbols"/>
    <w:basedOn w:val="DefaultParagraphFont"/>
    <w:rsid w:val="00D97592"/>
    <w:rPr>
      <w:rFonts w:ascii="Symbol" w:hAnsi="Symbol"/>
    </w:rPr>
  </w:style>
  <w:style w:type="character" w:customStyle="1" w:styleId="MenuOptions">
    <w:name w:val="Menu Options"/>
    <w:basedOn w:val="DefaultParagraphFont"/>
    <w:rsid w:val="00D97592"/>
    <w:rPr>
      <w:rFonts w:ascii="Arial Narrow" w:hAnsi="Arial Narrow"/>
      <w:smallCaps/>
    </w:rPr>
  </w:style>
  <w:style w:type="character" w:customStyle="1" w:styleId="Buttons">
    <w:name w:val="Buttons"/>
    <w:basedOn w:val="DefaultParagraphFont"/>
    <w:rsid w:val="00D97592"/>
    <w:rPr>
      <w:b/>
    </w:rPr>
  </w:style>
  <w:style w:type="character" w:customStyle="1" w:styleId="Underlined">
    <w:name w:val="Underlined"/>
    <w:basedOn w:val="DefaultParagraphFont"/>
    <w:rsid w:val="00D97592"/>
    <w:rPr>
      <w:u w:val="single"/>
    </w:rPr>
  </w:style>
  <w:style w:type="paragraph" w:customStyle="1" w:styleId="TableBodyTextRight">
    <w:name w:val="Table Body Text Right"/>
    <w:basedOn w:val="TableBodyText"/>
    <w:rsid w:val="00D97592"/>
    <w:pPr>
      <w:widowControl w:val="0"/>
      <w:autoSpaceDE w:val="0"/>
      <w:autoSpaceDN w:val="0"/>
      <w:adjustRightInd w:val="0"/>
      <w:jc w:val="right"/>
    </w:pPr>
    <w:rPr>
      <w:rFonts w:cs="Arial"/>
      <w:szCs w:val="18"/>
    </w:rPr>
  </w:style>
  <w:style w:type="paragraph" w:customStyle="1" w:styleId="CopyrightText">
    <w:name w:val="Copyright Text"/>
    <w:basedOn w:val="BodyText"/>
    <w:rsid w:val="00D97592"/>
    <w:rPr>
      <w:sz w:val="18"/>
    </w:rPr>
  </w:style>
  <w:style w:type="paragraph" w:customStyle="1" w:styleId="BodySmallRight">
    <w:name w:val="Body Small Right"/>
    <w:basedOn w:val="BodyTextRight"/>
    <w:rsid w:val="00D97592"/>
    <w:rPr>
      <w:sz w:val="18"/>
      <w:szCs w:val="18"/>
    </w:rPr>
  </w:style>
  <w:style w:type="paragraph" w:customStyle="1" w:styleId="MarginEdition">
    <w:name w:val="Margin Edition"/>
    <w:basedOn w:val="MarginNote"/>
    <w:rsid w:val="00D97592"/>
    <w:pPr>
      <w:spacing w:before="0" w:after="0"/>
    </w:pPr>
    <w:rPr>
      <w:rFonts w:ascii="Times New Roman" w:hAnsi="Times New Roman"/>
      <w:color w:val="999999"/>
    </w:rPr>
  </w:style>
  <w:style w:type="paragraph" w:customStyle="1" w:styleId="Spacer">
    <w:name w:val="Spacer"/>
    <w:basedOn w:val="Normal"/>
    <w:rsid w:val="00D97592"/>
    <w:rPr>
      <w:sz w:val="2"/>
      <w:szCs w:val="2"/>
    </w:rPr>
  </w:style>
  <w:style w:type="character" w:customStyle="1" w:styleId="Small">
    <w:name w:val="Small"/>
    <w:basedOn w:val="DefaultParagraphFont"/>
    <w:rsid w:val="00D97592"/>
    <w:rPr>
      <w:sz w:val="16"/>
    </w:rPr>
  </w:style>
  <w:style w:type="paragraph" w:customStyle="1" w:styleId="WideTable">
    <w:name w:val="Wide Table"/>
    <w:basedOn w:val="Normal"/>
    <w:rsid w:val="00D97592"/>
    <w:pPr>
      <w:ind w:left="-1418"/>
    </w:pPr>
    <w:rPr>
      <w:sz w:val="2"/>
      <w:szCs w:val="2"/>
    </w:rPr>
  </w:style>
  <w:style w:type="character" w:styleId="PageNumber">
    <w:name w:val="page number"/>
    <w:basedOn w:val="DefaultParagraphFont"/>
    <w:rsid w:val="00D97592"/>
  </w:style>
  <w:style w:type="paragraph" w:styleId="Quote">
    <w:name w:val="Quote"/>
    <w:basedOn w:val="Heading1"/>
    <w:link w:val="QuoteChar"/>
    <w:qFormat/>
    <w:rsid w:val="00D97592"/>
    <w:rPr>
      <w:b w:val="0"/>
      <w:sz w:val="72"/>
      <w:szCs w:val="72"/>
      <w:lang w:val="en-NZ"/>
    </w:rPr>
  </w:style>
  <w:style w:type="character" w:customStyle="1" w:styleId="QuoteChar">
    <w:name w:val="Quote Char"/>
    <w:basedOn w:val="DefaultParagraphFont"/>
    <w:link w:val="Quote"/>
    <w:rsid w:val="00D975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7592"/>
    <w:pPr>
      <w:pageBreakBefore/>
    </w:pPr>
  </w:style>
  <w:style w:type="paragraph" w:customStyle="1" w:styleId="Border">
    <w:name w:val="Border"/>
    <w:basedOn w:val="Normal"/>
    <w:qFormat/>
    <w:rsid w:val="00D975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7592"/>
    <w:rPr>
      <w:b/>
      <w:bCs/>
      <w:i/>
      <w:iCs/>
      <w:color w:val="auto"/>
    </w:rPr>
  </w:style>
  <w:style w:type="paragraph" w:styleId="IntenseQuote">
    <w:name w:val="Intense Quote"/>
    <w:basedOn w:val="Normal"/>
    <w:next w:val="Normal"/>
    <w:link w:val="IntenseQuoteChar"/>
    <w:uiPriority w:val="30"/>
    <w:qFormat/>
    <w:rsid w:val="00D975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759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97592"/>
    <w:rPr>
      <w:smallCaps/>
      <w:color w:val="auto"/>
      <w:u w:val="single"/>
    </w:rPr>
  </w:style>
  <w:style w:type="character" w:styleId="IntenseReference">
    <w:name w:val="Intense Reference"/>
    <w:basedOn w:val="DefaultParagraphFont"/>
    <w:uiPriority w:val="32"/>
    <w:qFormat/>
    <w:rsid w:val="00D97592"/>
    <w:rPr>
      <w:b/>
      <w:bCs/>
      <w:smallCaps/>
      <w:color w:val="auto"/>
      <w:spacing w:val="5"/>
      <w:u w:val="single"/>
    </w:rPr>
  </w:style>
  <w:style w:type="paragraph" w:customStyle="1" w:styleId="2ColumnHeading">
    <w:name w:val="2Column Heading"/>
    <w:basedOn w:val="BodyText"/>
    <w:qFormat/>
    <w:rsid w:val="00D97592"/>
    <w:pPr>
      <w:spacing w:after="60"/>
      <w:ind w:left="-2268"/>
    </w:pPr>
    <w:rPr>
      <w:b/>
    </w:rPr>
  </w:style>
  <w:style w:type="paragraph" w:customStyle="1" w:styleId="Heading1TOC">
    <w:name w:val="Heading1 TOC"/>
    <w:basedOn w:val="Normal"/>
    <w:qFormat/>
    <w:rsid w:val="00D97592"/>
    <w:pPr>
      <w:spacing w:before="240" w:after="120"/>
    </w:pPr>
    <w:rPr>
      <w:rFonts w:ascii="Times New Roman" w:hAnsi="Times New Roman"/>
      <w:b/>
      <w:sz w:val="32"/>
    </w:rPr>
  </w:style>
  <w:style w:type="paragraph" w:customStyle="1" w:styleId="Heading2TOC">
    <w:name w:val="Heading2 TOC"/>
    <w:basedOn w:val="Normal"/>
    <w:qFormat/>
    <w:rsid w:val="00D97592"/>
    <w:pPr>
      <w:spacing w:before="240" w:after="60"/>
    </w:pPr>
    <w:rPr>
      <w:rFonts w:ascii="Times New Roman" w:hAnsi="Times New Roman"/>
      <w:b/>
      <w:sz w:val="28"/>
    </w:rPr>
  </w:style>
  <w:style w:type="character" w:customStyle="1" w:styleId="Underline">
    <w:name w:val="Underline"/>
    <w:basedOn w:val="DefaultParagraphFont"/>
    <w:qFormat/>
    <w:rsid w:val="00D97592"/>
    <w:rPr>
      <w:u w:val="single"/>
    </w:rPr>
  </w:style>
  <w:style w:type="paragraph" w:styleId="BalloonText">
    <w:name w:val="Balloon Text"/>
    <w:basedOn w:val="Normal"/>
    <w:link w:val="BalloonTextChar"/>
    <w:rsid w:val="00D97592"/>
    <w:rPr>
      <w:rFonts w:ascii="Tahoma" w:hAnsi="Tahoma" w:cs="Tahoma"/>
      <w:sz w:val="16"/>
      <w:szCs w:val="16"/>
    </w:rPr>
  </w:style>
  <w:style w:type="character" w:customStyle="1" w:styleId="BalloonTextChar">
    <w:name w:val="Balloon Text Char"/>
    <w:basedOn w:val="DefaultParagraphFont"/>
    <w:link w:val="BalloonText"/>
    <w:rsid w:val="00D9759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9759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9759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1880</Words>
  <Characters>11673</Characters>
  <Application>Microsoft Office Word</Application>
  <DocSecurity>0</DocSecurity>
  <Lines>423</Lines>
  <Paragraphs>216</Paragraphs>
  <ScaleCrop>false</ScaleCrop>
  <Company>Author-it Software Corporation Ltd.</Company>
  <LinksUpToDate>false</LinksUpToDate>
  <CharactersWithSpaces>13463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CPCCST3008A Inlay lead to stone</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2012-05-26T05:38:00Z</dcterms:created>
  <dcterms:modified xsi:type="dcterms:W3CDTF">2012-05-26T05:38:00Z</dcterms:modified>
</cp:coreProperties>
</file>