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30D" w:rsidP="00F0630D">
      <w:pPr>
        <w:pStyle w:val="Title"/>
      </w:pPr>
      <w:r>
        <w:fldChar w:fldCharType="begin"/>
      </w:r>
      <w:r>
        <w:instrText xml:space="preserve"> TITLE   \* MERGEFORMAT </w:instrText>
      </w:r>
      <w:r>
        <w:fldChar w:fldCharType="separate"/>
      </w:r>
      <w:r>
        <w:t>CPCCST3007A Turn stone</w:t>
      </w:r>
      <w:r>
        <w:fldChar w:fldCharType="end"/>
      </w:r>
    </w:p>
    <w:p w:rsidR="00F0630D" w:rsidP="00F0630D">
      <w:pPr>
        <w:pStyle w:val="Version"/>
        <w:sectPr w:rsidSect="007C2A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AB7" w:rsidP="007C2AB7">
      <w:pPr>
        <w:pStyle w:val="SuperHeading"/>
      </w:pPr>
      <w:r w:rsidRPr="007C2AB7">
        <w:t>CPCCST3007A Turn stone</w:t>
      </w:r>
    </w:p>
    <w:p w:rsidR="00000000" w:rsidRPr="007C2AB7" w:rsidP="007C2AB7">
      <w:pPr>
        <w:pStyle w:val="Heading1"/>
      </w:pPr>
      <w:bookmarkStart w:id="1" w:name="O_269723"/>
      <w:bookmarkEnd w:id="1"/>
      <w:r w:rsidRPr="007C2AB7">
        <w:t>Modification History</w:t>
      </w:r>
    </w:p>
    <w:p w:rsidR="00000000" w:rsidRPr="007C2AB7" w:rsidP="007C2AB7">
      <w:pPr>
        <w:pStyle w:val="BodyText"/>
      </w:pPr>
      <w:r w:rsidRPr="007C2AB7">
        <w:t>Not Applicable</w:t>
      </w:r>
    </w:p>
    <w:p w:rsidR="00000000" w:rsidRPr="007C2AB7" w:rsidP="007C2AB7">
      <w:pPr>
        <w:pStyle w:val="AllowPageBreak"/>
      </w:pPr>
    </w:p>
    <w:p w:rsidR="00000000" w:rsidRPr="007C2AB7" w:rsidP="007C2AB7">
      <w:pPr>
        <w:pStyle w:val="Heading1"/>
      </w:pPr>
      <w:bookmarkStart w:id="2" w:name="O_198836"/>
      <w:bookmarkEnd w:id="2"/>
      <w:r w:rsidRPr="007C2AB7">
        <w:t>Unit Descriptor</w:t>
      </w:r>
    </w:p>
    <w:tbl>
      <w:tblPr>
        <w:tblW w:w="0" w:type="auto"/>
        <w:tblLayout w:type="fixed"/>
        <w:tblCellMar>
          <w:left w:w="62" w:type="dxa"/>
          <w:right w:w="62" w:type="dxa"/>
        </w:tblCellMar>
        <w:tblLook w:val="0000"/>
      </w:tblPr>
      <w:tblGrid>
        <w:gridCol w:w="2499"/>
        <w:gridCol w:w="6023"/>
      </w:tblGrid>
      <w:tr w:rsidTr="00F0630D">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7C2AB7" w:rsidP="007C2AB7">
            <w:pPr>
              <w:pStyle w:val="BodyText"/>
            </w:pPr>
            <w:r w:rsidRPr="007C2AB7">
              <w:t>This unit specifies the outcomes required to turn stone to produce a designed finished product. It includes preparing stone, ope</w:t>
            </w:r>
            <w:r w:rsidRPr="007C2AB7">
              <w:t>rating a lathe, dressing stone and finishing a surface.</w:t>
            </w:r>
          </w:p>
        </w:tc>
      </w:tr>
    </w:tbl>
    <w:p w:rsidR="00F0630D" w:rsidP="007C2AB7">
      <w:pPr>
        <w:pStyle w:val="BodyText"/>
      </w:pPr>
    </w:p>
    <w:p w:rsidR="00F0630D" w:rsidP="007C2AB7">
      <w:pPr>
        <w:pStyle w:val="BodyText"/>
      </w:pPr>
    </w:p>
    <w:p w:rsidR="00000000" w:rsidRPr="007C2AB7" w:rsidP="007C2AB7">
      <w:pPr>
        <w:pStyle w:val="Heading1"/>
      </w:pPr>
      <w:bookmarkStart w:id="3" w:name="O_198840"/>
      <w:bookmarkEnd w:id="3"/>
      <w:r w:rsidRPr="007C2AB7">
        <w:t>Application of the Unit</w:t>
      </w:r>
    </w:p>
    <w:tbl>
      <w:tblPr>
        <w:tblW w:w="0" w:type="auto"/>
        <w:tblLayout w:type="fixed"/>
        <w:tblCellMar>
          <w:left w:w="62" w:type="dxa"/>
          <w:right w:w="62" w:type="dxa"/>
        </w:tblCellMar>
        <w:tblLook w:val="0000"/>
      </w:tblPr>
      <w:tblGrid>
        <w:gridCol w:w="2566"/>
        <w:gridCol w:w="5956"/>
      </w:tblGrid>
      <w:tr w:rsidTr="00F0630D">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7C2AB7" w:rsidP="007C2AB7">
            <w:pPr>
              <w:pStyle w:val="BodyText"/>
            </w:pPr>
            <w:r w:rsidRPr="007C2AB7">
              <w:t xml:space="preserve">This unit of competency supports the achievement of skills and knowledge to turn stone products, which may include working with others and as a member of a team. </w:t>
            </w:r>
          </w:p>
        </w:tc>
      </w:tr>
    </w:tbl>
    <w:p w:rsidR="00F0630D" w:rsidP="007C2AB7">
      <w:pPr>
        <w:pStyle w:val="BodyText"/>
      </w:pPr>
    </w:p>
    <w:p w:rsidR="00F0630D" w:rsidP="007C2AB7">
      <w:pPr>
        <w:pStyle w:val="BodyText"/>
      </w:pPr>
    </w:p>
    <w:p w:rsidR="00000000" w:rsidRPr="007C2AB7" w:rsidP="007C2AB7">
      <w:pPr>
        <w:pStyle w:val="Heading1"/>
      </w:pPr>
      <w:bookmarkStart w:id="4" w:name="O_277983"/>
      <w:bookmarkEnd w:id="4"/>
      <w:r w:rsidRPr="007C2AB7">
        <w:t>Licensing/Regulatory Information</w:t>
      </w:r>
    </w:p>
    <w:p w:rsidR="00000000" w:rsidRPr="007C2AB7" w:rsidP="007C2AB7">
      <w:pPr>
        <w:pStyle w:val="BodyText"/>
      </w:pPr>
      <w:r w:rsidRPr="007C2AB7">
        <w:t>Not Applicable</w:t>
      </w:r>
    </w:p>
    <w:p w:rsidR="00000000" w:rsidRPr="007C2AB7" w:rsidP="007C2AB7">
      <w:pPr>
        <w:pStyle w:val="AllowPageBreak"/>
      </w:pPr>
    </w:p>
    <w:p w:rsidR="00000000" w:rsidRPr="007C2AB7" w:rsidP="007C2AB7">
      <w:pPr>
        <w:pStyle w:val="Heading1"/>
      </w:pPr>
      <w:bookmarkStart w:id="5" w:name="O_198838"/>
      <w:bookmarkEnd w:id="5"/>
      <w:r w:rsidRPr="007C2AB7">
        <w:t>Pre-Requisites</w:t>
      </w:r>
    </w:p>
    <w:tbl>
      <w:tblPr>
        <w:tblW w:w="0" w:type="auto"/>
        <w:tblLayout w:type="fixed"/>
        <w:tblCellMar>
          <w:left w:w="62" w:type="dxa"/>
          <w:right w:w="62" w:type="dxa"/>
        </w:tblCellMar>
        <w:tblLook w:val="0000"/>
      </w:tblPr>
      <w:tblGrid>
        <w:gridCol w:w="2528"/>
        <w:gridCol w:w="2737"/>
        <w:gridCol w:w="3257"/>
      </w:tblGrid>
      <w:tr w:rsidTr="00F0630D">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7C2AB7">
            <w:pPr>
              <w:pStyle w:val="BodyText"/>
              <w:rPr>
                <w:lang w:val="en-NZ"/>
              </w:rPr>
            </w:pPr>
          </w:p>
        </w:tc>
      </w:tr>
      <w:tr w:rsidTr="00F0630D">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t>CPCCOHS2001A</w:t>
            </w:r>
          </w:p>
        </w:tc>
        <w:tc>
          <w:tcPr>
            <w:tcW w:w="3257"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t>Apply OHS requirements, policies and procedures in the construction industry</w:t>
            </w:r>
          </w:p>
        </w:tc>
      </w:tr>
      <w:tr w:rsidTr="00F0630D">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7C2AB7" w:rsidP="007C2AB7">
            <w:pPr>
              <w:pStyle w:val="BodyText"/>
            </w:pPr>
          </w:p>
        </w:tc>
      </w:tr>
    </w:tbl>
    <w:p w:rsidR="00F0630D" w:rsidP="007C2AB7">
      <w:pPr>
        <w:pStyle w:val="BodyText"/>
      </w:pPr>
    </w:p>
    <w:p w:rsidR="00F0630D" w:rsidP="007C2AB7">
      <w:pPr>
        <w:pStyle w:val="BodyText"/>
      </w:pPr>
    </w:p>
    <w:p w:rsidR="00000000" w:rsidRPr="007C2AB7" w:rsidP="007C2AB7">
      <w:pPr>
        <w:pStyle w:val="Heading1"/>
      </w:pPr>
      <w:bookmarkStart w:id="6" w:name="O_198837"/>
      <w:bookmarkEnd w:id="6"/>
      <w:r w:rsidRPr="007C2AB7">
        <w:t>Employability Skills Information</w:t>
      </w:r>
    </w:p>
    <w:tbl>
      <w:tblPr>
        <w:tblW w:w="0" w:type="auto"/>
        <w:tblLayout w:type="fixed"/>
        <w:tblCellMar>
          <w:left w:w="62" w:type="dxa"/>
          <w:right w:w="62" w:type="dxa"/>
        </w:tblCellMar>
        <w:tblLook w:val="0000"/>
      </w:tblPr>
      <w:tblGrid>
        <w:gridCol w:w="2624"/>
        <w:gridCol w:w="5898"/>
      </w:tblGrid>
      <w:tr w:rsidTr="00F0630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C2AB7" w:rsidP="007C2AB7">
            <w:pPr>
              <w:pStyle w:val="BodyText"/>
            </w:pPr>
            <w:r w:rsidRPr="007C2AB7">
              <w:t>This unit contains employability skills.</w:t>
            </w:r>
          </w:p>
        </w:tc>
      </w:tr>
    </w:tbl>
    <w:p w:rsidR="00F0630D" w:rsidP="007C2AB7">
      <w:pPr>
        <w:pStyle w:val="BodyText"/>
      </w:pPr>
    </w:p>
    <w:p w:rsidR="00F0630D" w:rsidP="007C2AB7">
      <w:pPr>
        <w:pStyle w:val="BodyText"/>
      </w:pPr>
    </w:p>
    <w:p w:rsidR="00000000" w:rsidRPr="007C2AB7" w:rsidP="007C2AB7">
      <w:pPr>
        <w:pStyle w:val="Heading1"/>
      </w:pPr>
      <w:bookmarkStart w:id="7" w:name="O_287769"/>
      <w:bookmarkEnd w:id="7"/>
      <w:r w:rsidRPr="007C2AB7">
        <w:t>Elements and Performance Criteria Pre-Content</w:t>
      </w:r>
    </w:p>
    <w:tbl>
      <w:tblPr>
        <w:tblW w:w="0" w:type="auto"/>
        <w:tblLayout w:type="fixed"/>
        <w:tblCellMar>
          <w:left w:w="62" w:type="dxa"/>
          <w:right w:w="62" w:type="dxa"/>
        </w:tblCellMar>
        <w:tblLook w:val="0000"/>
      </w:tblPr>
      <w:tblGrid>
        <w:gridCol w:w="2497"/>
        <w:gridCol w:w="6025"/>
      </w:tblGrid>
      <w:tr w:rsidTr="00F0630D">
        <w:tblPrEx>
          <w:tblW w:w="0" w:type="auto"/>
          <w:tblLayout w:type="fixed"/>
          <w:tblCellMar>
            <w:left w:w="62" w:type="dxa"/>
            <w:right w:w="62" w:type="dxa"/>
          </w:tblCellMar>
          <w:tblLook w:val="0000"/>
        </w:tblPrEx>
        <w:tc>
          <w:tcPr>
            <w:tcW w:w="2497" w:type="dxa"/>
            <w:tcBorders>
              <w:top w:val="single" w:sz="6" w:space="0" w:color="auto"/>
              <w:left w:val="nil"/>
              <w:bottom w:val="nil"/>
              <w:right w:val="nil"/>
            </w:tcBorders>
            <w:tcMar>
              <w:top w:w="0" w:type="dxa"/>
              <w:left w:w="62" w:type="dxa"/>
              <w:bottom w:w="0" w:type="dxa"/>
              <w:right w:w="62" w:type="dxa"/>
            </w:tcMar>
          </w:tcPr>
          <w:p w:rsidR="00000000" w:rsidP="007C2AB7">
            <w:pPr>
              <w:pStyle w:val="BodyText"/>
              <w:rPr>
                <w:lang w:val="en-NZ"/>
              </w:rPr>
            </w:pPr>
            <w:r w:rsidRPr="007C2AB7">
              <w:t>Elements describe the essential outcomes of a unit of competency.</w:t>
            </w:r>
          </w:p>
        </w:tc>
        <w:tc>
          <w:tcPr>
            <w:tcW w:w="6025" w:type="dxa"/>
            <w:tcBorders>
              <w:top w:val="single" w:sz="6" w:space="0" w:color="auto"/>
              <w:left w:val="nil"/>
              <w:bottom w:val="nil"/>
              <w:right w:val="nil"/>
            </w:tcBorders>
            <w:tcMar>
              <w:top w:w="0" w:type="dxa"/>
              <w:left w:w="62" w:type="dxa"/>
              <w:bottom w:w="0" w:type="dxa"/>
              <w:right w:w="62" w:type="dxa"/>
            </w:tcMar>
          </w:tcPr>
          <w:p w:rsidR="00000000" w:rsidRPr="007C2AB7" w:rsidP="007C2AB7">
            <w:pPr>
              <w:pStyle w:val="BodyText"/>
            </w:pPr>
            <w:r w:rsidRPr="007C2AB7">
              <w:t>Performance criteria describe the performance needed to demonstrate achievement of the element. Where bold italicised text is us</w:t>
            </w:r>
            <w:r w:rsidRPr="007C2AB7">
              <w:t>ed, further information is detailed in the required skills and knowledge section and the range statement. Assessment of performance is to be consistent with the evidence guide.</w:t>
            </w:r>
          </w:p>
        </w:tc>
      </w:tr>
    </w:tbl>
    <w:p w:rsidR="00000000" w:rsidRPr="007C2AB7" w:rsidP="007C2AB7">
      <w:pPr>
        <w:pStyle w:val="BodyText"/>
      </w:pPr>
    </w:p>
    <w:p w:rsidR="00000000" w:rsidRPr="007C2AB7" w:rsidP="007C2AB7">
      <w:pPr>
        <w:pStyle w:val="AllowPageBreak"/>
      </w:pPr>
    </w:p>
    <w:p w:rsidR="00000000" w:rsidRPr="007C2AB7" w:rsidP="007C2AB7">
      <w:pPr>
        <w:pStyle w:val="Heading1"/>
      </w:pPr>
      <w:bookmarkStart w:id="8" w:name="O_234436"/>
      <w:bookmarkEnd w:id="8"/>
      <w:r w:rsidRPr="007C2AB7">
        <w:t>Elements and Performance Criteria</w:t>
      </w:r>
    </w:p>
    <w:tbl>
      <w:tblPr>
        <w:tblW w:w="0" w:type="auto"/>
        <w:tblLayout w:type="fixed"/>
        <w:tblCellMar>
          <w:left w:w="62" w:type="dxa"/>
          <w:right w:w="62" w:type="dxa"/>
        </w:tblCellMar>
        <w:tblLook w:val="0000"/>
      </w:tblPr>
      <w:tblGrid>
        <w:gridCol w:w="2497"/>
        <w:gridCol w:w="6025"/>
      </w:tblGrid>
      <w:tr w:rsidTr="00F0630D">
        <w:tblPrEx>
          <w:tblW w:w="0" w:type="auto"/>
          <w:tblLayout w:type="fixed"/>
          <w:tblCellMar>
            <w:left w:w="62" w:type="dxa"/>
            <w:right w:w="62" w:type="dxa"/>
          </w:tblCellMar>
          <w:tblLook w:val="0000"/>
        </w:tblPrEx>
        <w:trPr>
          <w:tblHeader/>
        </w:trPr>
        <w:tc>
          <w:tcPr>
            <w:tcW w:w="2497" w:type="dxa"/>
            <w:tcBorders>
              <w:top w:val="nil"/>
              <w:left w:val="nil"/>
              <w:bottom w:val="single" w:sz="6" w:space="0" w:color="auto"/>
              <w:right w:val="nil"/>
            </w:tcBorders>
            <w:tcMar>
              <w:top w:w="0" w:type="dxa"/>
              <w:left w:w="62" w:type="dxa"/>
              <w:bottom w:w="0" w:type="dxa"/>
              <w:right w:w="62" w:type="dxa"/>
            </w:tcMar>
          </w:tcPr>
          <w:p w:rsidR="00000000" w:rsidRPr="007C2AB7" w:rsidP="007C2AB7">
            <w:pPr>
              <w:pStyle w:val="BodyText"/>
            </w:pPr>
            <w:r w:rsidRPr="007C2AB7">
              <w:rPr>
                <w:rStyle w:val="SpecialBold"/>
              </w:rPr>
              <w:t>ELEMENT</w:t>
            </w:r>
          </w:p>
        </w:tc>
        <w:tc>
          <w:tcPr>
            <w:tcW w:w="6025" w:type="dxa"/>
            <w:tcBorders>
              <w:top w:val="nil"/>
              <w:left w:val="nil"/>
              <w:bottom w:val="single" w:sz="6" w:space="0" w:color="auto"/>
              <w:right w:val="nil"/>
            </w:tcBorders>
            <w:tcMar>
              <w:top w:w="0" w:type="dxa"/>
              <w:left w:w="62" w:type="dxa"/>
              <w:bottom w:w="0" w:type="dxa"/>
              <w:right w:w="62" w:type="dxa"/>
            </w:tcMar>
          </w:tcPr>
          <w:p w:rsidR="00000000" w:rsidP="007C2AB7">
            <w:pPr>
              <w:pStyle w:val="BodyText"/>
              <w:rPr>
                <w:lang w:val="en-NZ"/>
              </w:rPr>
            </w:pPr>
            <w:r w:rsidRPr="007C2AB7">
              <w:rPr>
                <w:rStyle w:val="SpecialBold"/>
              </w:rPr>
              <w:t>PERFORMANCE CRITERIA</w:t>
            </w:r>
          </w:p>
        </w:tc>
      </w:tr>
      <w:tr w:rsidTr="00F0630D">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7C2AB7">
            <w:pPr>
              <w:pStyle w:val="List"/>
              <w:rPr>
                <w:lang w:val="en-NZ"/>
              </w:rPr>
            </w:pPr>
            <w:r w:rsidRPr="007C2AB7">
              <w:t>1.</w:t>
            </w:r>
            <w:r w:rsidRPr="007C2AB7">
              <w:tab/>
              <w:t>Plan and prepare.</w:t>
            </w:r>
          </w:p>
        </w:tc>
        <w:tc>
          <w:tcPr>
            <w:tcW w:w="6025" w:type="dxa"/>
            <w:tcBorders>
              <w:top w:val="nil"/>
              <w:left w:val="nil"/>
              <w:bottom w:val="nil"/>
              <w:right w:val="nil"/>
            </w:tcBorders>
            <w:tcMar>
              <w:top w:w="0" w:type="dxa"/>
              <w:left w:w="62" w:type="dxa"/>
              <w:bottom w:w="0" w:type="dxa"/>
              <w:right w:w="62" w:type="dxa"/>
            </w:tcMar>
          </w:tcPr>
          <w:p w:rsidR="00000000" w:rsidRPr="007C2AB7" w:rsidP="007C2AB7">
            <w:pPr>
              <w:pStyle w:val="List2"/>
            </w:pPr>
            <w:r w:rsidRPr="007C2AB7">
              <w:t>1.1.</w:t>
            </w:r>
            <w:r w:rsidRPr="007C2AB7">
              <w:tab/>
              <w:t xml:space="preserve">Work instructions and operational details are obtained using relevant </w:t>
            </w:r>
            <w:r w:rsidRPr="007C2AB7">
              <w:rPr>
                <w:rStyle w:val="BoldandItalics"/>
              </w:rPr>
              <w:t>information</w:t>
            </w:r>
            <w:r w:rsidRPr="007C2AB7">
              <w:t xml:space="preserve">, confirmed and applied for </w:t>
            </w:r>
            <w:r w:rsidRPr="007C2AB7">
              <w:rPr>
                <w:rStyle w:val="BoldandItalics"/>
              </w:rPr>
              <w:t>planning and preparation</w:t>
            </w:r>
            <w:r w:rsidRPr="007C2AB7">
              <w:t xml:space="preserve"> purposes. </w:t>
            </w:r>
          </w:p>
          <w:p w:rsidR="00000000" w:rsidRPr="007C2AB7" w:rsidP="007C2AB7">
            <w:pPr>
              <w:pStyle w:val="List2"/>
            </w:pPr>
            <w:r w:rsidRPr="007C2AB7">
              <w:t>1.2.</w:t>
            </w:r>
            <w:r w:rsidRPr="007C2AB7">
              <w:tab/>
            </w:r>
            <w:r w:rsidRPr="007C2AB7">
              <w:rPr>
                <w:rStyle w:val="BoldandItalics"/>
              </w:rPr>
              <w:t>Safety</w:t>
            </w:r>
            <w:r w:rsidRPr="007C2AB7">
              <w:t xml:space="preserve"> (</w:t>
            </w:r>
            <w:r w:rsidRPr="007C2AB7">
              <w:rPr>
                <w:rStyle w:val="BoldandItalics"/>
              </w:rPr>
              <w:t>OHS</w:t>
            </w:r>
            <w:r w:rsidRPr="007C2AB7">
              <w:t xml:space="preserve">) requirements are followed in accordance with </w:t>
            </w:r>
            <w:r w:rsidRPr="007C2AB7">
              <w:t xml:space="preserve">safety plans and policies. </w:t>
            </w:r>
          </w:p>
          <w:p w:rsidR="00000000" w:rsidRPr="007C2AB7" w:rsidP="007C2AB7">
            <w:pPr>
              <w:pStyle w:val="List2"/>
            </w:pPr>
            <w:r w:rsidRPr="007C2AB7">
              <w:t>1.3.</w:t>
            </w:r>
            <w:r w:rsidRPr="007C2AB7">
              <w:tab/>
              <w:t>Signage and barricade requirements are identified and implemented.</w:t>
            </w:r>
          </w:p>
          <w:p w:rsidR="00000000" w:rsidRPr="007C2AB7" w:rsidP="007C2AB7">
            <w:pPr>
              <w:pStyle w:val="List2"/>
            </w:pPr>
            <w:r w:rsidRPr="007C2AB7">
              <w:t>1.4.</w:t>
            </w:r>
            <w:r w:rsidRPr="007C2AB7">
              <w:tab/>
            </w:r>
            <w:r w:rsidRPr="007C2AB7">
              <w:rPr>
                <w:rStyle w:val="BoldandItalics"/>
              </w:rPr>
              <w:t>Tools and equipment</w:t>
            </w:r>
            <w:r w:rsidRPr="007C2AB7">
              <w:t xml:space="preserve"> selected to carry out tasks are consistent with job requirements, checked for serviceability and any faults are rectified or report</w:t>
            </w:r>
            <w:r w:rsidRPr="007C2AB7">
              <w:t xml:space="preserve">ed prior to commencement. </w:t>
            </w:r>
          </w:p>
          <w:p w:rsidR="00000000" w:rsidRPr="007C2AB7" w:rsidP="007C2AB7">
            <w:pPr>
              <w:pStyle w:val="List2"/>
            </w:pPr>
            <w:r w:rsidRPr="007C2AB7">
              <w:t>1.5.</w:t>
            </w:r>
            <w:r w:rsidRPr="007C2AB7">
              <w:tab/>
              <w:t xml:space="preserve">Material quantity requirements are calculated in accordance with plans, specifications and </w:t>
            </w:r>
            <w:r w:rsidRPr="007C2AB7">
              <w:rPr>
                <w:rStyle w:val="BoldandItalics"/>
              </w:rPr>
              <w:t>quality requirements</w:t>
            </w:r>
            <w:r w:rsidRPr="007C2AB7">
              <w:t xml:space="preserve">. </w:t>
            </w:r>
          </w:p>
          <w:p w:rsidR="00000000" w:rsidRPr="007C2AB7" w:rsidP="007C2AB7">
            <w:pPr>
              <w:pStyle w:val="List2"/>
            </w:pPr>
            <w:r w:rsidRPr="007C2AB7">
              <w:t>1.6.</w:t>
            </w:r>
            <w:r w:rsidRPr="007C2AB7">
              <w:tab/>
            </w:r>
            <w:r w:rsidRPr="007C2AB7">
              <w:rPr>
                <w:rStyle w:val="BoldandItalics"/>
              </w:rPr>
              <w:t>Materials</w:t>
            </w:r>
            <w:r w:rsidRPr="007C2AB7">
              <w:t xml:space="preserve"> appropriate to the work application are identified, obtained, prepared, safely handled and loca</w:t>
            </w:r>
            <w:r w:rsidRPr="007C2AB7">
              <w:t xml:space="preserve">ted ready for use. </w:t>
            </w:r>
          </w:p>
          <w:p w:rsidR="00000000" w:rsidRPr="007C2AB7" w:rsidP="007C2AB7">
            <w:pPr>
              <w:pStyle w:val="List2"/>
            </w:pPr>
            <w:r w:rsidRPr="007C2AB7">
              <w:t>1.7.</w:t>
            </w:r>
            <w:r w:rsidRPr="007C2AB7">
              <w:tab/>
              <w:t xml:space="preserve">Stone quality identified, selected and </w:t>
            </w:r>
            <w:r w:rsidRPr="007C2AB7">
              <w:rPr>
                <w:rStyle w:val="BoldandItalics"/>
              </w:rPr>
              <w:t>prepared</w:t>
            </w:r>
            <w:r w:rsidRPr="007C2AB7">
              <w:t xml:space="preserve"> for turning. </w:t>
            </w:r>
          </w:p>
          <w:p w:rsidR="00000000" w:rsidP="007C2AB7">
            <w:pPr>
              <w:pStyle w:val="List2"/>
              <w:rPr>
                <w:lang w:val="en-NZ"/>
              </w:rPr>
            </w:pPr>
            <w:r w:rsidRPr="007C2AB7">
              <w:t>1.8.</w:t>
            </w:r>
            <w:r w:rsidRPr="007C2AB7">
              <w:tab/>
            </w:r>
            <w:r w:rsidRPr="007C2AB7">
              <w:rPr>
                <w:rStyle w:val="BoldandItalics"/>
              </w:rPr>
              <w:t>Environmental requirements</w:t>
            </w:r>
            <w:r w:rsidRPr="007C2AB7">
              <w:t xml:space="preserve"> are identified for the project in accordance with environmental plans and </w:t>
            </w:r>
            <w:r w:rsidRPr="007C2AB7">
              <w:rPr>
                <w:rStyle w:val="BoldandItalics"/>
              </w:rPr>
              <w:t>statutory and regulatory authority</w:t>
            </w:r>
            <w:r w:rsidRPr="007C2AB7">
              <w:t xml:space="preserve"> requirements, and are applie</w:t>
            </w:r>
            <w:r w:rsidRPr="007C2AB7">
              <w:t xml:space="preserve">d. </w:t>
            </w:r>
          </w:p>
        </w:tc>
      </w:tr>
      <w:tr w:rsidTr="00F0630D">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7C2AB7">
            <w:pPr>
              <w:pStyle w:val="List"/>
              <w:rPr>
                <w:lang w:val="en-NZ"/>
              </w:rPr>
            </w:pPr>
            <w:r w:rsidRPr="007C2AB7">
              <w:t>2.</w:t>
            </w:r>
            <w:r w:rsidRPr="007C2AB7">
              <w:tab/>
              <w:t>Construct templates.</w:t>
            </w:r>
          </w:p>
        </w:tc>
        <w:tc>
          <w:tcPr>
            <w:tcW w:w="6025" w:type="dxa"/>
            <w:tcBorders>
              <w:top w:val="nil"/>
              <w:left w:val="nil"/>
              <w:bottom w:val="nil"/>
              <w:right w:val="nil"/>
            </w:tcBorders>
            <w:tcMar>
              <w:top w:w="0" w:type="dxa"/>
              <w:left w:w="62" w:type="dxa"/>
              <w:bottom w:w="0" w:type="dxa"/>
              <w:right w:w="62" w:type="dxa"/>
            </w:tcMar>
          </w:tcPr>
          <w:p w:rsidR="00000000" w:rsidRPr="007C2AB7" w:rsidP="007C2AB7">
            <w:pPr>
              <w:pStyle w:val="List2"/>
            </w:pPr>
            <w:r w:rsidRPr="007C2AB7">
              <w:t>2.1.</w:t>
            </w:r>
            <w:r w:rsidRPr="007C2AB7">
              <w:tab/>
              <w:t xml:space="preserve">Appropriate template material is selected and </w:t>
            </w:r>
            <w:r w:rsidRPr="007C2AB7">
              <w:rPr>
                <w:rStyle w:val="BoldandItalics"/>
              </w:rPr>
              <w:t>template</w:t>
            </w:r>
            <w:r w:rsidRPr="007C2AB7">
              <w:t xml:space="preserve"> prepared and cut to required shape or design using appropriate tools. </w:t>
            </w:r>
          </w:p>
          <w:p w:rsidR="00000000" w:rsidP="007C2AB7">
            <w:pPr>
              <w:pStyle w:val="List2"/>
              <w:rPr>
                <w:lang w:val="en-NZ"/>
              </w:rPr>
            </w:pPr>
            <w:r w:rsidRPr="007C2AB7">
              <w:t>2.2.</w:t>
            </w:r>
            <w:r w:rsidRPr="007C2AB7">
              <w:tab/>
            </w:r>
            <w:r w:rsidRPr="007C2AB7">
              <w:t>Template is applied to stone for basic roughing out procedure as required by design, and appropriate tools and machines are selected consistent with job requirements.</w:t>
            </w:r>
          </w:p>
        </w:tc>
      </w:tr>
      <w:tr w:rsidTr="00F0630D">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7C2AB7">
            <w:pPr>
              <w:pStyle w:val="List"/>
              <w:rPr>
                <w:lang w:val="en-NZ"/>
              </w:rPr>
            </w:pPr>
            <w:r w:rsidRPr="007C2AB7">
              <w:t>3.</w:t>
            </w:r>
            <w:r w:rsidRPr="007C2AB7">
              <w:tab/>
              <w:t>Identify applications of lathe work to stonemasonry.</w:t>
            </w:r>
          </w:p>
        </w:tc>
        <w:tc>
          <w:tcPr>
            <w:tcW w:w="6025" w:type="dxa"/>
            <w:tcBorders>
              <w:top w:val="nil"/>
              <w:left w:val="nil"/>
              <w:bottom w:val="nil"/>
              <w:right w:val="nil"/>
            </w:tcBorders>
            <w:tcMar>
              <w:top w:w="0" w:type="dxa"/>
              <w:left w:w="62" w:type="dxa"/>
              <w:bottom w:w="0" w:type="dxa"/>
              <w:right w:w="62" w:type="dxa"/>
            </w:tcMar>
          </w:tcPr>
          <w:p w:rsidR="00000000" w:rsidRPr="007C2AB7" w:rsidP="007C2AB7">
            <w:pPr>
              <w:pStyle w:val="List2"/>
            </w:pPr>
            <w:r w:rsidRPr="007C2AB7">
              <w:t>3.1.</w:t>
            </w:r>
            <w:r w:rsidRPr="007C2AB7">
              <w:tab/>
              <w:t xml:space="preserve">Specific features of lathe </w:t>
            </w:r>
            <w:r w:rsidRPr="007C2AB7">
              <w:t>applications and methods of handling and holding work applicable to lathe operation are identified and used.</w:t>
            </w:r>
          </w:p>
          <w:p w:rsidR="00000000" w:rsidP="007C2AB7">
            <w:pPr>
              <w:pStyle w:val="List2"/>
              <w:rPr>
                <w:lang w:val="en-NZ"/>
              </w:rPr>
            </w:pPr>
            <w:r w:rsidRPr="007C2AB7">
              <w:t>3.2.</w:t>
            </w:r>
            <w:r w:rsidRPr="007C2AB7">
              <w:tab/>
              <w:t>Machine operations, including pre-service checks, are identified and machine speeds and feed rates are calculated.</w:t>
            </w:r>
          </w:p>
        </w:tc>
      </w:tr>
      <w:tr w:rsidTr="00F0630D">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7C2AB7">
            <w:pPr>
              <w:pStyle w:val="List"/>
              <w:rPr>
                <w:lang w:val="en-NZ"/>
              </w:rPr>
            </w:pPr>
            <w:r w:rsidRPr="007C2AB7">
              <w:t>4.</w:t>
            </w:r>
            <w:r w:rsidRPr="007C2AB7">
              <w:tab/>
              <w:t xml:space="preserve">Operate lathe and turn </w:t>
            </w:r>
            <w:r w:rsidRPr="007C2AB7">
              <w:t>stone.</w:t>
            </w:r>
          </w:p>
        </w:tc>
        <w:tc>
          <w:tcPr>
            <w:tcW w:w="6025" w:type="dxa"/>
            <w:tcBorders>
              <w:top w:val="nil"/>
              <w:left w:val="nil"/>
              <w:bottom w:val="nil"/>
              <w:right w:val="nil"/>
            </w:tcBorders>
            <w:tcMar>
              <w:top w:w="0" w:type="dxa"/>
              <w:left w:w="62" w:type="dxa"/>
              <w:bottom w:w="0" w:type="dxa"/>
              <w:right w:w="62" w:type="dxa"/>
            </w:tcMar>
          </w:tcPr>
          <w:p w:rsidR="00000000" w:rsidRPr="007C2AB7" w:rsidP="007C2AB7">
            <w:pPr>
              <w:pStyle w:val="List2"/>
            </w:pPr>
            <w:r w:rsidRPr="007C2AB7">
              <w:t>4.1.</w:t>
            </w:r>
            <w:r w:rsidRPr="007C2AB7">
              <w:tab/>
              <w:t>Job sheet is prepared as service record of lathe operation where applicable, and correct lathe cutting tools are selected and prepared for use.</w:t>
            </w:r>
          </w:p>
          <w:p w:rsidR="00000000" w:rsidRPr="007C2AB7" w:rsidP="007C2AB7">
            <w:pPr>
              <w:pStyle w:val="List2"/>
            </w:pPr>
            <w:r w:rsidRPr="007C2AB7">
              <w:t>4.2.</w:t>
            </w:r>
            <w:r w:rsidRPr="007C2AB7">
              <w:tab/>
              <w:t>Correct alignment of talkstock is accurately performed.</w:t>
            </w:r>
          </w:p>
          <w:p w:rsidR="00000000" w:rsidRPr="007C2AB7" w:rsidP="007C2AB7">
            <w:pPr>
              <w:pStyle w:val="List2"/>
            </w:pPr>
            <w:r w:rsidRPr="007C2AB7">
              <w:t>4.3.</w:t>
            </w:r>
            <w:r w:rsidRPr="007C2AB7">
              <w:tab/>
              <w:t>Pre-service checks are correctly p</w:t>
            </w:r>
            <w:r w:rsidRPr="007C2AB7">
              <w:t>erformed in accordance with manufacturer specifications and machine working speeds and feed rates.</w:t>
            </w:r>
          </w:p>
          <w:p w:rsidR="00000000" w:rsidRPr="007C2AB7" w:rsidP="007C2AB7">
            <w:pPr>
              <w:pStyle w:val="List2"/>
            </w:pPr>
            <w:r w:rsidRPr="007C2AB7">
              <w:t>4.4.</w:t>
            </w:r>
            <w:r w:rsidRPr="007C2AB7">
              <w:tab/>
              <w:t>Roughing and finishing areas are set by calculations from operations sheet specifications.</w:t>
            </w:r>
          </w:p>
          <w:p w:rsidR="00000000" w:rsidRPr="007C2AB7" w:rsidP="007C2AB7">
            <w:pPr>
              <w:pStyle w:val="List2"/>
            </w:pPr>
            <w:r w:rsidRPr="007C2AB7">
              <w:t>4.5.</w:t>
            </w:r>
            <w:r w:rsidRPr="007C2AB7">
              <w:tab/>
              <w:t xml:space="preserve">Holding devices are correctly applied to work piece and </w:t>
            </w:r>
            <w:r w:rsidRPr="007C2AB7">
              <w:t>lathe is operated through a dry run check before lathe start-up procedure is applied.</w:t>
            </w:r>
          </w:p>
          <w:p w:rsidR="00000000" w:rsidP="007C2AB7">
            <w:pPr>
              <w:pStyle w:val="List2"/>
              <w:rPr>
                <w:lang w:val="en-NZ"/>
              </w:rPr>
            </w:pPr>
            <w:r w:rsidRPr="007C2AB7">
              <w:t>4.6.</w:t>
            </w:r>
            <w:r w:rsidRPr="007C2AB7">
              <w:tab/>
              <w:t xml:space="preserve">Lathe </w:t>
            </w:r>
            <w:r w:rsidRPr="007C2AB7">
              <w:rPr>
                <w:rStyle w:val="BoldandItalics"/>
              </w:rPr>
              <w:t>operation</w:t>
            </w:r>
            <w:r w:rsidRPr="007C2AB7">
              <w:t xml:space="preserve"> is performed to turn stone to match contour of template. </w:t>
            </w:r>
          </w:p>
        </w:tc>
      </w:tr>
      <w:tr w:rsidTr="00F0630D">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7C2AB7">
            <w:pPr>
              <w:pStyle w:val="List"/>
              <w:rPr>
                <w:lang w:val="en-NZ"/>
              </w:rPr>
            </w:pPr>
            <w:r w:rsidRPr="007C2AB7">
              <w:t>5.</w:t>
            </w:r>
            <w:r w:rsidRPr="007C2AB7">
              <w:tab/>
              <w:t>Finish and seal stone.</w:t>
            </w:r>
          </w:p>
        </w:tc>
        <w:tc>
          <w:tcPr>
            <w:tcW w:w="6025" w:type="dxa"/>
            <w:tcBorders>
              <w:top w:val="nil"/>
              <w:left w:val="nil"/>
              <w:bottom w:val="nil"/>
              <w:right w:val="nil"/>
            </w:tcBorders>
            <w:tcMar>
              <w:top w:w="0" w:type="dxa"/>
              <w:left w:w="62" w:type="dxa"/>
              <w:bottom w:w="0" w:type="dxa"/>
              <w:right w:w="62" w:type="dxa"/>
            </w:tcMar>
          </w:tcPr>
          <w:p w:rsidR="00000000" w:rsidRPr="007C2AB7" w:rsidP="007C2AB7">
            <w:pPr>
              <w:pStyle w:val="List2"/>
            </w:pPr>
            <w:r w:rsidRPr="007C2AB7">
              <w:t>5.1.</w:t>
            </w:r>
            <w:r w:rsidRPr="007C2AB7">
              <w:tab/>
              <w:t>Correct contour conformity to template is checked, stone is</w:t>
            </w:r>
            <w:r w:rsidRPr="007C2AB7">
              <w:t xml:space="preserve"> turned and surface is finished to specification.</w:t>
            </w:r>
          </w:p>
          <w:p w:rsidR="00000000" w:rsidRPr="007C2AB7" w:rsidP="007C2AB7">
            <w:pPr>
              <w:pStyle w:val="List2"/>
            </w:pPr>
            <w:r w:rsidRPr="007C2AB7">
              <w:t>5.2.</w:t>
            </w:r>
            <w:r w:rsidRPr="007C2AB7">
              <w:tab/>
              <w:t>Completed stonemasonry work is removed from lathe and prepared for sealant application as specified.</w:t>
            </w:r>
          </w:p>
          <w:p w:rsidR="00000000" w:rsidP="007C2AB7">
            <w:pPr>
              <w:pStyle w:val="List2"/>
              <w:rPr>
                <w:lang w:val="en-NZ"/>
              </w:rPr>
            </w:pPr>
            <w:r w:rsidRPr="007C2AB7">
              <w:t>5.3.</w:t>
            </w:r>
            <w:r w:rsidRPr="007C2AB7">
              <w:tab/>
              <w:t>Sealing solutions and compounds are applied to manufacturer specifications.</w:t>
            </w:r>
          </w:p>
        </w:tc>
      </w:tr>
      <w:tr w:rsidTr="00F0630D">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7C2AB7">
            <w:pPr>
              <w:pStyle w:val="List"/>
              <w:rPr>
                <w:lang w:val="en-NZ"/>
              </w:rPr>
            </w:pPr>
            <w:r w:rsidRPr="007C2AB7">
              <w:t>6.</w:t>
            </w:r>
            <w:r w:rsidRPr="007C2AB7">
              <w:tab/>
              <w:t>Clean up.</w:t>
            </w:r>
          </w:p>
        </w:tc>
        <w:tc>
          <w:tcPr>
            <w:tcW w:w="6025" w:type="dxa"/>
            <w:tcBorders>
              <w:top w:val="nil"/>
              <w:left w:val="nil"/>
              <w:bottom w:val="nil"/>
              <w:right w:val="nil"/>
            </w:tcBorders>
            <w:tcMar>
              <w:top w:w="0" w:type="dxa"/>
              <w:left w:w="62" w:type="dxa"/>
              <w:bottom w:w="0" w:type="dxa"/>
              <w:right w:w="62" w:type="dxa"/>
            </w:tcMar>
          </w:tcPr>
          <w:p w:rsidR="00000000" w:rsidRPr="007C2AB7" w:rsidP="007C2AB7">
            <w:pPr>
              <w:pStyle w:val="List2"/>
            </w:pPr>
            <w:r w:rsidRPr="007C2AB7">
              <w:t>6.1.</w:t>
            </w:r>
            <w:r w:rsidRPr="007C2AB7">
              <w:tab/>
            </w:r>
            <w:r w:rsidRPr="007C2AB7">
              <w:t>Debris and waste materials are removed on completion of process.</w:t>
            </w:r>
          </w:p>
          <w:p w:rsidR="00000000" w:rsidRPr="007C2AB7" w:rsidP="007C2AB7">
            <w:pPr>
              <w:pStyle w:val="List2"/>
            </w:pPr>
            <w:r w:rsidRPr="007C2AB7">
              <w:t>6.2.</w:t>
            </w:r>
            <w:r w:rsidRPr="007C2AB7">
              <w:tab/>
              <w:t>Re-usable and recyclable materials are salvaged and stored.</w:t>
            </w:r>
          </w:p>
          <w:p w:rsidR="00000000" w:rsidRPr="007C2AB7" w:rsidP="007C2AB7">
            <w:pPr>
              <w:pStyle w:val="List2"/>
            </w:pPr>
            <w:r w:rsidRPr="007C2AB7">
              <w:t>6.3.</w:t>
            </w:r>
            <w:r w:rsidRPr="007C2AB7">
              <w:tab/>
              <w:t>Lathe accessories are removed and tools and equipment are cleaned, maintained and stored.</w:t>
            </w:r>
          </w:p>
        </w:tc>
      </w:tr>
    </w:tbl>
    <w:p w:rsidR="00F0630D" w:rsidP="007C2AB7">
      <w:pPr>
        <w:pStyle w:val="BodyText"/>
      </w:pPr>
    </w:p>
    <w:p w:rsidR="00F0630D" w:rsidP="007C2AB7">
      <w:pPr>
        <w:pStyle w:val="BodyText"/>
      </w:pPr>
    </w:p>
    <w:p w:rsidR="00000000" w:rsidRPr="007C2AB7" w:rsidP="007C2AB7">
      <w:pPr>
        <w:pStyle w:val="Heading1"/>
      </w:pPr>
      <w:bookmarkStart w:id="9" w:name="O_258386"/>
      <w:bookmarkEnd w:id="9"/>
      <w:r w:rsidRPr="007C2AB7">
        <w:t>Required Skills and Knowledge</w:t>
      </w:r>
    </w:p>
    <w:tbl>
      <w:tblPr>
        <w:tblW w:w="0" w:type="auto"/>
        <w:tblLayout w:type="fixed"/>
        <w:tblCellMar>
          <w:left w:w="62" w:type="dxa"/>
          <w:right w:w="62" w:type="dxa"/>
        </w:tblCellMar>
        <w:tblLook w:val="0000"/>
      </w:tblPr>
      <w:tblGrid>
        <w:gridCol w:w="8522"/>
      </w:tblGrid>
      <w:tr w:rsidTr="00F0630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REQUIRED SKILLS AND KNOWLEDGE</w:t>
            </w:r>
          </w:p>
        </w:tc>
      </w:tr>
      <w:tr w:rsidTr="00F063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t>This section describes the skills and knowledge required for this unit.</w:t>
            </w:r>
          </w:p>
        </w:tc>
      </w:tr>
      <w:tr w:rsidTr="00F063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Required skills</w:t>
            </w:r>
          </w:p>
        </w:tc>
      </w:tr>
      <w:tr w:rsidTr="00F063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2AB7" w:rsidP="007C2AB7">
            <w:pPr>
              <w:pStyle w:val="BodyText"/>
            </w:pPr>
            <w:r w:rsidRPr="007C2AB7">
              <w:t>Required skills for this unit are:</w:t>
            </w:r>
          </w:p>
          <w:p w:rsidR="00000000" w:rsidRPr="007C2AB7" w:rsidP="007C2AB7">
            <w:pPr>
              <w:pStyle w:val="ListBullet"/>
            </w:pPr>
            <w:r w:rsidRPr="007C2AB7">
              <w:t>ability to recognise procedures, respond to change and contri</w:t>
            </w:r>
            <w:r w:rsidRPr="007C2AB7">
              <w:t>bute to workplace responsibilities, such as current work site environmental or sustainability frameworks or management systems</w:t>
            </w:r>
          </w:p>
          <w:p w:rsidR="00000000" w:rsidRPr="007C2AB7" w:rsidP="007C2AB7">
            <w:pPr>
              <w:pStyle w:val="ListBullet"/>
            </w:pPr>
            <w:r w:rsidRPr="007C2AB7">
              <w:t>communication skills to:</w:t>
            </w:r>
          </w:p>
          <w:p w:rsidR="00000000" w:rsidRPr="007C2AB7" w:rsidP="007C2AB7">
            <w:pPr>
              <w:pStyle w:val="ListBullet2"/>
            </w:pPr>
            <w:r w:rsidRPr="007C2AB7">
              <w:t xml:space="preserve">enable clear and direct communication, using questioning to identify and confirm requirements, </w:t>
            </w:r>
            <w:r w:rsidRPr="007C2AB7">
              <w:t>share information, listen and understand</w:t>
            </w:r>
          </w:p>
          <w:p w:rsidR="00000000" w:rsidRPr="007C2AB7" w:rsidP="007C2AB7">
            <w:pPr>
              <w:pStyle w:val="ListBullet2"/>
            </w:pPr>
            <w:r w:rsidRPr="007C2AB7">
              <w:t>follow instructions</w:t>
            </w:r>
          </w:p>
          <w:p w:rsidR="00000000" w:rsidRPr="007C2AB7" w:rsidP="007C2AB7">
            <w:pPr>
              <w:pStyle w:val="ListBullet2"/>
            </w:pPr>
            <w:r w:rsidRPr="007C2AB7">
              <w:t>read and interpret drawings and specifications</w:t>
            </w:r>
          </w:p>
          <w:p w:rsidR="00000000" w:rsidRPr="007C2AB7" w:rsidP="007C2AB7">
            <w:pPr>
              <w:pStyle w:val="ListBullet2"/>
            </w:pPr>
            <w:r w:rsidRPr="007C2AB7">
              <w:t>use and interpret non-verbal communication</w:t>
            </w:r>
          </w:p>
          <w:p w:rsidR="00000000" w:rsidRPr="007C2AB7" w:rsidP="007C2AB7">
            <w:pPr>
              <w:pStyle w:val="ListBullet2"/>
            </w:pPr>
            <w:r w:rsidRPr="007C2AB7">
              <w:t>use language and concepts appropriate to cultural differences</w:t>
            </w:r>
          </w:p>
          <w:p w:rsidR="00000000" w:rsidRPr="007C2AB7" w:rsidP="007C2AB7">
            <w:pPr>
              <w:pStyle w:val="ListBullet"/>
            </w:pPr>
            <w:r w:rsidRPr="007C2AB7">
              <w:t>innovation skills to select appropriate to</w:t>
            </w:r>
            <w:r w:rsidRPr="007C2AB7">
              <w:t>ols and equipment, respond to workplace challenges and put ideas into action</w:t>
            </w:r>
          </w:p>
          <w:p w:rsidR="00000000" w:rsidRPr="007C2AB7" w:rsidP="007C2AB7">
            <w:pPr>
              <w:pStyle w:val="ListBullet"/>
            </w:pPr>
            <w:r w:rsidRPr="007C2AB7">
              <w:t>numeracy skills to apply measurements and calculations</w:t>
            </w:r>
          </w:p>
          <w:p w:rsidR="00000000" w:rsidRPr="007C2AB7" w:rsidP="007C2AB7">
            <w:pPr>
              <w:pStyle w:val="ListBullet"/>
            </w:pPr>
            <w:r w:rsidRPr="007C2AB7">
              <w:t>planning and organisational skills to identify requirements, apply relevant resources and sequence tasks</w:t>
            </w:r>
          </w:p>
          <w:p w:rsidR="00000000" w:rsidRPr="007C2AB7" w:rsidP="007C2AB7">
            <w:pPr>
              <w:pStyle w:val="ListBullet"/>
            </w:pPr>
            <w:r w:rsidRPr="007C2AB7">
              <w:t>problem solving ski</w:t>
            </w:r>
            <w:r w:rsidRPr="007C2AB7">
              <w:t>lls to recognise and take action to rectify minor faults and problems</w:t>
            </w:r>
          </w:p>
          <w:p w:rsidR="00000000" w:rsidP="007C2AB7">
            <w:pPr>
              <w:pStyle w:val="ListBullet"/>
              <w:rPr>
                <w:lang w:val="en-NZ"/>
              </w:rPr>
            </w:pPr>
            <w:r w:rsidRPr="007C2AB7">
              <w:t>teamwork skills to be able to work with others to action tasks and relate to people from a range of cultural, social, ethnic backgrounds and with varying physical and mental abilities.</w:t>
            </w:r>
          </w:p>
        </w:tc>
      </w:tr>
      <w:tr w:rsidTr="00F063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Required knowledge</w:t>
            </w:r>
          </w:p>
        </w:tc>
      </w:tr>
      <w:tr w:rsidTr="00F063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2AB7" w:rsidP="007C2AB7">
            <w:pPr>
              <w:pStyle w:val="BodyText"/>
            </w:pPr>
            <w:r w:rsidRPr="007C2AB7">
              <w:t>Required knowledge for this unit is:</w:t>
            </w:r>
          </w:p>
          <w:p w:rsidR="00000000" w:rsidRPr="007C2AB7" w:rsidP="007C2AB7">
            <w:pPr>
              <w:pStyle w:val="ListBullet"/>
            </w:pPr>
            <w:r w:rsidRPr="007C2AB7">
              <w:t>interpretation of drawings and specifications</w:t>
            </w:r>
          </w:p>
          <w:p w:rsidR="00000000" w:rsidRPr="007C2AB7" w:rsidP="007C2AB7">
            <w:pPr>
              <w:pStyle w:val="ListBullet"/>
            </w:pPr>
            <w:r w:rsidRPr="007C2AB7">
              <w:t>job safety analysis (JSA) and safe work method statements</w:t>
            </w:r>
          </w:p>
          <w:p w:rsidR="00000000" w:rsidRPr="007C2AB7" w:rsidP="007C2AB7">
            <w:pPr>
              <w:pStyle w:val="ListBullet"/>
            </w:pPr>
            <w:r w:rsidRPr="007C2AB7">
              <w:t>measurement techniques relative to design shapes in stone</w:t>
            </w:r>
          </w:p>
          <w:p w:rsidR="00000000" w:rsidRPr="007C2AB7" w:rsidP="007C2AB7">
            <w:pPr>
              <w:pStyle w:val="ListBullet"/>
            </w:pPr>
            <w:r w:rsidRPr="007C2AB7">
              <w:t>processes and techniques for finishi</w:t>
            </w:r>
            <w:r w:rsidRPr="007C2AB7">
              <w:t>ng stone surfaces</w:t>
            </w:r>
          </w:p>
          <w:p w:rsidR="00000000" w:rsidRPr="007C2AB7" w:rsidP="007C2AB7">
            <w:pPr>
              <w:pStyle w:val="ListBullet"/>
            </w:pPr>
            <w:r w:rsidRPr="007C2AB7">
              <w:t>processes for preparation of stone</w:t>
            </w:r>
          </w:p>
          <w:p w:rsidR="00000000" w:rsidRPr="007C2AB7" w:rsidP="007C2AB7">
            <w:pPr>
              <w:pStyle w:val="ListBullet"/>
            </w:pPr>
            <w:r w:rsidRPr="007C2AB7">
              <w:t>techniques for operating a lathe</w:t>
            </w:r>
          </w:p>
          <w:p w:rsidR="00000000" w:rsidRPr="007C2AB7" w:rsidP="007C2AB7">
            <w:pPr>
              <w:pStyle w:val="ListBullet"/>
            </w:pPr>
            <w:r w:rsidRPr="007C2AB7">
              <w:t>techniques for safe handling of material relevant to stonemasonry work</w:t>
            </w:r>
          </w:p>
          <w:p w:rsidR="00000000" w:rsidRPr="007C2AB7" w:rsidP="007C2AB7">
            <w:pPr>
              <w:pStyle w:val="ListBullet"/>
            </w:pPr>
            <w:r w:rsidRPr="007C2AB7">
              <w:t>techniques for turning and shaping stone</w:t>
            </w:r>
          </w:p>
          <w:p w:rsidR="00000000" w:rsidRPr="007C2AB7" w:rsidP="007C2AB7">
            <w:pPr>
              <w:pStyle w:val="ListBullet"/>
            </w:pPr>
            <w:r w:rsidRPr="007C2AB7">
              <w:t>types and uses of templates for lathe work</w:t>
            </w:r>
          </w:p>
          <w:p w:rsidR="00000000" w:rsidRPr="007C2AB7" w:rsidP="007C2AB7">
            <w:pPr>
              <w:pStyle w:val="ListBullet"/>
            </w:pPr>
            <w:r w:rsidRPr="007C2AB7">
              <w:t xml:space="preserve">types and uses </w:t>
            </w:r>
            <w:r w:rsidRPr="007C2AB7">
              <w:t>of cutting tools associated with turning stone</w:t>
            </w:r>
          </w:p>
          <w:p w:rsidR="00000000" w:rsidRPr="007C2AB7" w:rsidP="007C2AB7">
            <w:pPr>
              <w:pStyle w:val="ListBullet"/>
            </w:pPr>
            <w:r w:rsidRPr="007C2AB7">
              <w:t>types and uses of hand tools and equipment relevant to setting up and turning stone</w:t>
            </w:r>
          </w:p>
          <w:p w:rsidR="00000000" w:rsidRPr="007C2AB7" w:rsidP="007C2AB7">
            <w:pPr>
              <w:pStyle w:val="ListBullet"/>
            </w:pPr>
            <w:r w:rsidRPr="007C2AB7">
              <w:t>types of stone and their characteristics</w:t>
            </w:r>
          </w:p>
          <w:p w:rsidR="00000000" w:rsidRPr="007C2AB7" w:rsidP="007C2AB7">
            <w:pPr>
              <w:pStyle w:val="ListBullet"/>
            </w:pPr>
            <w:r w:rsidRPr="007C2AB7">
              <w:t>workplace and equipment safety requirements.</w:t>
            </w:r>
          </w:p>
        </w:tc>
      </w:tr>
    </w:tbl>
    <w:p w:rsidR="00F0630D" w:rsidP="007C2AB7">
      <w:pPr>
        <w:pStyle w:val="BodyText"/>
      </w:pPr>
    </w:p>
    <w:p w:rsidR="00F0630D" w:rsidP="007C2AB7">
      <w:pPr>
        <w:pStyle w:val="BodyText"/>
      </w:pPr>
    </w:p>
    <w:p w:rsidR="00000000" w:rsidRPr="007C2AB7" w:rsidP="007C2AB7">
      <w:pPr>
        <w:pStyle w:val="AllowPageBreak"/>
      </w:pPr>
    </w:p>
    <w:p w:rsidR="00000000" w:rsidRPr="007C2AB7" w:rsidP="007C2AB7">
      <w:pPr>
        <w:pStyle w:val="Heading1"/>
      </w:pPr>
      <w:bookmarkStart w:id="10" w:name="O_242420"/>
      <w:bookmarkEnd w:id="10"/>
      <w:r w:rsidRPr="007C2AB7">
        <w:t>Evidence Guide</w:t>
      </w:r>
    </w:p>
    <w:tbl>
      <w:tblPr>
        <w:tblW w:w="0" w:type="auto"/>
        <w:tblLayout w:type="fixed"/>
        <w:tblCellMar>
          <w:left w:w="62" w:type="dxa"/>
          <w:right w:w="62" w:type="dxa"/>
        </w:tblCellMar>
        <w:tblLook w:val="0000"/>
      </w:tblPr>
      <w:tblGrid>
        <w:gridCol w:w="3508"/>
        <w:gridCol w:w="5014"/>
      </w:tblGrid>
      <w:tr w:rsidTr="00F0630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C2AB7">
            <w:pPr>
              <w:pStyle w:val="BodyText"/>
              <w:rPr>
                <w:lang w:val="en-NZ"/>
              </w:rPr>
            </w:pPr>
            <w:r w:rsidRPr="007C2AB7">
              <w:rPr>
                <w:rStyle w:val="SpecialBold"/>
              </w:rPr>
              <w:t>EVIDENCE GUIDE</w:t>
            </w:r>
          </w:p>
        </w:tc>
      </w:tr>
      <w:tr w:rsidTr="00F0630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C2AB7">
            <w:pPr>
              <w:pStyle w:val="BodyText"/>
              <w:rPr>
                <w:lang w:val="en-NZ"/>
              </w:rPr>
            </w:pPr>
            <w:r w:rsidRPr="007C2AB7">
              <w:t>The evidence guide provides advice on assessment and must be read in conjunction with the performance criteria, required skills and knowledge, range statement and the Assessment Guidelines for the Training Package.</w:t>
            </w:r>
          </w:p>
        </w:tc>
      </w:tr>
      <w:tr w:rsidTr="00F063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t>This unit of competency could be assessed in the workplace or a close simulation of the workplace environment, provided that simulated or project-based assessment techniques fully replicate construction workplace conditions, material</w:t>
            </w:r>
            <w:r w:rsidRPr="007C2AB7">
              <w:t xml:space="preserve">s, activities, responsibilities and procedures. </w:t>
            </w:r>
          </w:p>
        </w:tc>
      </w:tr>
      <w:tr w:rsidTr="00F063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7C2AB7" w:rsidP="007C2AB7">
            <w:pPr>
              <w:pStyle w:val="BodyText"/>
            </w:pPr>
            <w:r w:rsidRPr="007C2AB7">
              <w:t>A person who demonstrates competency in this unit must be able to prepare and turn stone and produce two differen</w:t>
            </w:r>
            <w:r w:rsidRPr="007C2AB7">
              <w:t>t finished, turned products using at least two of the stone material types listed in the range statement, providing evidence of the ability to:</w:t>
            </w:r>
          </w:p>
          <w:p w:rsidR="00000000" w:rsidRPr="007C2AB7" w:rsidP="007C2AB7">
            <w:pPr>
              <w:pStyle w:val="ListBullet"/>
            </w:pPr>
            <w:r w:rsidRPr="007C2AB7">
              <w:t>comply with OHS regulations applicable to workplace operations</w:t>
            </w:r>
          </w:p>
          <w:p w:rsidR="00000000" w:rsidRPr="007C2AB7" w:rsidP="007C2AB7">
            <w:pPr>
              <w:pStyle w:val="ListBullet"/>
            </w:pPr>
            <w:r w:rsidRPr="007C2AB7">
              <w:t>comply with organisational policies and procedur</w:t>
            </w:r>
            <w:r w:rsidRPr="007C2AB7">
              <w:t>es, including quality assurance requirements within the context of producing turned stone</w:t>
            </w:r>
          </w:p>
          <w:p w:rsidR="00000000" w:rsidRPr="007C2AB7" w:rsidP="007C2AB7">
            <w:pPr>
              <w:pStyle w:val="ListBullet"/>
            </w:pPr>
            <w:r w:rsidRPr="007C2AB7">
              <w:t>demonstrate safe and effective operational use of tools and equipment with processes</w:t>
            </w:r>
          </w:p>
          <w:p w:rsidR="00000000" w:rsidRPr="007C2AB7" w:rsidP="007C2AB7">
            <w:pPr>
              <w:pStyle w:val="ListBullet"/>
            </w:pPr>
            <w:r w:rsidRPr="007C2AB7">
              <w:t>adopt and use correct procedures to handle and place material</w:t>
            </w:r>
          </w:p>
          <w:p w:rsidR="00000000" w:rsidRPr="007C2AB7" w:rsidP="007C2AB7">
            <w:pPr>
              <w:pStyle w:val="ListBullet"/>
            </w:pPr>
            <w:r w:rsidRPr="007C2AB7">
              <w:t>demonstrate sound techniques to accurately produce template to designed profile</w:t>
            </w:r>
          </w:p>
          <w:p w:rsidR="00000000" w:rsidRPr="007C2AB7" w:rsidP="007C2AB7">
            <w:pPr>
              <w:pStyle w:val="ListBullet"/>
            </w:pPr>
            <w:r w:rsidRPr="007C2AB7">
              <w:t>demonstrate sound and safe procedures to dress stone to requirements in preparation for turning</w:t>
            </w:r>
          </w:p>
          <w:p w:rsidR="00000000" w:rsidRPr="007C2AB7" w:rsidP="007C2AB7">
            <w:pPr>
              <w:pStyle w:val="ListBullet"/>
            </w:pPr>
            <w:r w:rsidRPr="007C2AB7">
              <w:t>display sound understanding of turning work applications and selection of approp</w:t>
            </w:r>
            <w:r w:rsidRPr="007C2AB7">
              <w:t>riate cutting tools</w:t>
            </w:r>
          </w:p>
          <w:p w:rsidR="00000000" w:rsidRPr="007C2AB7" w:rsidP="007C2AB7">
            <w:pPr>
              <w:pStyle w:val="ListBullet"/>
            </w:pPr>
            <w:r w:rsidRPr="007C2AB7">
              <w:t>demonstrate sound techniques to set up and prepare material and lathe for lathe operation</w:t>
            </w:r>
          </w:p>
          <w:p w:rsidR="00000000" w:rsidRPr="007C2AB7" w:rsidP="007C2AB7">
            <w:pPr>
              <w:pStyle w:val="ListBullet"/>
            </w:pPr>
            <w:r w:rsidRPr="007C2AB7">
              <w:t>display sound and safe techniques to cut, dress and finish stone to shape and specifications</w:t>
            </w:r>
          </w:p>
          <w:p w:rsidR="00000000" w:rsidP="007C2AB7">
            <w:pPr>
              <w:pStyle w:val="ListBullet"/>
              <w:rPr>
                <w:lang w:val="en-NZ"/>
              </w:rPr>
            </w:pPr>
            <w:r w:rsidRPr="007C2AB7">
              <w:t xml:space="preserve">communicate with others to ensure safe and effective </w:t>
            </w:r>
            <w:r w:rsidRPr="007C2AB7">
              <w:t>workplace operations.</w:t>
            </w:r>
          </w:p>
        </w:tc>
      </w:tr>
      <w:tr w:rsidTr="00F063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7C2AB7" w:rsidP="007C2AB7">
            <w:pPr>
              <w:pStyle w:val="BodyText"/>
            </w:pPr>
            <w:r w:rsidRPr="007C2AB7">
              <w:t>This competency is to be assessed using standard and authorised work practices, safety requirements and environmental constraints.</w:t>
            </w:r>
          </w:p>
          <w:p w:rsidR="00000000" w:rsidRPr="007C2AB7" w:rsidP="007C2AB7">
            <w:pPr>
              <w:pStyle w:val="BodyText"/>
            </w:pPr>
            <w:r w:rsidRPr="007C2AB7">
              <w:t>Assessment of essential underpinning knowledge will u</w:t>
            </w:r>
            <w:r w:rsidRPr="007C2AB7">
              <w:t>sually be conducted in an off-site context.</w:t>
            </w:r>
          </w:p>
          <w:p w:rsidR="00000000" w:rsidRPr="007C2AB7" w:rsidP="007C2AB7">
            <w:pPr>
              <w:pStyle w:val="BodyText"/>
            </w:pPr>
            <w:r w:rsidRPr="007C2AB7">
              <w:t>Assessment is to comply with relevant regulatory or Australian standards' requirements.</w:t>
            </w:r>
          </w:p>
          <w:p w:rsidR="00000000" w:rsidRPr="007C2AB7" w:rsidP="007C2AB7">
            <w:pPr>
              <w:pStyle w:val="BodyText"/>
            </w:pPr>
            <w:r w:rsidRPr="007C2AB7">
              <w:t>Resource implications for assessment include:</w:t>
            </w:r>
          </w:p>
          <w:p w:rsidR="00000000" w:rsidRPr="007C2AB7" w:rsidP="007C2AB7">
            <w:pPr>
              <w:pStyle w:val="ListBullet"/>
            </w:pPr>
            <w:r w:rsidRPr="007C2AB7">
              <w:t>materials relative to the activity</w:t>
            </w:r>
          </w:p>
          <w:p w:rsidR="00000000" w:rsidRPr="007C2AB7" w:rsidP="007C2AB7">
            <w:pPr>
              <w:pStyle w:val="ListBullet"/>
            </w:pPr>
            <w:r w:rsidRPr="007C2AB7">
              <w:t>hand tools, machinery and equipment approp</w:t>
            </w:r>
            <w:r w:rsidRPr="007C2AB7">
              <w:t>riate to activity</w:t>
            </w:r>
          </w:p>
          <w:p w:rsidR="00000000" w:rsidRPr="007C2AB7" w:rsidP="007C2AB7">
            <w:pPr>
              <w:pStyle w:val="ListBullet"/>
            </w:pPr>
            <w:r w:rsidRPr="007C2AB7">
              <w:t>suitable work area</w:t>
            </w:r>
          </w:p>
          <w:p w:rsidR="00000000" w:rsidRPr="007C2AB7" w:rsidP="007C2AB7">
            <w:pPr>
              <w:pStyle w:val="ListBullet"/>
            </w:pPr>
            <w:r w:rsidRPr="007C2AB7">
              <w:t>drawings and documentation relevant to activity.</w:t>
            </w:r>
          </w:p>
          <w:p w:rsidR="00000000" w:rsidP="007C2AB7">
            <w:pPr>
              <w:pStyle w:val="BodyText"/>
              <w:rPr>
                <w:lang w:val="en-NZ"/>
              </w:rPr>
            </w:pPr>
            <w:r w:rsidRPr="007C2AB7">
              <w:t xml:space="preserve">Reasonable adjustments for people with disabilities must be made to assessment processes where required. This could include access to modified </w:t>
            </w:r>
            <w:r w:rsidRPr="007C2AB7">
              <w:t xml:space="preserve">equipment and other physical resources, and the provision of appropriate assessment support. </w:t>
            </w:r>
          </w:p>
        </w:tc>
      </w:tr>
      <w:tr w:rsidTr="00F0630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7C2AB7" w:rsidP="007C2AB7">
            <w:pPr>
              <w:pStyle w:val="BodyText"/>
            </w:pPr>
            <w:r w:rsidRPr="007C2AB7">
              <w:t>Assessment methods must:</w:t>
            </w:r>
          </w:p>
          <w:p w:rsidR="00000000" w:rsidRPr="007C2AB7" w:rsidP="007C2AB7">
            <w:pPr>
              <w:pStyle w:val="ListBullet"/>
            </w:pPr>
            <w:r w:rsidRPr="007C2AB7">
              <w:t>satisfy the endorsed Assessment Guidelines of the Construction, Plumbing and Services Training Package</w:t>
            </w:r>
          </w:p>
          <w:p w:rsidR="00000000" w:rsidRPr="007C2AB7" w:rsidP="007C2AB7">
            <w:pPr>
              <w:pStyle w:val="ListBullet"/>
            </w:pPr>
            <w:r w:rsidRPr="007C2AB7">
              <w:t>include dir</w:t>
            </w:r>
            <w:r w:rsidRPr="007C2AB7">
              <w:t>ect observation of tasks in real or simulated work conditions, with questioning to confirm the ability to consistently identify and correctly interpret the essential underpinning knowledge required for practical application</w:t>
            </w:r>
          </w:p>
          <w:p w:rsidR="00000000" w:rsidRPr="007C2AB7" w:rsidP="007C2AB7">
            <w:pPr>
              <w:pStyle w:val="ListBullet"/>
            </w:pPr>
            <w:r w:rsidRPr="007C2AB7">
              <w:t>reinforce the integration of emp</w:t>
            </w:r>
            <w:r w:rsidRPr="007C2AB7">
              <w:t>loyability skills with workplace tasks and job roles</w:t>
            </w:r>
          </w:p>
          <w:p w:rsidR="00000000" w:rsidRPr="007C2AB7" w:rsidP="007C2AB7">
            <w:pPr>
              <w:pStyle w:val="ListBullet"/>
            </w:pPr>
            <w:r w:rsidRPr="007C2AB7">
              <w:t>confirm a reasonable inference that competency is not only verified under the particular assessment circumstance, but is able to be transferred to other circumstances and environments.</w:t>
            </w:r>
          </w:p>
          <w:p w:rsidR="00000000" w:rsidRPr="007C2AB7" w:rsidP="007C2AB7">
            <w:pPr>
              <w:pStyle w:val="BodyText"/>
            </w:pPr>
            <w:r w:rsidRPr="007C2AB7">
              <w:t>Validity and suffi</w:t>
            </w:r>
            <w:r w:rsidRPr="007C2AB7">
              <w:t>ciency of evidence requires that:</w:t>
            </w:r>
          </w:p>
          <w:p w:rsidR="00000000" w:rsidRPr="007C2AB7" w:rsidP="007C2AB7">
            <w:pPr>
              <w:pStyle w:val="ListBullet"/>
            </w:pPr>
            <w:r w:rsidRPr="007C2AB7">
              <w:t>competency will need to be demonstrated over a period of time reflecting the scope of the role and practical requirements of the workplace</w:t>
            </w:r>
          </w:p>
          <w:p w:rsidR="00000000" w:rsidRPr="007C2AB7" w:rsidP="007C2AB7">
            <w:pPr>
              <w:pStyle w:val="ListBullet"/>
            </w:pPr>
            <w:r w:rsidRPr="007C2AB7">
              <w:t>where the assessment is part of a structured learning experience the evidence coll</w:t>
            </w:r>
            <w:r w:rsidRPr="007C2AB7">
              <w:t>ected must relate to a number of performances assessed at different points in time and separated by further learning and practice with a decision on competency only taken at the point when the assessor has complete confidence in the person's demonstrated a</w:t>
            </w:r>
            <w:r w:rsidRPr="007C2AB7">
              <w:t>bility and applied knowledge</w:t>
            </w:r>
          </w:p>
          <w:p w:rsidR="00000000" w:rsidRPr="007C2AB7" w:rsidP="007C2AB7">
            <w:pPr>
              <w:pStyle w:val="ListBullet"/>
            </w:pPr>
            <w:r w:rsidRPr="007C2AB7">
              <w:t>all assessment that is part of a structured learning experience must include a combination of direct, indirect and supplementary evidence.</w:t>
            </w:r>
          </w:p>
          <w:p w:rsidR="00000000" w:rsidRPr="007C2AB7" w:rsidP="007C2AB7">
            <w:pPr>
              <w:pStyle w:val="BodyText"/>
            </w:pPr>
            <w:r w:rsidRPr="007C2AB7">
              <w:t>Assessment processes and techniques should, as far as is practical, take into account th</w:t>
            </w:r>
            <w:r w:rsidRPr="007C2AB7">
              <w:t>e language, literacy and numeracy capacity of the candidate in relation to the competency being assessed.</w:t>
            </w:r>
          </w:p>
          <w:p w:rsidR="00000000" w:rsidRPr="007C2AB7" w:rsidP="007C2AB7">
            <w:pPr>
              <w:pStyle w:val="BodyText"/>
            </w:pPr>
            <w:r w:rsidRPr="007C2AB7">
              <w:t xml:space="preserve">Supplementary evidence of competency may be obtained from relevant authenticated documentation from third parties, such as existing supervisors, team leaders or specialist training staff. </w:t>
            </w:r>
          </w:p>
        </w:tc>
      </w:tr>
    </w:tbl>
    <w:p w:rsidR="00F0630D" w:rsidP="007C2AB7">
      <w:pPr>
        <w:pStyle w:val="BodyText"/>
      </w:pPr>
    </w:p>
    <w:p w:rsidR="00F0630D" w:rsidP="007C2AB7">
      <w:pPr>
        <w:pStyle w:val="BodyText"/>
      </w:pPr>
    </w:p>
    <w:p w:rsidR="00000000" w:rsidRPr="007C2AB7" w:rsidP="007C2AB7">
      <w:pPr>
        <w:pStyle w:val="Heading1"/>
      </w:pPr>
      <w:bookmarkStart w:id="11" w:name="O_250403"/>
      <w:bookmarkEnd w:id="11"/>
      <w:r w:rsidRPr="007C2AB7">
        <w:t>Range Statement</w:t>
      </w:r>
    </w:p>
    <w:tbl>
      <w:tblPr>
        <w:tblW w:w="0" w:type="auto"/>
        <w:tblLayout w:type="fixed"/>
        <w:tblCellMar>
          <w:left w:w="62" w:type="dxa"/>
          <w:right w:w="62" w:type="dxa"/>
        </w:tblCellMar>
        <w:tblLook w:val="0000"/>
      </w:tblPr>
      <w:tblGrid>
        <w:gridCol w:w="3481"/>
        <w:gridCol w:w="5041"/>
      </w:tblGrid>
      <w:tr w:rsidTr="00F0630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C2AB7">
            <w:pPr>
              <w:pStyle w:val="BodyText"/>
              <w:rPr>
                <w:lang w:val="en-NZ"/>
              </w:rPr>
            </w:pPr>
            <w:r w:rsidRPr="007C2AB7">
              <w:rPr>
                <w:rStyle w:val="SpecialBold"/>
              </w:rPr>
              <w:t>RANGE STATEMENT</w:t>
            </w:r>
          </w:p>
        </w:tc>
      </w:tr>
      <w:tr w:rsidTr="00F0630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C2AB7">
            <w:pPr>
              <w:pStyle w:val="BodyText"/>
              <w:rPr>
                <w:lang w:val="en-NZ"/>
              </w:rPr>
            </w:pPr>
            <w:r w:rsidRPr="007C2AB7">
              <w:t xml:space="preserve">The range </w:t>
            </w:r>
            <w:r w:rsidRPr="007C2AB7">
              <w:t>statement relates to the unit of competency as a whole. It allows for different work environments and situations that may affect performance. Bold italicised wording, if used in the performance criteria, is detailed below. Essential operating conditions th</w:t>
            </w:r>
            <w:r w:rsidRPr="007C2AB7">
              <w:t>at may be present with training and assessment (depending on the work situation, needs of the candidate, accessibility of the item, and local industry and regional contexts) may also be included.</w:t>
            </w:r>
          </w:p>
        </w:tc>
      </w:tr>
      <w:tr w:rsidTr="00F063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BoldandItalics"/>
              </w:rPr>
              <w:t>Information</w:t>
            </w:r>
            <w:r w:rsidRPr="007C2AB7">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7C2AB7" w:rsidP="007C2AB7">
            <w:pPr>
              <w:pStyle w:val="ListBullet"/>
            </w:pPr>
            <w:r w:rsidRPr="007C2AB7">
              <w:t>diagrams or sketches</w:t>
            </w:r>
          </w:p>
          <w:p w:rsidR="00000000" w:rsidRPr="007C2AB7" w:rsidP="007C2AB7">
            <w:pPr>
              <w:pStyle w:val="ListBullet"/>
            </w:pPr>
            <w:r w:rsidRPr="007C2AB7">
              <w:t>instructions issued by authorised organisational or external personnel</w:t>
            </w:r>
          </w:p>
          <w:p w:rsidR="00000000" w:rsidRPr="007C2AB7" w:rsidP="007C2AB7">
            <w:pPr>
              <w:pStyle w:val="ListBullet"/>
            </w:pPr>
            <w:r w:rsidRPr="007C2AB7">
              <w:t>manufacturer specifications and instructions, where specified</w:t>
            </w:r>
          </w:p>
          <w:p w:rsidR="00000000" w:rsidRPr="007C2AB7" w:rsidP="007C2AB7">
            <w:pPr>
              <w:pStyle w:val="ListBullet"/>
            </w:pPr>
            <w:r w:rsidRPr="007C2AB7">
              <w:t>material safety data sheets (MSDS)</w:t>
            </w:r>
          </w:p>
          <w:p w:rsidR="00000000" w:rsidRPr="007C2AB7" w:rsidP="007C2AB7">
            <w:pPr>
              <w:pStyle w:val="ListBullet"/>
            </w:pPr>
            <w:r w:rsidRPr="007C2AB7">
              <w:t>memos</w:t>
            </w:r>
          </w:p>
          <w:p w:rsidR="00000000" w:rsidRPr="007C2AB7" w:rsidP="007C2AB7">
            <w:pPr>
              <w:pStyle w:val="ListBullet"/>
            </w:pPr>
            <w:r w:rsidRPr="007C2AB7">
              <w:t>regulatory and legislative requirements pertaining to handling stone</w:t>
            </w:r>
          </w:p>
          <w:p w:rsidR="00000000" w:rsidRPr="007C2AB7" w:rsidP="007C2AB7">
            <w:pPr>
              <w:pStyle w:val="ListBullet"/>
            </w:pPr>
            <w:r w:rsidRPr="007C2AB7">
              <w:t>relevant Aust</w:t>
            </w:r>
            <w:r w:rsidRPr="007C2AB7">
              <w:t>ralian standards</w:t>
            </w:r>
          </w:p>
          <w:p w:rsidR="00000000" w:rsidRPr="007C2AB7" w:rsidP="007C2AB7">
            <w:pPr>
              <w:pStyle w:val="ListBullet"/>
            </w:pPr>
            <w:r w:rsidRPr="007C2AB7">
              <w:t>safe work procedures relating to handling stone</w:t>
            </w:r>
          </w:p>
          <w:p w:rsidR="00000000" w:rsidRPr="007C2AB7" w:rsidP="007C2AB7">
            <w:pPr>
              <w:pStyle w:val="ListBullet"/>
            </w:pPr>
            <w:r w:rsidRPr="007C2AB7">
              <w:t>signage</w:t>
            </w:r>
          </w:p>
          <w:p w:rsidR="00000000" w:rsidRPr="007C2AB7" w:rsidP="007C2AB7">
            <w:pPr>
              <w:pStyle w:val="ListBullet"/>
            </w:pPr>
            <w:r w:rsidRPr="007C2AB7">
              <w:t>verbal, written and graphical instructions</w:t>
            </w:r>
          </w:p>
          <w:p w:rsidR="00000000" w:rsidRPr="007C2AB7" w:rsidP="007C2AB7">
            <w:pPr>
              <w:pStyle w:val="ListBullet"/>
            </w:pPr>
            <w:r w:rsidRPr="007C2AB7">
              <w:t>work bulletins</w:t>
            </w:r>
          </w:p>
          <w:p w:rsidR="00000000" w:rsidP="007C2AB7">
            <w:pPr>
              <w:pStyle w:val="ListBullet"/>
              <w:rPr>
                <w:lang w:val="en-NZ"/>
              </w:rPr>
            </w:pPr>
            <w:r w:rsidRPr="007C2AB7">
              <w:t>work schedules, plans and specifications.</w:t>
            </w:r>
          </w:p>
        </w:tc>
      </w:tr>
      <w:tr w:rsidTr="00F063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BoldandItalics"/>
              </w:rPr>
              <w:t>Planning and preparation</w:t>
            </w:r>
            <w:r w:rsidRPr="007C2AB7">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7C2AB7" w:rsidP="007C2AB7">
            <w:pPr>
              <w:pStyle w:val="ListBullet"/>
            </w:pPr>
            <w:r w:rsidRPr="007C2AB7">
              <w:t>assessment of conditions and hazards</w:t>
            </w:r>
          </w:p>
          <w:p w:rsidR="00000000" w:rsidRPr="007C2AB7" w:rsidP="007C2AB7">
            <w:pPr>
              <w:pStyle w:val="ListBullet"/>
            </w:pPr>
            <w:r w:rsidRPr="007C2AB7">
              <w:t>determination of work requirements and safety plans and policies</w:t>
            </w:r>
          </w:p>
          <w:p w:rsidR="00000000" w:rsidRPr="007C2AB7" w:rsidP="007C2AB7">
            <w:pPr>
              <w:pStyle w:val="ListBullet"/>
            </w:pPr>
            <w:r w:rsidRPr="007C2AB7">
              <w:t>equipment defect identification</w:t>
            </w:r>
          </w:p>
          <w:p w:rsidR="00000000" w:rsidP="007C2AB7">
            <w:pPr>
              <w:pStyle w:val="ListBullet"/>
              <w:rPr>
                <w:lang w:val="en-NZ"/>
              </w:rPr>
            </w:pPr>
            <w:r w:rsidRPr="007C2AB7">
              <w:t>work site inspection.</w:t>
            </w:r>
          </w:p>
        </w:tc>
      </w:tr>
      <w:tr w:rsidTr="00F063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BoldandItalics"/>
              </w:rPr>
              <w:t>Safety</w:t>
            </w:r>
            <w:r w:rsidRPr="007C2AB7">
              <w:t xml:space="preserve"> (</w:t>
            </w:r>
            <w:r w:rsidRPr="007C2AB7">
              <w:rPr>
                <w:rStyle w:val="BoldandItalics"/>
              </w:rPr>
              <w:t>OHS</w:t>
            </w:r>
            <w:r w:rsidRPr="007C2AB7">
              <w:t>) is to be in accordance with state and territory legislation and regulations and project safety plan and may include:</w:t>
            </w:r>
          </w:p>
        </w:tc>
        <w:tc>
          <w:tcPr>
            <w:tcW w:w="5041" w:type="dxa"/>
            <w:tcBorders>
              <w:top w:val="nil"/>
              <w:left w:val="nil"/>
              <w:bottom w:val="nil"/>
              <w:right w:val="nil"/>
            </w:tcBorders>
            <w:tcMar>
              <w:top w:w="0" w:type="dxa"/>
              <w:left w:w="62" w:type="dxa"/>
              <w:bottom w:w="0" w:type="dxa"/>
              <w:right w:w="62" w:type="dxa"/>
            </w:tcMar>
          </w:tcPr>
          <w:p w:rsidR="00000000" w:rsidRPr="007C2AB7" w:rsidP="007C2AB7">
            <w:pPr>
              <w:pStyle w:val="ListBullet"/>
            </w:pPr>
            <w:r w:rsidRPr="007C2AB7">
              <w:t>emerg</w:t>
            </w:r>
            <w:r w:rsidRPr="007C2AB7">
              <w:t>ency procedures, including extinguishing fires, organisational first aid requirements and evacuation</w:t>
            </w:r>
          </w:p>
          <w:p w:rsidR="00000000" w:rsidRPr="007C2AB7" w:rsidP="007C2AB7">
            <w:pPr>
              <w:pStyle w:val="ListBullet"/>
            </w:pPr>
            <w:r w:rsidRPr="007C2AB7">
              <w:t>hazard control</w:t>
            </w:r>
          </w:p>
          <w:p w:rsidR="00000000" w:rsidRPr="007C2AB7" w:rsidP="007C2AB7">
            <w:pPr>
              <w:pStyle w:val="ListBullet"/>
            </w:pPr>
            <w:r w:rsidRPr="007C2AB7">
              <w:t>hazardous materials and substances</w:t>
            </w:r>
          </w:p>
          <w:p w:rsidR="00000000" w:rsidRPr="007C2AB7" w:rsidP="007C2AB7">
            <w:pPr>
              <w:pStyle w:val="ListBullet"/>
            </w:pPr>
            <w:r w:rsidRPr="007C2AB7">
              <w:t>organisational first aid</w:t>
            </w:r>
          </w:p>
          <w:p w:rsidR="00000000" w:rsidRPr="007C2AB7" w:rsidP="007C2AB7">
            <w:pPr>
              <w:pStyle w:val="ListBullet"/>
            </w:pPr>
            <w:r w:rsidRPr="007C2AB7">
              <w:t>PPE prescribed under legislation, regulations and workplace policies and practic</w:t>
            </w:r>
            <w:r w:rsidRPr="007C2AB7">
              <w:t>es</w:t>
            </w:r>
          </w:p>
          <w:p w:rsidR="00000000" w:rsidRPr="007C2AB7" w:rsidP="007C2AB7">
            <w:pPr>
              <w:pStyle w:val="ListBullet"/>
            </w:pPr>
            <w:r w:rsidRPr="007C2AB7">
              <w:t>safe operating procedures, including the conduct of operational risk assessment and treatments associated with:</w:t>
            </w:r>
          </w:p>
          <w:p w:rsidR="00000000" w:rsidRPr="007C2AB7" w:rsidP="007C2AB7">
            <w:pPr>
              <w:pStyle w:val="ListBullet2"/>
            </w:pPr>
            <w:r w:rsidRPr="007C2AB7">
              <w:t>concealed services (water, power and gas)</w:t>
            </w:r>
          </w:p>
          <w:p w:rsidR="00000000" w:rsidRPr="007C2AB7" w:rsidP="007C2AB7">
            <w:pPr>
              <w:pStyle w:val="ListBullet2"/>
            </w:pPr>
            <w:r w:rsidRPr="007C2AB7">
              <w:t>lighting</w:t>
            </w:r>
          </w:p>
          <w:p w:rsidR="00000000" w:rsidRPr="007C2AB7" w:rsidP="007C2AB7">
            <w:pPr>
              <w:pStyle w:val="ListBullet2"/>
            </w:pPr>
            <w:r w:rsidRPr="007C2AB7">
              <w:t>restricted access barriers</w:t>
            </w:r>
          </w:p>
          <w:p w:rsidR="00000000" w:rsidRPr="007C2AB7" w:rsidP="007C2AB7">
            <w:pPr>
              <w:pStyle w:val="ListBullet2"/>
            </w:pPr>
            <w:r w:rsidRPr="007C2AB7">
              <w:t>traffic control</w:t>
            </w:r>
          </w:p>
          <w:p w:rsidR="00000000" w:rsidRPr="007C2AB7" w:rsidP="007C2AB7">
            <w:pPr>
              <w:pStyle w:val="ListBullet2"/>
            </w:pPr>
            <w:r w:rsidRPr="007C2AB7">
              <w:t>work site visitors and the public</w:t>
            </w:r>
          </w:p>
          <w:p w:rsidR="00000000" w:rsidRPr="007C2AB7" w:rsidP="007C2AB7">
            <w:pPr>
              <w:pStyle w:val="ListBullet2"/>
            </w:pPr>
            <w:r w:rsidRPr="007C2AB7">
              <w:t>working at heights</w:t>
            </w:r>
          </w:p>
          <w:p w:rsidR="00000000" w:rsidRPr="007C2AB7" w:rsidP="007C2AB7">
            <w:pPr>
              <w:pStyle w:val="ListBullet2"/>
            </w:pPr>
            <w:r w:rsidRPr="007C2AB7">
              <w:t>working in confined spaces</w:t>
            </w:r>
          </w:p>
          <w:p w:rsidR="00000000" w:rsidRPr="007C2AB7" w:rsidP="007C2AB7">
            <w:pPr>
              <w:pStyle w:val="ListBullet2"/>
            </w:pPr>
            <w:r w:rsidRPr="007C2AB7">
              <w:t>working in proximity to others</w:t>
            </w:r>
          </w:p>
          <w:p w:rsidR="00000000" w:rsidRPr="007C2AB7" w:rsidP="007C2AB7">
            <w:pPr>
              <w:pStyle w:val="ListBullet"/>
            </w:pPr>
            <w:r w:rsidRPr="007C2AB7">
              <w:t>use of firefighting equipment</w:t>
            </w:r>
          </w:p>
          <w:p w:rsidR="00000000" w:rsidRPr="007C2AB7" w:rsidP="007C2AB7">
            <w:pPr>
              <w:pStyle w:val="ListBullet"/>
            </w:pPr>
            <w:r w:rsidRPr="007C2AB7">
              <w:t>use of tools and equipment</w:t>
            </w:r>
          </w:p>
          <w:p w:rsidR="00000000" w:rsidP="007C2AB7">
            <w:pPr>
              <w:pStyle w:val="ListBullet"/>
              <w:rPr>
                <w:lang w:val="en-NZ"/>
              </w:rPr>
            </w:pPr>
            <w:r w:rsidRPr="007C2AB7">
              <w:t>workplace environmental requirements and safety.</w:t>
            </w:r>
          </w:p>
        </w:tc>
      </w:tr>
      <w:tr w:rsidTr="00F063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BoldandItalics"/>
              </w:rPr>
              <w:t>Tools and equipment</w:t>
            </w:r>
            <w:r w:rsidRPr="007C2AB7">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7C2AB7" w:rsidP="007C2AB7">
            <w:pPr>
              <w:pStyle w:val="ListBullet"/>
            </w:pPr>
            <w:r w:rsidRPr="007C2AB7">
              <w:t>abrasive heads</w:t>
            </w:r>
          </w:p>
          <w:p w:rsidR="00000000" w:rsidRPr="007C2AB7" w:rsidP="007C2AB7">
            <w:pPr>
              <w:pStyle w:val="ListBullet"/>
            </w:pPr>
            <w:r w:rsidRPr="007C2AB7">
              <w:t>abrasive sheets</w:t>
            </w:r>
          </w:p>
          <w:p w:rsidR="00000000" w:rsidRPr="007C2AB7" w:rsidP="007C2AB7">
            <w:pPr>
              <w:pStyle w:val="ListBullet"/>
            </w:pPr>
            <w:r w:rsidRPr="007C2AB7">
              <w:t>dividers and calipers</w:t>
            </w:r>
          </w:p>
          <w:p w:rsidR="00000000" w:rsidRPr="007C2AB7" w:rsidP="007C2AB7">
            <w:pPr>
              <w:pStyle w:val="ListBullet"/>
            </w:pPr>
            <w:r w:rsidRPr="007C2AB7">
              <w:t>grinders</w:t>
            </w:r>
          </w:p>
          <w:p w:rsidR="00000000" w:rsidRPr="007C2AB7" w:rsidP="007C2AB7">
            <w:pPr>
              <w:pStyle w:val="ListBullet"/>
            </w:pPr>
            <w:r w:rsidRPr="007C2AB7">
              <w:t>measuring tapes and rules</w:t>
            </w:r>
          </w:p>
          <w:p w:rsidR="00000000" w:rsidRPr="007C2AB7" w:rsidP="007C2AB7">
            <w:pPr>
              <w:pStyle w:val="ListBullet"/>
            </w:pPr>
            <w:r w:rsidRPr="007C2AB7">
              <w:t>range of cutting chisels</w:t>
            </w:r>
          </w:p>
          <w:p w:rsidR="00000000" w:rsidRPr="007C2AB7" w:rsidP="007C2AB7">
            <w:pPr>
              <w:pStyle w:val="ListBullet"/>
            </w:pPr>
            <w:r w:rsidRPr="007C2AB7">
              <w:t>scribers</w:t>
            </w:r>
          </w:p>
          <w:p w:rsidR="00000000" w:rsidRPr="007C2AB7" w:rsidP="007C2AB7">
            <w:pPr>
              <w:pStyle w:val="ListBullet"/>
            </w:pPr>
            <w:r w:rsidRPr="007C2AB7">
              <w:t>spirit levels</w:t>
            </w:r>
          </w:p>
          <w:p w:rsidR="00000000" w:rsidRPr="007C2AB7" w:rsidP="007C2AB7">
            <w:pPr>
              <w:pStyle w:val="ListBullet"/>
            </w:pPr>
            <w:r w:rsidRPr="007C2AB7">
              <w:t>squares</w:t>
            </w:r>
          </w:p>
          <w:p w:rsidR="00000000" w:rsidP="007C2AB7">
            <w:pPr>
              <w:pStyle w:val="ListBullet"/>
              <w:rPr>
                <w:lang w:val="en-NZ"/>
              </w:rPr>
            </w:pPr>
            <w:r w:rsidRPr="007C2AB7">
              <w:t>straight edge.</w:t>
            </w:r>
          </w:p>
        </w:tc>
      </w:tr>
      <w:tr w:rsidTr="00F063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BoldandItalics"/>
              </w:rPr>
              <w:t>Quality requirements</w:t>
            </w:r>
            <w:r w:rsidRPr="007C2AB7">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7C2AB7" w:rsidP="007C2AB7">
            <w:pPr>
              <w:pStyle w:val="ListBullet"/>
            </w:pPr>
            <w:r w:rsidRPr="007C2AB7">
              <w:t>attention to specifications of work</w:t>
            </w:r>
          </w:p>
          <w:p w:rsidR="00000000" w:rsidRPr="007C2AB7" w:rsidP="007C2AB7">
            <w:pPr>
              <w:pStyle w:val="ListBullet"/>
            </w:pPr>
            <w:r w:rsidRPr="007C2AB7">
              <w:t>quality of materials</w:t>
            </w:r>
          </w:p>
          <w:p w:rsidR="00000000" w:rsidRPr="007C2AB7" w:rsidP="007C2AB7">
            <w:pPr>
              <w:pStyle w:val="ListBullet"/>
            </w:pPr>
            <w:r w:rsidRPr="007C2AB7">
              <w:t>relevant regulations, including:</w:t>
            </w:r>
          </w:p>
          <w:p w:rsidR="00000000" w:rsidRPr="007C2AB7" w:rsidP="007C2AB7">
            <w:pPr>
              <w:pStyle w:val="ListBullet2"/>
            </w:pPr>
            <w:r w:rsidRPr="007C2AB7">
              <w:t>Australian standards</w:t>
            </w:r>
          </w:p>
          <w:p w:rsidR="00000000" w:rsidRPr="007C2AB7" w:rsidP="007C2AB7">
            <w:pPr>
              <w:pStyle w:val="ListBullet2"/>
            </w:pPr>
            <w:r w:rsidRPr="007C2AB7">
              <w:t>internal company quality policy and standards</w:t>
            </w:r>
          </w:p>
          <w:p w:rsidR="00000000" w:rsidRPr="007C2AB7" w:rsidP="007C2AB7">
            <w:pPr>
              <w:pStyle w:val="ListBullet2"/>
            </w:pPr>
            <w:r w:rsidRPr="007C2AB7">
              <w:t>manufacturer specifications where specified</w:t>
            </w:r>
          </w:p>
          <w:p w:rsidR="00000000" w:rsidRPr="007C2AB7" w:rsidP="007C2AB7">
            <w:pPr>
              <w:pStyle w:val="ListBullet2"/>
            </w:pPr>
            <w:r w:rsidRPr="007C2AB7">
              <w:t>workplace operations and procedures</w:t>
            </w:r>
          </w:p>
          <w:p w:rsidR="00000000" w:rsidP="007C2AB7">
            <w:pPr>
              <w:pStyle w:val="ListBullet"/>
              <w:rPr>
                <w:lang w:val="en-NZ"/>
              </w:rPr>
            </w:pPr>
            <w:r w:rsidRPr="007C2AB7">
              <w:t>use and maintenance of machinery.</w:t>
            </w:r>
          </w:p>
        </w:tc>
      </w:tr>
      <w:tr w:rsidTr="00F063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BoldandItalics"/>
              </w:rPr>
              <w:t>Materials</w:t>
            </w:r>
            <w:r w:rsidRPr="007C2AB7">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7C2AB7" w:rsidP="007C2AB7">
            <w:pPr>
              <w:pStyle w:val="ListBullet"/>
            </w:pPr>
            <w:r w:rsidRPr="007C2AB7">
              <w:t>granite</w:t>
            </w:r>
          </w:p>
          <w:p w:rsidR="00000000" w:rsidRPr="007C2AB7" w:rsidP="007C2AB7">
            <w:pPr>
              <w:pStyle w:val="ListBullet"/>
            </w:pPr>
            <w:r w:rsidRPr="007C2AB7">
              <w:t>limestone</w:t>
            </w:r>
          </w:p>
          <w:p w:rsidR="00000000" w:rsidRPr="007C2AB7" w:rsidP="007C2AB7">
            <w:pPr>
              <w:pStyle w:val="ListBullet"/>
            </w:pPr>
            <w:r w:rsidRPr="007C2AB7">
              <w:t>marble</w:t>
            </w:r>
          </w:p>
          <w:p w:rsidR="00000000" w:rsidP="007C2AB7">
            <w:pPr>
              <w:pStyle w:val="ListBullet"/>
              <w:rPr>
                <w:lang w:val="en-NZ"/>
              </w:rPr>
            </w:pPr>
            <w:r w:rsidRPr="007C2AB7">
              <w:t>sandstone.</w:t>
            </w:r>
          </w:p>
        </w:tc>
      </w:tr>
      <w:tr w:rsidTr="00F063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BoldandItalics"/>
              </w:rPr>
              <w:t>Preparing</w:t>
            </w:r>
            <w:r w:rsidRPr="007C2AB7">
              <w:t xml:space="preserve"> stone for turning operations includes:</w:t>
            </w:r>
          </w:p>
        </w:tc>
        <w:tc>
          <w:tcPr>
            <w:tcW w:w="5041" w:type="dxa"/>
            <w:tcBorders>
              <w:top w:val="nil"/>
              <w:left w:val="nil"/>
              <w:bottom w:val="nil"/>
              <w:right w:val="nil"/>
            </w:tcBorders>
            <w:tcMar>
              <w:top w:w="0" w:type="dxa"/>
              <w:left w:w="62" w:type="dxa"/>
              <w:bottom w:w="0" w:type="dxa"/>
              <w:right w:w="62" w:type="dxa"/>
            </w:tcMar>
          </w:tcPr>
          <w:p w:rsidR="00000000" w:rsidRPr="007C2AB7" w:rsidP="007C2AB7">
            <w:pPr>
              <w:pStyle w:val="ListBullet"/>
            </w:pPr>
            <w:r w:rsidRPr="007C2AB7">
              <w:t>boring</w:t>
            </w:r>
          </w:p>
          <w:p w:rsidR="00000000" w:rsidRPr="007C2AB7" w:rsidP="007C2AB7">
            <w:pPr>
              <w:pStyle w:val="ListBullet"/>
            </w:pPr>
            <w:r w:rsidRPr="007C2AB7">
              <w:t>cutting</w:t>
            </w:r>
          </w:p>
          <w:p w:rsidR="00000000" w:rsidRPr="007C2AB7" w:rsidP="007C2AB7">
            <w:pPr>
              <w:pStyle w:val="ListBullet"/>
            </w:pPr>
            <w:r w:rsidRPr="007C2AB7">
              <w:t>dressing</w:t>
            </w:r>
          </w:p>
          <w:p w:rsidR="00000000" w:rsidRPr="007C2AB7" w:rsidP="007C2AB7">
            <w:pPr>
              <w:pStyle w:val="ListBullet"/>
            </w:pPr>
            <w:r w:rsidRPr="007C2AB7">
              <w:t>milling</w:t>
            </w:r>
          </w:p>
          <w:p w:rsidR="00000000" w:rsidP="007C2AB7">
            <w:pPr>
              <w:pStyle w:val="ListBullet"/>
              <w:rPr>
                <w:lang w:val="en-NZ"/>
              </w:rPr>
            </w:pPr>
            <w:r w:rsidRPr="007C2AB7">
              <w:t>shaping.</w:t>
            </w:r>
          </w:p>
        </w:tc>
      </w:tr>
      <w:tr w:rsidTr="00F063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BoldandItalics"/>
              </w:rPr>
              <w:t>Environmental requirements</w:t>
            </w:r>
            <w:r w:rsidRPr="007C2AB7">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7C2AB7" w:rsidP="007C2AB7">
            <w:pPr>
              <w:pStyle w:val="ListBullet"/>
            </w:pPr>
            <w:r w:rsidRPr="007C2AB7">
              <w:t>clean-up management</w:t>
            </w:r>
          </w:p>
          <w:p w:rsidR="00000000" w:rsidRPr="007C2AB7" w:rsidP="007C2AB7">
            <w:pPr>
              <w:pStyle w:val="ListBullet"/>
            </w:pPr>
            <w:r w:rsidRPr="007C2AB7">
              <w:t>dust and noise</w:t>
            </w:r>
          </w:p>
          <w:p w:rsidR="00000000" w:rsidRPr="007C2AB7" w:rsidP="007C2AB7">
            <w:pPr>
              <w:pStyle w:val="ListBullet"/>
            </w:pPr>
            <w:r w:rsidRPr="007C2AB7">
              <w:t>vibration</w:t>
            </w:r>
          </w:p>
          <w:p w:rsidR="00000000" w:rsidP="007C2AB7">
            <w:pPr>
              <w:pStyle w:val="ListBullet"/>
              <w:rPr>
                <w:lang w:val="en-NZ"/>
              </w:rPr>
            </w:pPr>
            <w:r w:rsidRPr="007C2AB7">
              <w:t>waste management.</w:t>
            </w:r>
          </w:p>
        </w:tc>
      </w:tr>
      <w:tr w:rsidTr="00F063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BoldandItalics"/>
              </w:rPr>
              <w:t>Statutory and regulatory authority</w:t>
            </w:r>
            <w:r w:rsidRPr="007C2AB7">
              <w:t xml:space="preserve"> includes:</w:t>
            </w:r>
          </w:p>
        </w:tc>
        <w:tc>
          <w:tcPr>
            <w:tcW w:w="5041" w:type="dxa"/>
            <w:tcBorders>
              <w:top w:val="nil"/>
              <w:left w:val="nil"/>
              <w:bottom w:val="nil"/>
              <w:right w:val="nil"/>
            </w:tcBorders>
            <w:tcMar>
              <w:top w:w="0" w:type="dxa"/>
              <w:left w:w="62" w:type="dxa"/>
              <w:bottom w:w="0" w:type="dxa"/>
              <w:right w:w="62" w:type="dxa"/>
            </w:tcMar>
          </w:tcPr>
          <w:p w:rsidR="00000000" w:rsidP="007C2AB7">
            <w:pPr>
              <w:pStyle w:val="ListBullet"/>
              <w:rPr>
                <w:lang w:val="en-NZ"/>
              </w:rPr>
            </w:pPr>
            <w:r w:rsidRPr="007C2AB7">
              <w:t>federal, state and local authorities administering applicable Acts, regulations and codes of practice.</w:t>
            </w:r>
          </w:p>
        </w:tc>
      </w:tr>
      <w:tr w:rsidTr="00F063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BoldandItalics"/>
              </w:rPr>
              <w:t>Template</w:t>
            </w:r>
            <w:r w:rsidRPr="007C2AB7">
              <w:t xml:space="preserve"> may be made of:</w:t>
            </w:r>
          </w:p>
        </w:tc>
        <w:tc>
          <w:tcPr>
            <w:tcW w:w="5041" w:type="dxa"/>
            <w:tcBorders>
              <w:top w:val="nil"/>
              <w:left w:val="nil"/>
              <w:bottom w:val="nil"/>
              <w:right w:val="nil"/>
            </w:tcBorders>
            <w:tcMar>
              <w:top w:w="0" w:type="dxa"/>
              <w:left w:w="62" w:type="dxa"/>
              <w:bottom w:w="0" w:type="dxa"/>
              <w:right w:w="62" w:type="dxa"/>
            </w:tcMar>
          </w:tcPr>
          <w:p w:rsidR="00000000" w:rsidRPr="007C2AB7" w:rsidP="007C2AB7">
            <w:pPr>
              <w:pStyle w:val="ListBullet"/>
            </w:pPr>
            <w:r w:rsidRPr="007C2AB7">
              <w:t>aluminium sheet</w:t>
            </w:r>
          </w:p>
          <w:p w:rsidR="00000000" w:rsidRPr="007C2AB7" w:rsidP="007C2AB7">
            <w:pPr>
              <w:pStyle w:val="ListBullet"/>
            </w:pPr>
            <w:r w:rsidRPr="007C2AB7">
              <w:t>cardboard</w:t>
            </w:r>
          </w:p>
          <w:p w:rsidR="00000000" w:rsidRPr="007C2AB7" w:rsidP="007C2AB7">
            <w:pPr>
              <w:pStyle w:val="ListBullet"/>
            </w:pPr>
            <w:r w:rsidRPr="007C2AB7">
              <w:t>plastic sheet</w:t>
            </w:r>
          </w:p>
          <w:p w:rsidR="00000000" w:rsidRPr="007C2AB7" w:rsidP="007C2AB7">
            <w:pPr>
              <w:pStyle w:val="ListBullet"/>
            </w:pPr>
            <w:r w:rsidRPr="007C2AB7">
              <w:t>plywood</w:t>
            </w:r>
          </w:p>
          <w:p w:rsidR="00000000" w:rsidP="007C2AB7">
            <w:pPr>
              <w:pStyle w:val="ListBullet"/>
              <w:rPr>
                <w:lang w:val="en-NZ"/>
              </w:rPr>
            </w:pPr>
            <w:r w:rsidRPr="007C2AB7">
              <w:t>zincalume sheet.</w:t>
            </w:r>
          </w:p>
        </w:tc>
      </w:tr>
      <w:tr w:rsidTr="00F0630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BoldandItalics"/>
              </w:rPr>
              <w:t>Operations</w:t>
            </w:r>
            <w:r w:rsidRPr="007C2AB7">
              <w:t xml:space="preserve"> with turning stone include:</w:t>
            </w:r>
          </w:p>
        </w:tc>
        <w:tc>
          <w:tcPr>
            <w:tcW w:w="5041" w:type="dxa"/>
            <w:tcBorders>
              <w:top w:val="nil"/>
              <w:left w:val="nil"/>
              <w:bottom w:val="nil"/>
              <w:right w:val="nil"/>
            </w:tcBorders>
            <w:tcMar>
              <w:top w:w="0" w:type="dxa"/>
              <w:left w:w="62" w:type="dxa"/>
              <w:bottom w:w="0" w:type="dxa"/>
              <w:right w:w="62" w:type="dxa"/>
            </w:tcMar>
          </w:tcPr>
          <w:p w:rsidR="00000000" w:rsidRPr="007C2AB7" w:rsidP="007C2AB7">
            <w:pPr>
              <w:pStyle w:val="ListBullet"/>
            </w:pPr>
            <w:r w:rsidRPr="007C2AB7">
              <w:t>boring</w:t>
            </w:r>
          </w:p>
          <w:p w:rsidR="00000000" w:rsidRPr="007C2AB7" w:rsidP="007C2AB7">
            <w:pPr>
              <w:pStyle w:val="ListBullet"/>
            </w:pPr>
            <w:r w:rsidRPr="007C2AB7">
              <w:t>cutting</w:t>
            </w:r>
          </w:p>
          <w:p w:rsidR="00000000" w:rsidRPr="007C2AB7" w:rsidP="007C2AB7">
            <w:pPr>
              <w:pStyle w:val="ListBullet"/>
            </w:pPr>
            <w:r w:rsidRPr="007C2AB7">
              <w:t>shaping to parallel</w:t>
            </w:r>
          </w:p>
          <w:p w:rsidR="00000000" w:rsidRPr="007C2AB7" w:rsidP="007C2AB7">
            <w:pPr>
              <w:pStyle w:val="ListBullet"/>
            </w:pPr>
            <w:r w:rsidRPr="007C2AB7">
              <w:t>shaping to taper</w:t>
            </w:r>
          </w:p>
          <w:p w:rsidR="00000000" w:rsidRPr="007C2AB7" w:rsidP="007C2AB7">
            <w:pPr>
              <w:pStyle w:val="ListBullet"/>
            </w:pPr>
            <w:r w:rsidRPr="007C2AB7">
              <w:t>shaping to template.</w:t>
            </w:r>
          </w:p>
        </w:tc>
      </w:tr>
    </w:tbl>
    <w:p w:rsidR="00F0630D" w:rsidP="007C2AB7">
      <w:pPr>
        <w:pStyle w:val="BodyText"/>
      </w:pPr>
    </w:p>
    <w:p w:rsidR="00F0630D" w:rsidP="007C2AB7">
      <w:pPr>
        <w:pStyle w:val="BodyText"/>
      </w:pPr>
    </w:p>
    <w:p w:rsidR="00000000" w:rsidRPr="007C2AB7" w:rsidP="007C2AB7">
      <w:pPr>
        <w:pStyle w:val="Heading1"/>
      </w:pPr>
      <w:bookmarkStart w:id="12" w:name="O_198842"/>
      <w:bookmarkEnd w:id="12"/>
      <w:r w:rsidRPr="007C2AB7">
        <w:t>Unit Sector(s)</w:t>
      </w:r>
    </w:p>
    <w:tbl>
      <w:tblPr>
        <w:tblW w:w="0" w:type="auto"/>
        <w:tblLayout w:type="fixed"/>
        <w:tblCellMar>
          <w:left w:w="62" w:type="dxa"/>
          <w:right w:w="62" w:type="dxa"/>
        </w:tblCellMar>
        <w:tblLook w:val="0000"/>
      </w:tblPr>
      <w:tblGrid>
        <w:gridCol w:w="2461"/>
        <w:gridCol w:w="6061"/>
      </w:tblGrid>
      <w:tr w:rsidTr="00F0630D">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7C2AB7" w:rsidP="007C2AB7">
            <w:pPr>
              <w:pStyle w:val="BodyText"/>
            </w:pPr>
            <w:r w:rsidRPr="007C2AB7">
              <w:t>Construction</w:t>
            </w:r>
          </w:p>
        </w:tc>
      </w:tr>
    </w:tbl>
    <w:p w:rsidR="00F0630D" w:rsidP="007C2AB7">
      <w:pPr>
        <w:pStyle w:val="BodyText"/>
      </w:pPr>
    </w:p>
    <w:p w:rsidR="00F0630D" w:rsidP="007C2AB7">
      <w:pPr>
        <w:pStyle w:val="BodyText"/>
      </w:pPr>
    </w:p>
    <w:p w:rsidR="00000000" w:rsidRPr="007C2AB7" w:rsidP="007C2AB7">
      <w:pPr>
        <w:pStyle w:val="Heading1"/>
      </w:pPr>
      <w:bookmarkStart w:id="13" w:name="O_198839"/>
      <w:bookmarkEnd w:id="13"/>
      <w:r w:rsidRPr="007C2AB7">
        <w:t>Co-requisite units</w:t>
      </w:r>
    </w:p>
    <w:tbl>
      <w:tblPr>
        <w:tblW w:w="0" w:type="auto"/>
        <w:tblLayout w:type="fixed"/>
        <w:tblCellMar>
          <w:left w:w="62" w:type="dxa"/>
          <w:right w:w="62" w:type="dxa"/>
        </w:tblCellMar>
        <w:tblLook w:val="0000"/>
      </w:tblPr>
      <w:tblGrid>
        <w:gridCol w:w="2473"/>
        <w:gridCol w:w="2126"/>
        <w:gridCol w:w="3923"/>
      </w:tblGrid>
      <w:tr w:rsidTr="00F0630D">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t>Nil</w:t>
            </w:r>
          </w:p>
        </w:tc>
      </w:tr>
      <w:tr w:rsidTr="00F0630D">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p>
        </w:tc>
      </w:tr>
      <w:tr w:rsidTr="00F0630D">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7C2AB7" w:rsidP="007C2AB7">
            <w:pPr>
              <w:pStyle w:val="BodyText"/>
            </w:pPr>
          </w:p>
        </w:tc>
      </w:tr>
    </w:tbl>
    <w:p w:rsidR="00F0630D" w:rsidP="007C2AB7">
      <w:pPr>
        <w:pStyle w:val="BodyText"/>
      </w:pPr>
    </w:p>
    <w:p w:rsidR="00F0630D" w:rsidP="007C2AB7">
      <w:pPr>
        <w:pStyle w:val="BodyText"/>
      </w:pPr>
    </w:p>
    <w:p w:rsidR="00000000" w:rsidRPr="007C2AB7" w:rsidP="007C2AB7">
      <w:pPr>
        <w:pStyle w:val="Heading1"/>
      </w:pPr>
      <w:bookmarkStart w:id="14" w:name="O_198841"/>
      <w:bookmarkEnd w:id="14"/>
      <w:r w:rsidRPr="007C2AB7">
        <w:t>Functional area</w:t>
      </w:r>
    </w:p>
    <w:tbl>
      <w:tblPr>
        <w:tblW w:w="0" w:type="auto"/>
        <w:tblLayout w:type="fixed"/>
        <w:tblCellMar>
          <w:left w:w="62" w:type="dxa"/>
          <w:right w:w="62" w:type="dxa"/>
        </w:tblCellMar>
        <w:tblLook w:val="0000"/>
      </w:tblPr>
      <w:tblGrid>
        <w:gridCol w:w="2562"/>
        <w:gridCol w:w="5960"/>
      </w:tblGrid>
      <w:tr w:rsidTr="00F0630D">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7C2AB7">
            <w:pPr>
              <w:pStyle w:val="BodyText"/>
              <w:rPr>
                <w:lang w:val="en-NZ"/>
              </w:rPr>
            </w:pPr>
            <w:r w:rsidRPr="007C2AB7">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7C2AB7" w:rsidP="007C2AB7">
            <w:pPr>
              <w:pStyle w:val="BodyText"/>
            </w:pPr>
          </w:p>
        </w:tc>
      </w:tr>
    </w:tbl>
    <w:p w:rsidR="00F0630D" w:rsidP="007C2AB7">
      <w:pPr>
        <w:pStyle w:val="BodyText"/>
      </w:pPr>
    </w:p>
    <w:p w:rsidR="00F0630D" w:rsidP="007C2AB7">
      <w:pPr>
        <w:pStyle w:val="BodyText"/>
      </w:pPr>
    </w:p>
    <w:p w:rsidR="00000000" w:rsidRPr="007C2AB7" w:rsidP="007C2AB7"/>
    <w:sectPr w:rsidSect="007C2A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30D" w:rsidP="00F06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30D" w:rsidP="007C2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0630D" w:rsidP="007C2A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0630D" w:rsidP="007C2A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30D" w:rsidP="00F063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30D" w:rsidP="007C2AB7">
    <w:pPr>
      <w:pStyle w:val="Header"/>
      <w:framePr w:wrap="around"/>
    </w:pPr>
    <w:r>
      <w:fldChar w:fldCharType="begin"/>
    </w:r>
    <w:r>
      <w:instrText xml:space="preserve"> TITLE   \* MERGEFORMAT </w:instrText>
    </w:r>
    <w:r>
      <w:fldChar w:fldCharType="separate"/>
    </w:r>
    <w:r>
      <w:t>CPCCST3007A Turn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630D" w:rsidP="007C2A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80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47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024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A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2AB7"/>
    <w:pPr>
      <w:spacing w:before="360" w:after="60"/>
      <w:outlineLvl w:val="0"/>
    </w:pPr>
    <w:rPr>
      <w:sz w:val="32"/>
    </w:rPr>
  </w:style>
  <w:style w:type="paragraph" w:styleId="Heading2">
    <w:name w:val="heading 2"/>
    <w:basedOn w:val="HeadingBase"/>
    <w:next w:val="BodyText"/>
    <w:link w:val="Heading2Char"/>
    <w:qFormat/>
    <w:rsid w:val="007C2AB7"/>
    <w:pPr>
      <w:keepLines/>
      <w:spacing w:before="240" w:after="120"/>
      <w:outlineLvl w:val="1"/>
    </w:pPr>
    <w:rPr>
      <w:sz w:val="28"/>
      <w:szCs w:val="40"/>
    </w:rPr>
  </w:style>
  <w:style w:type="paragraph" w:styleId="Heading3">
    <w:name w:val="heading 3"/>
    <w:basedOn w:val="HeadingBase"/>
    <w:next w:val="BodyText"/>
    <w:link w:val="Heading3Char"/>
    <w:qFormat/>
    <w:rsid w:val="007C2AB7"/>
    <w:pPr>
      <w:spacing w:before="180" w:after="120"/>
      <w:outlineLvl w:val="2"/>
    </w:pPr>
    <w:rPr>
      <w:spacing w:val="-10"/>
      <w:kern w:val="32"/>
    </w:rPr>
  </w:style>
  <w:style w:type="paragraph" w:styleId="Heading4">
    <w:name w:val="heading 4"/>
    <w:basedOn w:val="HeadingBase"/>
    <w:next w:val="BodyText"/>
    <w:link w:val="Heading4Char"/>
    <w:qFormat/>
    <w:rsid w:val="007C2AB7"/>
    <w:pPr>
      <w:spacing w:before="160" w:after="120"/>
      <w:outlineLvl w:val="3"/>
    </w:pPr>
    <w:rPr>
      <w:sz w:val="22"/>
    </w:rPr>
  </w:style>
  <w:style w:type="paragraph" w:styleId="Heading5">
    <w:name w:val="heading 5"/>
    <w:basedOn w:val="HeadingBase"/>
    <w:next w:val="Normal"/>
    <w:link w:val="Heading5Char"/>
    <w:qFormat/>
    <w:rsid w:val="007C2AB7"/>
    <w:pPr>
      <w:spacing w:before="80"/>
      <w:outlineLvl w:val="4"/>
    </w:pPr>
    <w:rPr>
      <w:color w:val="918585"/>
      <w:sz w:val="20"/>
    </w:rPr>
  </w:style>
  <w:style w:type="paragraph" w:styleId="Heading6">
    <w:name w:val="heading 6"/>
    <w:basedOn w:val="HeadingBase"/>
    <w:next w:val="Normal"/>
    <w:link w:val="Heading6Char"/>
    <w:qFormat/>
    <w:rsid w:val="007C2AB7"/>
    <w:pPr>
      <w:spacing w:before="60"/>
      <w:outlineLvl w:val="5"/>
    </w:pPr>
    <w:rPr>
      <w:color w:val="918585"/>
      <w:sz w:val="20"/>
    </w:rPr>
  </w:style>
  <w:style w:type="paragraph" w:styleId="Heading7">
    <w:name w:val="heading 7"/>
    <w:basedOn w:val="Normal"/>
    <w:next w:val="Normal"/>
    <w:link w:val="Heading7Char"/>
    <w:qFormat/>
    <w:rsid w:val="007C2AB7"/>
    <w:pPr>
      <w:ind w:left="720"/>
      <w:outlineLvl w:val="6"/>
    </w:pPr>
    <w:rPr>
      <w:i/>
    </w:rPr>
  </w:style>
  <w:style w:type="paragraph" w:styleId="Heading8">
    <w:name w:val="heading 8"/>
    <w:basedOn w:val="Normal"/>
    <w:next w:val="Normal"/>
    <w:link w:val="Heading8Char"/>
    <w:qFormat/>
    <w:rsid w:val="007C2AB7"/>
    <w:pPr>
      <w:ind w:left="720"/>
      <w:outlineLvl w:val="7"/>
    </w:pPr>
    <w:rPr>
      <w:i/>
    </w:rPr>
  </w:style>
  <w:style w:type="paragraph" w:styleId="Heading9">
    <w:name w:val="heading 9"/>
    <w:basedOn w:val="Normal"/>
    <w:next w:val="Normal"/>
    <w:link w:val="Heading9Char"/>
    <w:qFormat/>
    <w:rsid w:val="007C2AB7"/>
    <w:pPr>
      <w:ind w:left="720"/>
      <w:outlineLvl w:val="8"/>
    </w:pPr>
    <w:rPr>
      <w:i/>
    </w:rPr>
  </w:style>
  <w:style w:type="character" w:default="1" w:styleId="DefaultParagraphFont">
    <w:name w:val="Default Paragraph Font"/>
    <w:uiPriority w:val="1"/>
    <w:unhideWhenUsed/>
    <w:rsid w:val="007C2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AB7"/>
  </w:style>
  <w:style w:type="character" w:customStyle="1" w:styleId="Heading1Char">
    <w:name w:val="Heading 1 Char"/>
    <w:basedOn w:val="DefaultParagraphFont"/>
    <w:link w:val="Heading1"/>
    <w:rsid w:val="007C2AB7"/>
    <w:rPr>
      <w:rFonts w:ascii="Times New Roman" w:eastAsia="Times New Roman" w:hAnsi="Times New Roman" w:cs="Times New Roman"/>
      <w:b/>
      <w:sz w:val="32"/>
      <w:szCs w:val="20"/>
      <w:lang w:eastAsia="en-US"/>
    </w:rPr>
  </w:style>
  <w:style w:type="paragraph" w:styleId="BodyText">
    <w:name w:val="Body Text"/>
    <w:basedOn w:val="Normal"/>
    <w:link w:val="BodyTextChar"/>
    <w:rsid w:val="007C2A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AB7"/>
    <w:rPr>
      <w:rFonts w:ascii="Times New Roman" w:eastAsia="Times New Roman" w:hAnsi="Times New Roman" w:cs="Times New Roman"/>
      <w:sz w:val="24"/>
      <w:lang w:val="en-US" w:eastAsia="en-US"/>
    </w:rPr>
  </w:style>
  <w:style w:type="paragraph" w:styleId="Footer">
    <w:name w:val="footer"/>
    <w:basedOn w:val="Normal"/>
    <w:link w:val="FooterChar"/>
    <w:rsid w:val="007C2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AB7"/>
    <w:rPr>
      <w:rFonts w:ascii="Times New Roman" w:eastAsia="Times New Roman" w:hAnsi="Times New Roman" w:cs="Times New Roman"/>
      <w:sz w:val="16"/>
      <w:lang w:val="en-US" w:eastAsia="en-US"/>
    </w:rPr>
  </w:style>
  <w:style w:type="paragraph" w:styleId="List">
    <w:name w:val="List"/>
    <w:basedOn w:val="BodyText"/>
    <w:next w:val="BodyText"/>
    <w:rsid w:val="007C2AB7"/>
    <w:pPr>
      <w:tabs>
        <w:tab w:val="left" w:pos="340"/>
      </w:tabs>
      <w:spacing w:before="60" w:after="60"/>
      <w:ind w:left="340" w:hanging="340"/>
    </w:pPr>
  </w:style>
  <w:style w:type="paragraph" w:styleId="ListBullet">
    <w:name w:val="List Bullet"/>
    <w:basedOn w:val="List"/>
    <w:rsid w:val="007C2AB7"/>
    <w:pPr>
      <w:numPr>
        <w:numId w:val="13"/>
      </w:numPr>
      <w:tabs>
        <w:tab w:val="clear" w:pos="340"/>
      </w:tabs>
      <w:spacing w:before="40" w:after="40"/>
    </w:pPr>
  </w:style>
  <w:style w:type="character" w:customStyle="1" w:styleId="SpecialBold">
    <w:name w:val="Special Bold"/>
    <w:basedOn w:val="DefaultParagraphFont"/>
    <w:rsid w:val="007C2AB7"/>
    <w:rPr>
      <w:b/>
      <w:spacing w:val="0"/>
    </w:rPr>
  </w:style>
  <w:style w:type="paragraph" w:styleId="ListBullet2">
    <w:name w:val="List Bullet 2"/>
    <w:basedOn w:val="List2"/>
    <w:rsid w:val="007C2AB7"/>
    <w:pPr>
      <w:numPr>
        <w:numId w:val="14"/>
      </w:numPr>
      <w:tabs>
        <w:tab w:val="clear" w:pos="680"/>
      </w:tabs>
    </w:pPr>
  </w:style>
  <w:style w:type="paragraph" w:styleId="Header">
    <w:name w:val="header"/>
    <w:basedOn w:val="Normal"/>
    <w:link w:val="HeaderChar"/>
    <w:rsid w:val="007C2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A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2AB7"/>
    <w:pPr>
      <w:spacing w:before="240" w:after="120"/>
      <w:outlineLvl w:val="0"/>
    </w:pPr>
    <w:rPr>
      <w:rFonts w:ascii="Times New Roman" w:hAnsi="Times New Roman"/>
      <w:b/>
      <w:sz w:val="28"/>
    </w:rPr>
  </w:style>
  <w:style w:type="paragraph" w:customStyle="1" w:styleId="AllowPageBreak">
    <w:name w:val="AllowPageBreak"/>
    <w:rsid w:val="007C2A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2AB7"/>
    <w:pPr>
      <w:tabs>
        <w:tab w:val="left" w:pos="680"/>
      </w:tabs>
      <w:spacing w:before="60" w:after="60"/>
      <w:ind w:left="680" w:hanging="340"/>
    </w:pPr>
  </w:style>
  <w:style w:type="character" w:customStyle="1" w:styleId="BoldandItalics">
    <w:name w:val="Bold and Italics"/>
    <w:qFormat/>
    <w:rsid w:val="007C2AB7"/>
    <w:rPr>
      <w:b/>
      <w:i/>
      <w:u w:val="none"/>
    </w:rPr>
  </w:style>
  <w:style w:type="character" w:customStyle="1" w:styleId="Heading2Char">
    <w:name w:val="Heading 2 Char"/>
    <w:basedOn w:val="DefaultParagraphFont"/>
    <w:link w:val="Heading2"/>
    <w:rsid w:val="007C2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A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2A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2AB7"/>
    <w:rPr>
      <w:rFonts w:ascii="Courier New" w:eastAsia="Times New Roman" w:hAnsi="Courier New" w:cs="Times New Roman"/>
      <w:i/>
      <w:szCs w:val="20"/>
      <w:lang w:val="en-US" w:eastAsia="en-US"/>
    </w:rPr>
  </w:style>
  <w:style w:type="paragraph" w:customStyle="1" w:styleId="HeadingBase">
    <w:name w:val="Heading Base"/>
    <w:rsid w:val="007C2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AB7"/>
    <w:pPr>
      <w:tabs>
        <w:tab w:val="right" w:leader="dot" w:pos="9072"/>
      </w:tabs>
      <w:ind w:left="567"/>
    </w:pPr>
    <w:rPr>
      <w:szCs w:val="22"/>
    </w:rPr>
  </w:style>
  <w:style w:type="paragraph" w:customStyle="1" w:styleId="TOCBase">
    <w:name w:val="TOC Base"/>
    <w:rsid w:val="007C2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AB7"/>
    <w:pPr>
      <w:tabs>
        <w:tab w:val="right" w:leader="dot" w:pos="9072"/>
      </w:tabs>
      <w:spacing w:before="40" w:after="40"/>
      <w:ind w:left="284"/>
    </w:pPr>
    <w:rPr>
      <w:rFonts w:ascii="Times New Roman" w:hAnsi="Times New Roman"/>
    </w:rPr>
  </w:style>
  <w:style w:type="paragraph" w:styleId="TOC1">
    <w:name w:val="toc 1"/>
    <w:basedOn w:val="TOCBase"/>
    <w:next w:val="Normal"/>
    <w:rsid w:val="007C2A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2AB7"/>
    <w:pPr>
      <w:spacing w:before="5040"/>
      <w:jc w:val="center"/>
    </w:pPr>
    <w:rPr>
      <w:sz w:val="48"/>
      <w:szCs w:val="72"/>
      <w:lang w:val="en-US"/>
    </w:rPr>
  </w:style>
  <w:style w:type="character" w:customStyle="1" w:styleId="TitleChar">
    <w:name w:val="Title Char"/>
    <w:basedOn w:val="DefaultParagraphFont"/>
    <w:link w:val="Title"/>
    <w:rsid w:val="007C2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AB7"/>
    <w:pPr>
      <w:tabs>
        <w:tab w:val="left" w:pos="3600"/>
        <w:tab w:val="left" w:pos="3958"/>
      </w:tabs>
    </w:pPr>
  </w:style>
  <w:style w:type="paragraph" w:customStyle="1" w:styleId="Note">
    <w:name w:val="Note"/>
    <w:basedOn w:val="BodyText"/>
    <w:rsid w:val="007C2A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AB7"/>
    <w:pPr>
      <w:framePr w:wrap="auto" w:hAnchor="text" w:y="6049"/>
    </w:pPr>
    <w:rPr>
      <w:color w:val="000000"/>
      <w:sz w:val="40"/>
    </w:rPr>
  </w:style>
  <w:style w:type="paragraph" w:customStyle="1" w:styleId="TOCTitle">
    <w:name w:val="TOCTitle"/>
    <w:basedOn w:val="Heading1"/>
    <w:rsid w:val="007C2AB7"/>
    <w:pPr>
      <w:spacing w:after="240"/>
      <w:jc w:val="center"/>
      <w:outlineLvl w:val="9"/>
    </w:pPr>
    <w:rPr>
      <w:caps/>
    </w:rPr>
  </w:style>
  <w:style w:type="paragraph" w:customStyle="1" w:styleId="Version">
    <w:name w:val="Version"/>
    <w:rsid w:val="007C2A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AB7"/>
    <w:pPr>
      <w:keepNext w:val="0"/>
      <w:tabs>
        <w:tab w:val="right" w:pos="4176"/>
      </w:tabs>
      <w:ind w:left="198" w:hanging="198"/>
    </w:pPr>
    <w:rPr>
      <w:rFonts w:ascii="Garamond" w:hAnsi="Garamond"/>
    </w:rPr>
  </w:style>
  <w:style w:type="paragraph" w:styleId="IndexHeading">
    <w:name w:val="index heading"/>
    <w:basedOn w:val="Normal"/>
    <w:next w:val="Index1"/>
    <w:semiHidden/>
    <w:rsid w:val="007C2AB7"/>
    <w:pPr>
      <w:spacing w:before="120" w:after="120"/>
    </w:pPr>
    <w:rPr>
      <w:rFonts w:ascii="Arial" w:hAnsi="Arial"/>
      <w:b/>
      <w:color w:val="918585"/>
      <w:sz w:val="24"/>
    </w:rPr>
  </w:style>
  <w:style w:type="paragraph" w:customStyle="1" w:styleId="Chapter">
    <w:name w:val="Chapter"/>
    <w:basedOn w:val="Normal"/>
    <w:rsid w:val="007C2AB7"/>
    <w:pPr>
      <w:spacing w:before="240"/>
    </w:pPr>
    <w:rPr>
      <w:rFonts w:ascii="Times New Roman" w:hAnsi="Times New Roman"/>
      <w:smallCaps/>
      <w:spacing w:val="80"/>
      <w:sz w:val="28"/>
    </w:rPr>
  </w:style>
  <w:style w:type="paragraph" w:customStyle="1" w:styleId="InChapter">
    <w:name w:val="InChapter"/>
    <w:basedOn w:val="Heading3"/>
    <w:rsid w:val="007C2AB7"/>
    <w:pPr>
      <w:spacing w:after="240"/>
      <w:outlineLvl w:val="9"/>
    </w:pPr>
    <w:rPr>
      <w:noProof/>
    </w:rPr>
  </w:style>
  <w:style w:type="paragraph" w:styleId="Index2">
    <w:name w:val="index 2"/>
    <w:basedOn w:val="Normal"/>
    <w:next w:val="Normal"/>
    <w:semiHidden/>
    <w:rsid w:val="007C2AB7"/>
    <w:pPr>
      <w:tabs>
        <w:tab w:val="right" w:pos="4176"/>
      </w:tabs>
      <w:ind w:left="568" w:hanging="284"/>
    </w:pPr>
    <w:rPr>
      <w:rFonts w:ascii="Garamond" w:hAnsi="Garamond"/>
    </w:rPr>
  </w:style>
  <w:style w:type="paragraph" w:customStyle="1" w:styleId="Byline">
    <w:name w:val="Byline"/>
    <w:rsid w:val="007C2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AB7"/>
    <w:pPr>
      <w:tabs>
        <w:tab w:val="clear" w:pos="3600"/>
        <w:tab w:val="clear" w:pos="3958"/>
      </w:tabs>
      <w:jc w:val="right"/>
    </w:pPr>
  </w:style>
  <w:style w:type="character" w:styleId="Emphasis">
    <w:name w:val="Emphasis"/>
    <w:basedOn w:val="DefaultParagraphFont"/>
    <w:qFormat/>
    <w:rsid w:val="007C2AB7"/>
    <w:rPr>
      <w:i/>
    </w:rPr>
  </w:style>
  <w:style w:type="paragraph" w:styleId="Caption">
    <w:name w:val="caption"/>
    <w:basedOn w:val="BodyText"/>
    <w:next w:val="Normal"/>
    <w:qFormat/>
    <w:rsid w:val="007C2AB7"/>
    <w:pPr>
      <w:framePr w:w="2268" w:hSpace="181" w:vSpace="181" w:wrap="around" w:vAnchor="text" w:hAnchor="page" w:x="1135" w:y="285" w:anchorLock="1"/>
    </w:pPr>
    <w:rPr>
      <w:i/>
    </w:rPr>
  </w:style>
  <w:style w:type="paragraph" w:customStyle="1" w:styleId="MiniTOCTitle">
    <w:name w:val="MiniTOCTitle"/>
    <w:basedOn w:val="Heading4"/>
    <w:rsid w:val="007C2AB7"/>
    <w:pPr>
      <w:spacing w:before="240"/>
      <w:outlineLvl w:val="9"/>
    </w:pPr>
    <w:rPr>
      <w:noProof/>
      <w:sz w:val="24"/>
    </w:rPr>
  </w:style>
  <w:style w:type="paragraph" w:customStyle="1" w:styleId="MiniTOCItem">
    <w:name w:val="MiniTOCItem"/>
    <w:basedOn w:val="ListBullet"/>
    <w:rsid w:val="007C2AB7"/>
    <w:pPr>
      <w:numPr>
        <w:numId w:val="0"/>
      </w:numPr>
      <w:tabs>
        <w:tab w:val="right" w:leader="dot" w:pos="6521"/>
      </w:tabs>
      <w:spacing w:before="0" w:after="0"/>
    </w:pPr>
  </w:style>
  <w:style w:type="paragraph" w:customStyle="1" w:styleId="TOFTitle">
    <w:name w:val="TOFTitle"/>
    <w:basedOn w:val="TOCTitle"/>
    <w:rsid w:val="007C2AB7"/>
  </w:style>
  <w:style w:type="paragraph" w:styleId="TableofFigures">
    <w:name w:val="table of figures"/>
    <w:basedOn w:val="Normal"/>
    <w:next w:val="Normal"/>
    <w:semiHidden/>
    <w:rsid w:val="007C2AB7"/>
    <w:pPr>
      <w:tabs>
        <w:tab w:val="right" w:leader="dot" w:pos="9072"/>
      </w:tabs>
      <w:ind w:left="970" w:hanging="403"/>
    </w:pPr>
    <w:rPr>
      <w:rFonts w:ascii="Times New Roman" w:hAnsi="Times New Roman"/>
      <w:b/>
    </w:rPr>
  </w:style>
  <w:style w:type="paragraph" w:styleId="ListNumber">
    <w:name w:val="List Number"/>
    <w:basedOn w:val="List"/>
    <w:rsid w:val="007C2AB7"/>
    <w:pPr>
      <w:numPr>
        <w:numId w:val="11"/>
      </w:numPr>
    </w:pPr>
  </w:style>
  <w:style w:type="character" w:customStyle="1" w:styleId="WingdingSymbols">
    <w:name w:val="Wingding Symbols"/>
    <w:rsid w:val="007C2AB7"/>
    <w:rPr>
      <w:rFonts w:ascii="Wingdings" w:hAnsi="Wingdings"/>
    </w:rPr>
  </w:style>
  <w:style w:type="paragraph" w:customStyle="1" w:styleId="TableHeading">
    <w:name w:val="Table Heading"/>
    <w:basedOn w:val="HeadingBase"/>
    <w:rsid w:val="007C2AB7"/>
    <w:pPr>
      <w:keepLines/>
      <w:pBdr>
        <w:bottom w:val="single" w:sz="6" w:space="1" w:color="918585"/>
      </w:pBdr>
      <w:spacing w:before="240"/>
    </w:pPr>
  </w:style>
  <w:style w:type="character" w:customStyle="1" w:styleId="HotSpot">
    <w:name w:val="HotSpot"/>
    <w:rsid w:val="007C2AB7"/>
    <w:rPr>
      <w:color w:val="0033CC"/>
      <w:u w:val="none"/>
    </w:rPr>
  </w:style>
  <w:style w:type="paragraph" w:customStyle="1" w:styleId="BodyTextRight">
    <w:name w:val="Body Text Right"/>
    <w:basedOn w:val="BodyText"/>
    <w:rsid w:val="007C2AB7"/>
    <w:pPr>
      <w:spacing w:before="0" w:after="0"/>
      <w:jc w:val="right"/>
    </w:pPr>
  </w:style>
  <w:style w:type="paragraph" w:styleId="Index3">
    <w:name w:val="index 3"/>
    <w:basedOn w:val="ListNumber2"/>
    <w:next w:val="Normal"/>
    <w:semiHidden/>
    <w:rsid w:val="007C2AB7"/>
    <w:pPr>
      <w:numPr>
        <w:numId w:val="0"/>
      </w:numPr>
      <w:tabs>
        <w:tab w:val="right" w:leader="dot" w:pos="4176"/>
      </w:tabs>
    </w:pPr>
  </w:style>
  <w:style w:type="paragraph" w:styleId="ListNumber2">
    <w:name w:val="List Number 2"/>
    <w:basedOn w:val="List2"/>
    <w:rsid w:val="007C2AB7"/>
    <w:pPr>
      <w:numPr>
        <w:numId w:val="10"/>
      </w:numPr>
      <w:tabs>
        <w:tab w:val="clear" w:pos="1060"/>
      </w:tabs>
    </w:pPr>
  </w:style>
  <w:style w:type="paragraph" w:customStyle="1" w:styleId="MarginNote">
    <w:name w:val="Margin Note"/>
    <w:basedOn w:val="BodyText"/>
    <w:rsid w:val="007C2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A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2AB7"/>
    <w:rPr>
      <w:sz w:val="32"/>
    </w:rPr>
  </w:style>
  <w:style w:type="paragraph" w:customStyle="1" w:styleId="HeadingProcedure">
    <w:name w:val="Heading Procedure"/>
    <w:basedOn w:val="HeadingBase"/>
    <w:next w:val="Normal"/>
    <w:rsid w:val="007C2AB7"/>
    <w:pPr>
      <w:tabs>
        <w:tab w:val="left" w:pos="0"/>
      </w:tabs>
      <w:spacing w:before="120" w:after="60"/>
    </w:pPr>
    <w:rPr>
      <w:i/>
      <w:color w:val="918585"/>
      <w:sz w:val="22"/>
    </w:rPr>
  </w:style>
  <w:style w:type="paragraph" w:customStyle="1" w:styleId="TableBodyText">
    <w:name w:val="Table Body Text"/>
    <w:basedOn w:val="BodyText"/>
    <w:rsid w:val="007C2AB7"/>
    <w:pPr>
      <w:spacing w:before="60" w:after="60"/>
    </w:pPr>
  </w:style>
  <w:style w:type="paragraph" w:styleId="ListContinue">
    <w:name w:val="List Continue"/>
    <w:basedOn w:val="List"/>
    <w:rsid w:val="007C2AB7"/>
    <w:pPr>
      <w:ind w:firstLine="0"/>
    </w:pPr>
  </w:style>
  <w:style w:type="paragraph" w:customStyle="1" w:styleId="ListNote">
    <w:name w:val="List Note"/>
    <w:basedOn w:val="List"/>
    <w:rsid w:val="007C2AB7"/>
    <w:pPr>
      <w:pBdr>
        <w:top w:val="single" w:sz="6" w:space="2" w:color="918585"/>
        <w:bottom w:val="single" w:sz="6" w:space="2" w:color="918585"/>
      </w:pBdr>
      <w:tabs>
        <w:tab w:val="left" w:pos="1021"/>
      </w:tabs>
      <w:ind w:firstLine="0"/>
    </w:pPr>
  </w:style>
  <w:style w:type="paragraph" w:customStyle="1" w:styleId="Warning">
    <w:name w:val="Warning"/>
    <w:basedOn w:val="BodyText"/>
    <w:rsid w:val="007C2AB7"/>
    <w:pPr>
      <w:shd w:val="clear" w:color="auto" w:fill="D9D9D9"/>
      <w:tabs>
        <w:tab w:val="left" w:pos="992"/>
      </w:tabs>
      <w:ind w:left="119" w:right="119"/>
    </w:pPr>
    <w:rPr>
      <w:sz w:val="20"/>
    </w:rPr>
  </w:style>
  <w:style w:type="paragraph" w:customStyle="1" w:styleId="MarginIcons">
    <w:name w:val="Margin Icons"/>
    <w:basedOn w:val="BodyText"/>
    <w:rsid w:val="007C2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AB7"/>
    <w:rPr>
      <w:rFonts w:ascii="Courier New" w:hAnsi="Courier New"/>
    </w:rPr>
  </w:style>
  <w:style w:type="paragraph" w:customStyle="1" w:styleId="NoteBullet">
    <w:name w:val="Note Bullet"/>
    <w:basedOn w:val="Note"/>
    <w:rsid w:val="007C2AB7"/>
    <w:pPr>
      <w:tabs>
        <w:tab w:val="clear" w:pos="680"/>
      </w:tabs>
      <w:spacing w:before="60" w:after="60"/>
    </w:pPr>
  </w:style>
  <w:style w:type="paragraph" w:customStyle="1" w:styleId="SubHeading2">
    <w:name w:val="SubHeading2"/>
    <w:basedOn w:val="HeadingBase"/>
    <w:rsid w:val="007C2AB7"/>
    <w:pPr>
      <w:spacing w:before="240" w:after="60"/>
    </w:pPr>
    <w:rPr>
      <w:sz w:val="20"/>
    </w:rPr>
  </w:style>
  <w:style w:type="paragraph" w:customStyle="1" w:styleId="SubHeading1">
    <w:name w:val="SubHeading1"/>
    <w:basedOn w:val="HeadingBase"/>
    <w:rsid w:val="007C2AB7"/>
    <w:pPr>
      <w:spacing w:before="240" w:after="60"/>
    </w:pPr>
    <w:rPr>
      <w:color w:val="918585"/>
      <w:sz w:val="22"/>
    </w:rPr>
  </w:style>
  <w:style w:type="paragraph" w:customStyle="1" w:styleId="SideHeading">
    <w:name w:val="Side Heading"/>
    <w:basedOn w:val="HeadingBase"/>
    <w:rsid w:val="007C2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AB7"/>
    <w:pPr>
      <w:numPr>
        <w:numId w:val="12"/>
      </w:numPr>
    </w:pPr>
  </w:style>
  <w:style w:type="paragraph" w:styleId="PlainText">
    <w:name w:val="Plain Text"/>
    <w:basedOn w:val="Normal"/>
    <w:link w:val="PlainTextChar"/>
    <w:rsid w:val="007C2AB7"/>
    <w:rPr>
      <w:sz w:val="20"/>
    </w:rPr>
  </w:style>
  <w:style w:type="character" w:customStyle="1" w:styleId="PlainTextChar">
    <w:name w:val="Plain Text Char"/>
    <w:basedOn w:val="DefaultParagraphFont"/>
    <w:link w:val="PlainText"/>
    <w:rsid w:val="007C2A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2AB7"/>
    <w:rPr>
      <w:b/>
      <w:smallCaps/>
    </w:rPr>
  </w:style>
  <w:style w:type="paragraph" w:customStyle="1" w:styleId="TableListNumber">
    <w:name w:val="Table List Number"/>
    <w:basedOn w:val="ListNumber"/>
    <w:rsid w:val="007C2AB7"/>
    <w:pPr>
      <w:numPr>
        <w:numId w:val="0"/>
      </w:numPr>
    </w:pPr>
  </w:style>
  <w:style w:type="paragraph" w:styleId="TOC4">
    <w:name w:val="toc 4"/>
    <w:basedOn w:val="TOCBase"/>
    <w:next w:val="Normal"/>
    <w:semiHidden/>
    <w:rsid w:val="007C2AB7"/>
    <w:pPr>
      <w:tabs>
        <w:tab w:val="right" w:leader="dot" w:pos="9071"/>
      </w:tabs>
      <w:ind w:left="1701"/>
    </w:pPr>
  </w:style>
  <w:style w:type="paragraph" w:customStyle="1" w:styleId="ListAlpha">
    <w:name w:val="List Alpha"/>
    <w:basedOn w:val="List"/>
    <w:rsid w:val="007C2AB7"/>
    <w:pPr>
      <w:numPr>
        <w:numId w:val="9"/>
      </w:numPr>
    </w:pPr>
  </w:style>
  <w:style w:type="paragraph" w:customStyle="1" w:styleId="ListAlpha2">
    <w:name w:val="List Alpha 2"/>
    <w:basedOn w:val="List2"/>
    <w:rsid w:val="007C2AB7"/>
    <w:pPr>
      <w:numPr>
        <w:numId w:val="8"/>
      </w:numPr>
    </w:pPr>
  </w:style>
  <w:style w:type="paragraph" w:styleId="List3">
    <w:name w:val="List 3"/>
    <w:basedOn w:val="BodyText"/>
    <w:rsid w:val="007C2AB7"/>
    <w:pPr>
      <w:tabs>
        <w:tab w:val="left" w:pos="1021"/>
      </w:tabs>
      <w:spacing w:before="60" w:after="60"/>
      <w:ind w:left="1020" w:hanging="340"/>
    </w:pPr>
  </w:style>
  <w:style w:type="paragraph" w:styleId="List4">
    <w:name w:val="List 4"/>
    <w:basedOn w:val="BodyText"/>
    <w:rsid w:val="007C2AB7"/>
    <w:pPr>
      <w:tabs>
        <w:tab w:val="left" w:pos="1361"/>
      </w:tabs>
      <w:spacing w:before="60" w:after="60"/>
      <w:ind w:left="1361" w:hanging="340"/>
    </w:pPr>
  </w:style>
  <w:style w:type="paragraph" w:styleId="List5">
    <w:name w:val="List 5"/>
    <w:basedOn w:val="BodyText"/>
    <w:rsid w:val="007C2AB7"/>
    <w:pPr>
      <w:tabs>
        <w:tab w:val="left" w:pos="1701"/>
      </w:tabs>
      <w:spacing w:before="60" w:after="60"/>
      <w:ind w:left="1701" w:hanging="340"/>
    </w:pPr>
  </w:style>
  <w:style w:type="paragraph" w:styleId="ListBullet3">
    <w:name w:val="List Bullet 3"/>
    <w:basedOn w:val="List3"/>
    <w:rsid w:val="007C2AB7"/>
    <w:pPr>
      <w:numPr>
        <w:numId w:val="15"/>
      </w:numPr>
      <w:tabs>
        <w:tab w:val="clear" w:pos="1021"/>
      </w:tabs>
      <w:ind w:left="1037" w:hanging="357"/>
    </w:pPr>
  </w:style>
  <w:style w:type="paragraph" w:styleId="ListBullet4">
    <w:name w:val="List Bullet 4"/>
    <w:basedOn w:val="List4"/>
    <w:rsid w:val="007C2AB7"/>
    <w:pPr>
      <w:numPr>
        <w:numId w:val="3"/>
      </w:numPr>
    </w:pPr>
  </w:style>
  <w:style w:type="paragraph" w:styleId="ListBullet5">
    <w:name w:val="List Bullet 5"/>
    <w:basedOn w:val="List5"/>
    <w:rsid w:val="007C2AB7"/>
    <w:pPr>
      <w:numPr>
        <w:numId w:val="4"/>
      </w:numPr>
    </w:pPr>
  </w:style>
  <w:style w:type="paragraph" w:styleId="ListContinue2">
    <w:name w:val="List Continue 2"/>
    <w:basedOn w:val="List2"/>
    <w:rsid w:val="007C2AB7"/>
    <w:pPr>
      <w:ind w:firstLine="0"/>
    </w:pPr>
  </w:style>
  <w:style w:type="paragraph" w:styleId="ListContinue3">
    <w:name w:val="List Continue 3"/>
    <w:basedOn w:val="List3"/>
    <w:rsid w:val="007C2AB7"/>
    <w:pPr>
      <w:ind w:left="1021" w:firstLine="0"/>
    </w:pPr>
  </w:style>
  <w:style w:type="paragraph" w:styleId="ListContinue4">
    <w:name w:val="List Continue 4"/>
    <w:basedOn w:val="List4"/>
    <w:rsid w:val="007C2AB7"/>
    <w:pPr>
      <w:ind w:firstLine="0"/>
    </w:pPr>
  </w:style>
  <w:style w:type="paragraph" w:styleId="ListContinue5">
    <w:name w:val="List Continue 5"/>
    <w:basedOn w:val="List5"/>
    <w:rsid w:val="007C2AB7"/>
    <w:pPr>
      <w:ind w:firstLine="0"/>
    </w:pPr>
  </w:style>
  <w:style w:type="paragraph" w:styleId="ListNumber3">
    <w:name w:val="List Number 3"/>
    <w:basedOn w:val="List3"/>
    <w:rsid w:val="007C2AB7"/>
    <w:pPr>
      <w:numPr>
        <w:numId w:val="5"/>
      </w:numPr>
    </w:pPr>
  </w:style>
  <w:style w:type="paragraph" w:styleId="ListNumber4">
    <w:name w:val="List Number 4"/>
    <w:basedOn w:val="List4"/>
    <w:rsid w:val="007C2AB7"/>
    <w:pPr>
      <w:numPr>
        <w:numId w:val="6"/>
      </w:numPr>
    </w:pPr>
  </w:style>
  <w:style w:type="paragraph" w:styleId="ListNumber5">
    <w:name w:val="List Number 5"/>
    <w:basedOn w:val="List5"/>
    <w:rsid w:val="007C2AB7"/>
    <w:pPr>
      <w:numPr>
        <w:numId w:val="7"/>
      </w:numPr>
    </w:pPr>
  </w:style>
  <w:style w:type="paragraph" w:styleId="BlockText">
    <w:name w:val="Block Text"/>
    <w:basedOn w:val="Normal"/>
    <w:rsid w:val="007C2AB7"/>
    <w:pPr>
      <w:spacing w:after="120"/>
      <w:ind w:left="1440" w:right="1440"/>
    </w:pPr>
  </w:style>
  <w:style w:type="character" w:customStyle="1" w:styleId="Subscript">
    <w:name w:val="Subscript"/>
    <w:basedOn w:val="DefaultParagraphFont"/>
    <w:rsid w:val="007C2AB7"/>
    <w:rPr>
      <w:sz w:val="16"/>
      <w:vertAlign w:val="subscript"/>
    </w:rPr>
  </w:style>
  <w:style w:type="character" w:customStyle="1" w:styleId="Superscript">
    <w:name w:val="Superscript"/>
    <w:basedOn w:val="DefaultParagraphFont"/>
    <w:rsid w:val="007C2AB7"/>
    <w:rPr>
      <w:sz w:val="16"/>
      <w:vertAlign w:val="superscript"/>
    </w:rPr>
  </w:style>
  <w:style w:type="character" w:customStyle="1" w:styleId="Symbols">
    <w:name w:val="Symbols"/>
    <w:basedOn w:val="DefaultParagraphFont"/>
    <w:rsid w:val="007C2AB7"/>
    <w:rPr>
      <w:rFonts w:ascii="Symbol" w:hAnsi="Symbol"/>
    </w:rPr>
  </w:style>
  <w:style w:type="character" w:customStyle="1" w:styleId="MenuOptions">
    <w:name w:val="Menu Options"/>
    <w:basedOn w:val="DefaultParagraphFont"/>
    <w:rsid w:val="007C2AB7"/>
    <w:rPr>
      <w:rFonts w:ascii="Arial Narrow" w:hAnsi="Arial Narrow"/>
      <w:smallCaps/>
    </w:rPr>
  </w:style>
  <w:style w:type="character" w:customStyle="1" w:styleId="Buttons">
    <w:name w:val="Buttons"/>
    <w:basedOn w:val="DefaultParagraphFont"/>
    <w:rsid w:val="007C2AB7"/>
    <w:rPr>
      <w:b/>
    </w:rPr>
  </w:style>
  <w:style w:type="character" w:customStyle="1" w:styleId="Underlined">
    <w:name w:val="Underlined"/>
    <w:basedOn w:val="DefaultParagraphFont"/>
    <w:rsid w:val="007C2AB7"/>
    <w:rPr>
      <w:u w:val="single"/>
    </w:rPr>
  </w:style>
  <w:style w:type="paragraph" w:customStyle="1" w:styleId="TableBodyTextRight">
    <w:name w:val="Table Body Text Right"/>
    <w:basedOn w:val="TableBodyText"/>
    <w:rsid w:val="007C2AB7"/>
    <w:pPr>
      <w:widowControl w:val="0"/>
      <w:autoSpaceDE w:val="0"/>
      <w:autoSpaceDN w:val="0"/>
      <w:adjustRightInd w:val="0"/>
      <w:jc w:val="right"/>
    </w:pPr>
    <w:rPr>
      <w:rFonts w:cs="Arial"/>
      <w:szCs w:val="18"/>
    </w:rPr>
  </w:style>
  <w:style w:type="paragraph" w:customStyle="1" w:styleId="CopyrightText">
    <w:name w:val="Copyright Text"/>
    <w:basedOn w:val="BodyText"/>
    <w:rsid w:val="007C2AB7"/>
    <w:rPr>
      <w:sz w:val="18"/>
    </w:rPr>
  </w:style>
  <w:style w:type="paragraph" w:customStyle="1" w:styleId="BodySmallRight">
    <w:name w:val="Body Small Right"/>
    <w:basedOn w:val="BodyTextRight"/>
    <w:rsid w:val="007C2AB7"/>
    <w:rPr>
      <w:sz w:val="18"/>
      <w:szCs w:val="18"/>
    </w:rPr>
  </w:style>
  <w:style w:type="paragraph" w:customStyle="1" w:styleId="MarginEdition">
    <w:name w:val="Margin Edition"/>
    <w:basedOn w:val="MarginNote"/>
    <w:rsid w:val="007C2AB7"/>
    <w:pPr>
      <w:spacing w:before="0" w:after="0"/>
    </w:pPr>
    <w:rPr>
      <w:rFonts w:ascii="Times New Roman" w:hAnsi="Times New Roman"/>
      <w:color w:val="999999"/>
    </w:rPr>
  </w:style>
  <w:style w:type="paragraph" w:customStyle="1" w:styleId="Spacer">
    <w:name w:val="Spacer"/>
    <w:basedOn w:val="Normal"/>
    <w:rsid w:val="007C2AB7"/>
    <w:rPr>
      <w:sz w:val="2"/>
      <w:szCs w:val="2"/>
    </w:rPr>
  </w:style>
  <w:style w:type="character" w:customStyle="1" w:styleId="Small">
    <w:name w:val="Small"/>
    <w:basedOn w:val="DefaultParagraphFont"/>
    <w:rsid w:val="007C2AB7"/>
    <w:rPr>
      <w:sz w:val="16"/>
    </w:rPr>
  </w:style>
  <w:style w:type="paragraph" w:customStyle="1" w:styleId="WideTable">
    <w:name w:val="Wide Table"/>
    <w:basedOn w:val="Normal"/>
    <w:rsid w:val="007C2AB7"/>
    <w:pPr>
      <w:ind w:left="-1418"/>
    </w:pPr>
    <w:rPr>
      <w:sz w:val="2"/>
      <w:szCs w:val="2"/>
    </w:rPr>
  </w:style>
  <w:style w:type="character" w:styleId="PageNumber">
    <w:name w:val="page number"/>
    <w:basedOn w:val="DefaultParagraphFont"/>
    <w:rsid w:val="007C2AB7"/>
  </w:style>
  <w:style w:type="paragraph" w:styleId="Quote">
    <w:name w:val="Quote"/>
    <w:basedOn w:val="Heading1"/>
    <w:link w:val="QuoteChar"/>
    <w:qFormat/>
    <w:rsid w:val="007C2AB7"/>
    <w:rPr>
      <w:b w:val="0"/>
      <w:sz w:val="72"/>
      <w:szCs w:val="72"/>
      <w:lang w:val="en-NZ"/>
    </w:rPr>
  </w:style>
  <w:style w:type="character" w:customStyle="1" w:styleId="QuoteChar">
    <w:name w:val="Quote Char"/>
    <w:basedOn w:val="DefaultParagraphFont"/>
    <w:link w:val="Quote"/>
    <w:rsid w:val="007C2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AB7"/>
    <w:pPr>
      <w:pageBreakBefore/>
    </w:pPr>
  </w:style>
  <w:style w:type="paragraph" w:customStyle="1" w:styleId="Border">
    <w:name w:val="Border"/>
    <w:basedOn w:val="Normal"/>
    <w:qFormat/>
    <w:rsid w:val="007C2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AB7"/>
    <w:rPr>
      <w:b/>
      <w:bCs/>
      <w:i/>
      <w:iCs/>
      <w:color w:val="auto"/>
    </w:rPr>
  </w:style>
  <w:style w:type="paragraph" w:styleId="IntenseQuote">
    <w:name w:val="Intense Quote"/>
    <w:basedOn w:val="Normal"/>
    <w:next w:val="Normal"/>
    <w:link w:val="IntenseQuoteChar"/>
    <w:uiPriority w:val="30"/>
    <w:qFormat/>
    <w:rsid w:val="007C2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A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2AB7"/>
    <w:rPr>
      <w:smallCaps/>
      <w:color w:val="auto"/>
      <w:u w:val="single"/>
    </w:rPr>
  </w:style>
  <w:style w:type="character" w:styleId="IntenseReference">
    <w:name w:val="Intense Reference"/>
    <w:basedOn w:val="DefaultParagraphFont"/>
    <w:uiPriority w:val="32"/>
    <w:qFormat/>
    <w:rsid w:val="007C2AB7"/>
    <w:rPr>
      <w:b/>
      <w:bCs/>
      <w:smallCaps/>
      <w:color w:val="auto"/>
      <w:spacing w:val="5"/>
      <w:u w:val="single"/>
    </w:rPr>
  </w:style>
  <w:style w:type="paragraph" w:customStyle="1" w:styleId="2ColumnHeading">
    <w:name w:val="2Column Heading"/>
    <w:basedOn w:val="BodyText"/>
    <w:qFormat/>
    <w:rsid w:val="007C2AB7"/>
    <w:pPr>
      <w:spacing w:after="60"/>
      <w:ind w:left="-2268"/>
    </w:pPr>
    <w:rPr>
      <w:b/>
    </w:rPr>
  </w:style>
  <w:style w:type="paragraph" w:customStyle="1" w:styleId="Heading1TOC">
    <w:name w:val="Heading1 TOC"/>
    <w:basedOn w:val="Normal"/>
    <w:qFormat/>
    <w:rsid w:val="007C2AB7"/>
    <w:pPr>
      <w:spacing w:before="240" w:after="120"/>
    </w:pPr>
    <w:rPr>
      <w:rFonts w:ascii="Times New Roman" w:hAnsi="Times New Roman"/>
      <w:b/>
      <w:sz w:val="32"/>
    </w:rPr>
  </w:style>
  <w:style w:type="paragraph" w:customStyle="1" w:styleId="Heading2TOC">
    <w:name w:val="Heading2 TOC"/>
    <w:basedOn w:val="Normal"/>
    <w:qFormat/>
    <w:rsid w:val="007C2AB7"/>
    <w:pPr>
      <w:spacing w:before="240" w:after="60"/>
    </w:pPr>
    <w:rPr>
      <w:rFonts w:ascii="Times New Roman" w:hAnsi="Times New Roman"/>
      <w:b/>
      <w:sz w:val="28"/>
    </w:rPr>
  </w:style>
  <w:style w:type="character" w:customStyle="1" w:styleId="Underline">
    <w:name w:val="Underline"/>
    <w:basedOn w:val="DefaultParagraphFont"/>
    <w:qFormat/>
    <w:rsid w:val="007C2AB7"/>
    <w:rPr>
      <w:u w:val="single"/>
    </w:rPr>
  </w:style>
  <w:style w:type="paragraph" w:styleId="BalloonText">
    <w:name w:val="Balloon Text"/>
    <w:basedOn w:val="Normal"/>
    <w:link w:val="BalloonTextChar"/>
    <w:rsid w:val="007C2AB7"/>
    <w:rPr>
      <w:rFonts w:ascii="Tahoma" w:hAnsi="Tahoma" w:cs="Tahoma"/>
      <w:sz w:val="16"/>
      <w:szCs w:val="16"/>
    </w:rPr>
  </w:style>
  <w:style w:type="character" w:customStyle="1" w:styleId="BalloonTextChar">
    <w:name w:val="Balloon Text Char"/>
    <w:basedOn w:val="DefaultParagraphFont"/>
    <w:link w:val="BalloonText"/>
    <w:rsid w:val="007C2A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2A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A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1893</Words>
  <Characters>11886</Characters>
  <Application>Microsoft Office Word</Application>
  <DocSecurity>0</DocSecurity>
  <Lines>431</Lines>
  <Paragraphs>224</Paragraphs>
  <ScaleCrop>false</ScaleCrop>
  <Company>Author-it Software Corporation Ltd.</Company>
  <LinksUpToDate>false</LinksUpToDate>
  <CharactersWithSpaces>13688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CPCCST3007A Turn stone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2012-05-26T05:38:00Z</dcterms:created>
  <dcterms:modified xsi:type="dcterms:W3CDTF">2012-05-26T05:38:00Z</dcterms:modified>
</cp:coreProperties>
</file>