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9FD" w:rsidP="006859FD">
      <w:pPr>
        <w:pStyle w:val="Title"/>
      </w:pPr>
      <w:r>
        <w:fldChar w:fldCharType="begin"/>
      </w:r>
      <w:r>
        <w:instrText xml:space="preserve"> TITLE   \* MERGEFORMAT </w:instrText>
      </w:r>
      <w:r>
        <w:fldChar w:fldCharType="separate"/>
      </w:r>
      <w:r>
        <w:t>CPCCST2001A Prepare for stonemasonry construction process</w:t>
      </w:r>
      <w:r>
        <w:fldChar w:fldCharType="end"/>
      </w:r>
    </w:p>
    <w:p w:rsidR="006859FD" w:rsidP="006859FD">
      <w:pPr>
        <w:pStyle w:val="Version"/>
        <w:sectPr w:rsidSect="00CA4B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BD2" w:rsidP="00CA4BD2">
      <w:pPr>
        <w:pStyle w:val="SuperHeading"/>
      </w:pPr>
      <w:r w:rsidRPr="00CA4BD2">
        <w:t>CPCCST2001A Prepare for stonemasonry construction process</w:t>
      </w:r>
    </w:p>
    <w:p w:rsidR="00000000" w:rsidRPr="00CA4BD2" w:rsidP="00CA4BD2">
      <w:pPr>
        <w:pStyle w:val="Heading1"/>
      </w:pPr>
      <w:bookmarkStart w:id="1" w:name="O_269712"/>
      <w:bookmarkEnd w:id="1"/>
      <w:r w:rsidRPr="00CA4BD2">
        <w:t>Modification History</w:t>
      </w:r>
    </w:p>
    <w:p w:rsidR="00000000" w:rsidRPr="00CA4BD2" w:rsidP="00CA4BD2">
      <w:pPr>
        <w:pStyle w:val="BodyText"/>
      </w:pPr>
      <w:r w:rsidRPr="00CA4BD2">
        <w:t>Not Applicable</w:t>
      </w:r>
    </w:p>
    <w:p w:rsidR="00000000" w:rsidRPr="00CA4BD2" w:rsidP="00CA4BD2">
      <w:pPr>
        <w:pStyle w:val="AllowPageBreak"/>
      </w:pPr>
    </w:p>
    <w:p w:rsidR="00000000" w:rsidRPr="00CA4BD2" w:rsidP="00CA4BD2">
      <w:pPr>
        <w:pStyle w:val="Heading1"/>
      </w:pPr>
      <w:bookmarkStart w:id="2" w:name="O_198759"/>
      <w:bookmarkEnd w:id="2"/>
      <w:r w:rsidRPr="00CA4BD2">
        <w:t>Unit Descriptor</w:t>
      </w:r>
    </w:p>
    <w:tbl>
      <w:tblPr>
        <w:tblW w:w="0" w:type="auto"/>
        <w:tblLayout w:type="fixed"/>
        <w:tblCellMar>
          <w:left w:w="62" w:type="dxa"/>
          <w:right w:w="62" w:type="dxa"/>
        </w:tblCellMar>
        <w:tblLook w:val="0000"/>
      </w:tblPr>
      <w:tblGrid>
        <w:gridCol w:w="2421"/>
        <w:gridCol w:w="6101"/>
      </w:tblGrid>
      <w:tr w:rsidTr="006859FD">
        <w:tblPrEx>
          <w:tblW w:w="0" w:type="auto"/>
          <w:tblLayout w:type="fixed"/>
          <w:tblCellMar>
            <w:left w:w="62" w:type="dxa"/>
            <w:right w:w="62" w:type="dxa"/>
          </w:tblCellMar>
          <w:tblLook w:val="0000"/>
        </w:tblPrEx>
        <w:trPr>
          <w:tblHeader/>
        </w:trPr>
        <w:tc>
          <w:tcPr>
            <w:tcW w:w="2421"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Unit descriptor</w:t>
            </w:r>
          </w:p>
        </w:tc>
        <w:tc>
          <w:tcPr>
            <w:tcW w:w="6101"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 xml:space="preserve">This unit specifies the outcomes required to undertake the preparation processes </w:t>
            </w:r>
            <w:r w:rsidRPr="00CA4BD2">
              <w:t>required to support the laying or placement of stone.</w:t>
            </w:r>
          </w:p>
        </w:tc>
      </w:tr>
    </w:tbl>
    <w:p w:rsidR="006859FD" w:rsidP="00CA4BD2">
      <w:pPr>
        <w:pStyle w:val="BodyText"/>
      </w:pPr>
    </w:p>
    <w:p w:rsidR="006859FD" w:rsidP="00CA4BD2">
      <w:pPr>
        <w:pStyle w:val="BodyText"/>
      </w:pPr>
    </w:p>
    <w:p w:rsidR="00000000" w:rsidRPr="00CA4BD2" w:rsidP="00CA4BD2">
      <w:pPr>
        <w:pStyle w:val="Heading1"/>
      </w:pPr>
      <w:bookmarkStart w:id="3" w:name="O_198763"/>
      <w:bookmarkEnd w:id="3"/>
      <w:r w:rsidRPr="00CA4BD2">
        <w:t>Application of the Unit</w:t>
      </w:r>
    </w:p>
    <w:tbl>
      <w:tblPr>
        <w:tblW w:w="0" w:type="auto"/>
        <w:tblLayout w:type="fixed"/>
        <w:tblCellMar>
          <w:left w:w="62" w:type="dxa"/>
          <w:right w:w="62" w:type="dxa"/>
        </w:tblCellMar>
        <w:tblLook w:val="0000"/>
      </w:tblPr>
      <w:tblGrid>
        <w:gridCol w:w="2489"/>
        <w:gridCol w:w="6033"/>
      </w:tblGrid>
      <w:tr w:rsidTr="006859FD">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Application of the unit</w:t>
            </w:r>
          </w:p>
        </w:tc>
        <w:tc>
          <w:tcPr>
            <w:tcW w:w="6033"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 xml:space="preserve">This unit of competency supports the achievement of skills and knowledge to prepare for stonemasonry operations and installations, which may include working with others and as a member of a team. </w:t>
            </w:r>
          </w:p>
        </w:tc>
      </w:tr>
    </w:tbl>
    <w:p w:rsidR="006859FD" w:rsidP="00CA4BD2">
      <w:pPr>
        <w:pStyle w:val="BodyText"/>
      </w:pPr>
    </w:p>
    <w:p w:rsidR="006859FD" w:rsidP="00CA4BD2">
      <w:pPr>
        <w:pStyle w:val="BodyText"/>
      </w:pPr>
    </w:p>
    <w:p w:rsidR="00000000" w:rsidRPr="00CA4BD2" w:rsidP="00CA4BD2">
      <w:pPr>
        <w:pStyle w:val="Heading1"/>
      </w:pPr>
      <w:bookmarkStart w:id="4" w:name="O_277972"/>
      <w:bookmarkEnd w:id="4"/>
      <w:r w:rsidRPr="00CA4BD2">
        <w:t>Licensing/Regulatory Information</w:t>
      </w:r>
    </w:p>
    <w:p w:rsidR="00000000" w:rsidRPr="00CA4BD2" w:rsidP="00CA4BD2">
      <w:pPr>
        <w:pStyle w:val="BodyText"/>
      </w:pPr>
      <w:r w:rsidRPr="00CA4BD2">
        <w:t>Not Ap</w:t>
      </w:r>
      <w:r w:rsidRPr="00CA4BD2">
        <w:t>plicable</w:t>
      </w:r>
    </w:p>
    <w:p w:rsidR="00000000" w:rsidRPr="00CA4BD2" w:rsidP="00CA4BD2">
      <w:pPr>
        <w:pStyle w:val="AllowPageBreak"/>
      </w:pPr>
    </w:p>
    <w:p w:rsidR="00000000" w:rsidRPr="00CA4BD2" w:rsidP="00CA4BD2">
      <w:pPr>
        <w:pStyle w:val="Heading1"/>
      </w:pPr>
      <w:bookmarkStart w:id="5" w:name="O_198761"/>
      <w:bookmarkEnd w:id="5"/>
      <w:r w:rsidRPr="00CA4BD2">
        <w:t>Pre-Requisites</w:t>
      </w:r>
    </w:p>
    <w:tbl>
      <w:tblPr>
        <w:tblW w:w="0" w:type="auto"/>
        <w:tblLayout w:type="fixed"/>
        <w:tblCellMar>
          <w:left w:w="62" w:type="dxa"/>
          <w:right w:w="62" w:type="dxa"/>
        </w:tblCellMar>
        <w:tblLook w:val="0000"/>
      </w:tblPr>
      <w:tblGrid>
        <w:gridCol w:w="2483"/>
        <w:gridCol w:w="2527"/>
        <w:gridCol w:w="3512"/>
      </w:tblGrid>
      <w:tr w:rsidTr="006859FD">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Prerequisite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CA4BD2">
            <w:pPr>
              <w:pStyle w:val="BodyText"/>
              <w:rPr>
                <w:lang w:val="en-NZ"/>
              </w:rPr>
            </w:pPr>
          </w:p>
        </w:tc>
      </w:tr>
      <w:tr w:rsidTr="006859FD">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t>CPCCOHS2001A</w:t>
            </w:r>
          </w:p>
        </w:tc>
        <w:tc>
          <w:tcPr>
            <w:tcW w:w="351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t>Apply OHS requirements, policies and procedures in the construction industry</w:t>
            </w:r>
          </w:p>
        </w:tc>
      </w:tr>
      <w:tr w:rsidTr="006859FD">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2" w:type="dxa"/>
            <w:tcBorders>
              <w:top w:val="nil"/>
              <w:left w:val="nil"/>
              <w:bottom w:val="nil"/>
              <w:right w:val="nil"/>
            </w:tcBorders>
            <w:tcMar>
              <w:top w:w="0" w:type="dxa"/>
              <w:left w:w="62" w:type="dxa"/>
              <w:bottom w:w="0" w:type="dxa"/>
              <w:right w:w="62" w:type="dxa"/>
            </w:tcMar>
          </w:tcPr>
          <w:p w:rsidR="00000000" w:rsidRPr="00CA4BD2" w:rsidP="00CA4BD2">
            <w:pPr>
              <w:pStyle w:val="BodyText"/>
            </w:pPr>
          </w:p>
        </w:tc>
      </w:tr>
    </w:tbl>
    <w:p w:rsidR="006859FD" w:rsidP="00CA4BD2">
      <w:pPr>
        <w:pStyle w:val="BodyText"/>
      </w:pPr>
    </w:p>
    <w:p w:rsidR="006859FD" w:rsidP="00CA4BD2">
      <w:pPr>
        <w:pStyle w:val="BodyText"/>
      </w:pPr>
    </w:p>
    <w:p w:rsidR="00000000" w:rsidRPr="00CA4BD2" w:rsidP="00CA4BD2">
      <w:pPr>
        <w:pStyle w:val="Heading1"/>
      </w:pPr>
      <w:bookmarkStart w:id="6" w:name="O_198760"/>
      <w:bookmarkEnd w:id="6"/>
      <w:r w:rsidRPr="00CA4BD2">
        <w:t>Employability Skills Information</w:t>
      </w:r>
    </w:p>
    <w:tbl>
      <w:tblPr>
        <w:tblW w:w="0" w:type="auto"/>
        <w:tblLayout w:type="fixed"/>
        <w:tblCellMar>
          <w:left w:w="62" w:type="dxa"/>
          <w:right w:w="62" w:type="dxa"/>
        </w:tblCellMar>
        <w:tblLook w:val="0000"/>
      </w:tblPr>
      <w:tblGrid>
        <w:gridCol w:w="2624"/>
        <w:gridCol w:w="5898"/>
      </w:tblGrid>
      <w:tr w:rsidTr="006859F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This unit contains employability skills.</w:t>
            </w:r>
          </w:p>
        </w:tc>
      </w:tr>
    </w:tbl>
    <w:p w:rsidR="006859FD" w:rsidP="00CA4BD2">
      <w:pPr>
        <w:pStyle w:val="BodyText"/>
      </w:pPr>
    </w:p>
    <w:p w:rsidR="006859FD" w:rsidP="00CA4BD2">
      <w:pPr>
        <w:pStyle w:val="BodyText"/>
      </w:pPr>
    </w:p>
    <w:p w:rsidR="00000000" w:rsidRPr="00CA4BD2" w:rsidP="00CA4BD2">
      <w:pPr>
        <w:pStyle w:val="Heading1"/>
      </w:pPr>
      <w:bookmarkStart w:id="7" w:name="O_287758"/>
      <w:bookmarkEnd w:id="7"/>
      <w:r w:rsidRPr="00CA4BD2">
        <w:t>Elements and Performance Criteria Pre-Content</w:t>
      </w:r>
    </w:p>
    <w:tbl>
      <w:tblPr>
        <w:tblW w:w="0" w:type="auto"/>
        <w:tblLayout w:type="fixed"/>
        <w:tblCellMar>
          <w:left w:w="62" w:type="dxa"/>
          <w:right w:w="62" w:type="dxa"/>
        </w:tblCellMar>
        <w:tblLook w:val="0000"/>
      </w:tblPr>
      <w:tblGrid>
        <w:gridCol w:w="2365"/>
        <w:gridCol w:w="6157"/>
      </w:tblGrid>
      <w:tr w:rsidTr="006859FD">
        <w:tblPrEx>
          <w:tblW w:w="0" w:type="auto"/>
          <w:tblLayout w:type="fixed"/>
          <w:tblCellMar>
            <w:left w:w="62" w:type="dxa"/>
            <w:right w:w="62" w:type="dxa"/>
          </w:tblCellMar>
          <w:tblLook w:val="0000"/>
        </w:tblPrEx>
        <w:tc>
          <w:tcPr>
            <w:tcW w:w="2365" w:type="dxa"/>
            <w:tcBorders>
              <w:top w:val="single" w:sz="6" w:space="0" w:color="auto"/>
              <w:left w:val="nil"/>
              <w:bottom w:val="nil"/>
              <w:right w:val="nil"/>
            </w:tcBorders>
            <w:tcMar>
              <w:top w:w="0" w:type="dxa"/>
              <w:left w:w="62" w:type="dxa"/>
              <w:bottom w:w="0" w:type="dxa"/>
              <w:right w:w="62" w:type="dxa"/>
            </w:tcMar>
          </w:tcPr>
          <w:p w:rsidR="00000000" w:rsidP="00CA4BD2">
            <w:pPr>
              <w:pStyle w:val="BodyText"/>
              <w:rPr>
                <w:lang w:val="en-NZ"/>
              </w:rPr>
            </w:pPr>
            <w:r w:rsidRPr="00CA4BD2">
              <w:t>Elements describe the essential outcomes of a unit of competency.</w:t>
            </w:r>
          </w:p>
        </w:tc>
        <w:tc>
          <w:tcPr>
            <w:tcW w:w="6157" w:type="dxa"/>
            <w:tcBorders>
              <w:top w:val="single" w:sz="6" w:space="0" w:color="auto"/>
              <w:left w:val="nil"/>
              <w:bottom w:val="nil"/>
              <w:right w:val="nil"/>
            </w:tcBorders>
            <w:tcMar>
              <w:top w:w="0" w:type="dxa"/>
              <w:left w:w="62" w:type="dxa"/>
              <w:bottom w:w="0" w:type="dxa"/>
              <w:right w:w="62" w:type="dxa"/>
            </w:tcMar>
          </w:tcPr>
          <w:p w:rsidR="00000000" w:rsidRPr="00CA4BD2" w:rsidP="00CA4BD2">
            <w:pPr>
              <w:pStyle w:val="BodyText"/>
            </w:pPr>
            <w:r w:rsidRPr="00CA4BD2">
              <w:t xml:space="preserve">Performance criteria describe the performance needed to demonstrate achievement of </w:t>
            </w:r>
            <w:r w:rsidRPr="00CA4BD2">
              <w:t>the element. Where bold italicised text is used, further information is detailed in the required skills and knowledge section and the range statement. Assessment of performance is to be consistent with the evidence guide.</w:t>
            </w:r>
          </w:p>
        </w:tc>
      </w:tr>
    </w:tbl>
    <w:p w:rsidR="00000000" w:rsidRPr="00CA4BD2" w:rsidP="00CA4BD2">
      <w:pPr>
        <w:pStyle w:val="BodyText"/>
      </w:pPr>
    </w:p>
    <w:p w:rsidR="00000000" w:rsidRPr="00CA4BD2" w:rsidP="00CA4BD2">
      <w:pPr>
        <w:pStyle w:val="AllowPageBreak"/>
      </w:pPr>
    </w:p>
    <w:p w:rsidR="00000000" w:rsidRPr="00CA4BD2" w:rsidP="00CA4BD2">
      <w:pPr>
        <w:pStyle w:val="Heading1"/>
      </w:pPr>
      <w:bookmarkStart w:id="8" w:name="O_234425"/>
      <w:bookmarkEnd w:id="8"/>
      <w:r w:rsidRPr="00CA4BD2">
        <w:t>Elements and Pe</w:t>
      </w:r>
      <w:r w:rsidRPr="00CA4BD2">
        <w:t>rformance Criteria</w:t>
      </w:r>
    </w:p>
    <w:tbl>
      <w:tblPr>
        <w:tblW w:w="0" w:type="auto"/>
        <w:tblLayout w:type="fixed"/>
        <w:tblCellMar>
          <w:left w:w="62" w:type="dxa"/>
          <w:right w:w="62" w:type="dxa"/>
        </w:tblCellMar>
        <w:tblLook w:val="0000"/>
      </w:tblPr>
      <w:tblGrid>
        <w:gridCol w:w="2365"/>
        <w:gridCol w:w="6157"/>
      </w:tblGrid>
      <w:tr w:rsidTr="006859FD">
        <w:tblPrEx>
          <w:tblW w:w="0" w:type="auto"/>
          <w:tblLayout w:type="fixed"/>
          <w:tblCellMar>
            <w:left w:w="62" w:type="dxa"/>
            <w:right w:w="62" w:type="dxa"/>
          </w:tblCellMar>
          <w:tblLook w:val="0000"/>
        </w:tblPrEx>
        <w:trPr>
          <w:tblHeader/>
        </w:trPr>
        <w:tc>
          <w:tcPr>
            <w:tcW w:w="2365" w:type="dxa"/>
            <w:tcBorders>
              <w:top w:val="nil"/>
              <w:left w:val="nil"/>
              <w:bottom w:val="single" w:sz="6" w:space="0" w:color="auto"/>
              <w:right w:val="nil"/>
            </w:tcBorders>
            <w:tcMar>
              <w:top w:w="0" w:type="dxa"/>
              <w:left w:w="62" w:type="dxa"/>
              <w:bottom w:w="0" w:type="dxa"/>
              <w:right w:w="62" w:type="dxa"/>
            </w:tcMar>
          </w:tcPr>
          <w:p w:rsidR="00000000" w:rsidRPr="00CA4BD2" w:rsidP="00CA4BD2">
            <w:pPr>
              <w:pStyle w:val="BodyText"/>
            </w:pPr>
            <w:r w:rsidRPr="00CA4BD2">
              <w:rPr>
                <w:rStyle w:val="SpecialBold"/>
              </w:rPr>
              <w:t>ELEMENT</w:t>
            </w:r>
          </w:p>
        </w:tc>
        <w:tc>
          <w:tcPr>
            <w:tcW w:w="6157" w:type="dxa"/>
            <w:tcBorders>
              <w:top w:val="nil"/>
              <w:left w:val="nil"/>
              <w:bottom w:val="single" w:sz="6" w:space="0" w:color="auto"/>
              <w:right w:val="nil"/>
            </w:tcBorders>
            <w:tcMar>
              <w:top w:w="0" w:type="dxa"/>
              <w:left w:w="62" w:type="dxa"/>
              <w:bottom w:w="0" w:type="dxa"/>
              <w:right w:w="62" w:type="dxa"/>
            </w:tcMar>
          </w:tcPr>
          <w:p w:rsidR="00000000" w:rsidP="00CA4BD2">
            <w:pPr>
              <w:pStyle w:val="BodyText"/>
              <w:rPr>
                <w:lang w:val="en-NZ"/>
              </w:rPr>
            </w:pPr>
            <w:r w:rsidRPr="00CA4BD2">
              <w:rPr>
                <w:rStyle w:val="SpecialBold"/>
              </w:rPr>
              <w:t>PERFORMANCE CRITERIA</w:t>
            </w:r>
          </w:p>
        </w:tc>
      </w:tr>
      <w:tr w:rsidTr="006859FD">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CA4BD2">
            <w:pPr>
              <w:pStyle w:val="List"/>
              <w:rPr>
                <w:lang w:val="en-NZ"/>
              </w:rPr>
            </w:pPr>
            <w:r w:rsidRPr="00CA4BD2">
              <w:t>1.</w:t>
            </w:r>
            <w:r w:rsidRPr="00CA4BD2">
              <w:tab/>
              <w:t>Plan and prepare.</w:t>
            </w:r>
          </w:p>
        </w:tc>
        <w:tc>
          <w:tcPr>
            <w:tcW w:w="6157" w:type="dxa"/>
            <w:tcBorders>
              <w:top w:val="nil"/>
              <w:left w:val="nil"/>
              <w:bottom w:val="nil"/>
              <w:right w:val="nil"/>
            </w:tcBorders>
            <w:tcMar>
              <w:top w:w="0" w:type="dxa"/>
              <w:left w:w="62" w:type="dxa"/>
              <w:bottom w:w="0" w:type="dxa"/>
              <w:right w:w="62" w:type="dxa"/>
            </w:tcMar>
          </w:tcPr>
          <w:p w:rsidR="00000000" w:rsidRPr="00CA4BD2" w:rsidP="00CA4BD2">
            <w:pPr>
              <w:pStyle w:val="List2"/>
            </w:pPr>
            <w:r w:rsidRPr="00CA4BD2">
              <w:t>1.1.</w:t>
            </w:r>
            <w:r w:rsidRPr="00CA4BD2">
              <w:tab/>
              <w:t xml:space="preserve">Work instructions and operational details are obtained using relevant </w:t>
            </w:r>
            <w:r w:rsidRPr="00CA4BD2">
              <w:rPr>
                <w:rStyle w:val="BoldandItalics"/>
              </w:rPr>
              <w:t>information</w:t>
            </w:r>
            <w:r w:rsidRPr="00CA4BD2">
              <w:t xml:space="preserve">, confirmed and applied for </w:t>
            </w:r>
            <w:r w:rsidRPr="00CA4BD2">
              <w:rPr>
                <w:rStyle w:val="BoldandItalics"/>
              </w:rPr>
              <w:t>planning and preparation</w:t>
            </w:r>
            <w:r w:rsidRPr="00CA4BD2">
              <w:t xml:space="preserve"> purposes. </w:t>
            </w:r>
          </w:p>
          <w:p w:rsidR="00000000" w:rsidRPr="00CA4BD2" w:rsidP="00CA4BD2">
            <w:pPr>
              <w:pStyle w:val="List2"/>
            </w:pPr>
            <w:r w:rsidRPr="00CA4BD2">
              <w:t>1.2.</w:t>
            </w:r>
            <w:r w:rsidRPr="00CA4BD2">
              <w:tab/>
            </w:r>
            <w:r w:rsidRPr="00CA4BD2">
              <w:rPr>
                <w:rStyle w:val="BoldandItalics"/>
              </w:rPr>
              <w:t>Safety</w:t>
            </w:r>
            <w:r w:rsidRPr="00CA4BD2">
              <w:t xml:space="preserve"> (</w:t>
            </w:r>
            <w:r w:rsidRPr="00CA4BD2">
              <w:rPr>
                <w:rStyle w:val="BoldandItalics"/>
              </w:rPr>
              <w:t>OHS</w:t>
            </w:r>
            <w:r w:rsidRPr="00CA4BD2">
              <w:t>) requirements are f</w:t>
            </w:r>
            <w:r w:rsidRPr="00CA4BD2">
              <w:t xml:space="preserve">ollowed in accordance with safety plans and policies. </w:t>
            </w:r>
          </w:p>
          <w:p w:rsidR="00000000" w:rsidRPr="00CA4BD2" w:rsidP="00CA4BD2">
            <w:pPr>
              <w:pStyle w:val="List2"/>
            </w:pPr>
            <w:r w:rsidRPr="00CA4BD2">
              <w:t>1.3.</w:t>
            </w:r>
            <w:r w:rsidRPr="00CA4BD2">
              <w:tab/>
              <w:t>Signage and barricade requirements are identified and implemented.</w:t>
            </w:r>
          </w:p>
          <w:p w:rsidR="00000000" w:rsidRPr="00CA4BD2" w:rsidP="00CA4BD2">
            <w:pPr>
              <w:pStyle w:val="List2"/>
            </w:pPr>
            <w:r w:rsidRPr="00CA4BD2">
              <w:t>1.4.</w:t>
            </w:r>
            <w:r w:rsidRPr="00CA4BD2">
              <w:tab/>
            </w:r>
            <w:r w:rsidRPr="00CA4BD2">
              <w:rPr>
                <w:rStyle w:val="BoldandItalics"/>
              </w:rPr>
              <w:t>Tools and equipment</w:t>
            </w:r>
            <w:r w:rsidRPr="00CA4BD2">
              <w:t xml:space="preserve"> selected to carry out tasks are consistent with job requirements, checked for serviceability and any fau</w:t>
            </w:r>
            <w:r w:rsidRPr="00CA4BD2">
              <w:t xml:space="preserve">lts are rectified or reported prior to commencement. </w:t>
            </w:r>
          </w:p>
          <w:p w:rsidR="00000000" w:rsidRPr="00CA4BD2" w:rsidP="00CA4BD2">
            <w:pPr>
              <w:pStyle w:val="List2"/>
            </w:pPr>
            <w:r w:rsidRPr="00CA4BD2">
              <w:t>1.5.</w:t>
            </w:r>
            <w:r w:rsidRPr="00CA4BD2">
              <w:tab/>
              <w:t xml:space="preserve">Material quantity requirements are calculated in accordance with plans, specifications and </w:t>
            </w:r>
            <w:r w:rsidRPr="00CA4BD2">
              <w:rPr>
                <w:rStyle w:val="BoldandItalics"/>
              </w:rPr>
              <w:t>quality requirements</w:t>
            </w:r>
            <w:r w:rsidRPr="00CA4BD2">
              <w:t xml:space="preserve">. </w:t>
            </w:r>
          </w:p>
          <w:p w:rsidR="00000000" w:rsidRPr="00CA4BD2" w:rsidP="00CA4BD2">
            <w:pPr>
              <w:pStyle w:val="List2"/>
            </w:pPr>
            <w:r w:rsidRPr="00CA4BD2">
              <w:t>1.6.</w:t>
            </w:r>
            <w:r w:rsidRPr="00CA4BD2">
              <w:tab/>
            </w:r>
            <w:r w:rsidRPr="00CA4BD2">
              <w:rPr>
                <w:rStyle w:val="BoldandItalics"/>
              </w:rPr>
              <w:t>Materials</w:t>
            </w:r>
            <w:r w:rsidRPr="00CA4BD2">
              <w:t>, including correct type of stone and materials other than stone appr</w:t>
            </w:r>
            <w:r w:rsidRPr="00CA4BD2">
              <w:t xml:space="preserve">opriate to the work application are identified, obtained, prepared, safely handled and located ready for use. </w:t>
            </w:r>
          </w:p>
          <w:p w:rsidR="00000000" w:rsidP="00CA4BD2">
            <w:pPr>
              <w:pStyle w:val="List2"/>
              <w:rPr>
                <w:lang w:val="en-NZ"/>
              </w:rPr>
            </w:pPr>
            <w:r w:rsidRPr="00CA4BD2">
              <w:t>1.7.</w:t>
            </w:r>
            <w:r w:rsidRPr="00CA4BD2">
              <w:tab/>
            </w:r>
            <w:r w:rsidRPr="00CA4BD2">
              <w:rPr>
                <w:rStyle w:val="BoldandItalics"/>
              </w:rPr>
              <w:t>Environmental requirements</w:t>
            </w:r>
            <w:r w:rsidRPr="00CA4BD2">
              <w:t xml:space="preserve"> are identified for the project in accordance with environmental plans and </w:t>
            </w:r>
            <w:r w:rsidRPr="00CA4BD2">
              <w:rPr>
                <w:rStyle w:val="BoldandItalics"/>
              </w:rPr>
              <w:t>statutory and regulatory authority</w:t>
            </w:r>
            <w:r w:rsidRPr="00CA4BD2">
              <w:t xml:space="preserve"> requ</w:t>
            </w:r>
            <w:r w:rsidRPr="00CA4BD2">
              <w:t xml:space="preserve">irements, and are applied. </w:t>
            </w:r>
          </w:p>
        </w:tc>
      </w:tr>
      <w:tr w:rsidTr="006859FD">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CA4BD2">
            <w:pPr>
              <w:pStyle w:val="List"/>
              <w:rPr>
                <w:lang w:val="en-NZ"/>
              </w:rPr>
            </w:pPr>
            <w:r w:rsidRPr="00CA4BD2">
              <w:t>2.</w:t>
            </w:r>
            <w:r w:rsidRPr="00CA4BD2">
              <w:tab/>
              <w:t>Prepare work area suitable for construction process.</w:t>
            </w:r>
          </w:p>
        </w:tc>
        <w:tc>
          <w:tcPr>
            <w:tcW w:w="6157" w:type="dxa"/>
            <w:tcBorders>
              <w:top w:val="nil"/>
              <w:left w:val="nil"/>
              <w:bottom w:val="nil"/>
              <w:right w:val="nil"/>
            </w:tcBorders>
            <w:tcMar>
              <w:top w:w="0" w:type="dxa"/>
              <w:left w:w="62" w:type="dxa"/>
              <w:bottom w:w="0" w:type="dxa"/>
              <w:right w:w="62" w:type="dxa"/>
            </w:tcMar>
          </w:tcPr>
          <w:p w:rsidR="00000000" w:rsidRPr="00CA4BD2" w:rsidP="00CA4BD2">
            <w:pPr>
              <w:pStyle w:val="List2"/>
            </w:pPr>
            <w:r w:rsidRPr="00CA4BD2">
              <w:t>2.1.</w:t>
            </w:r>
            <w:r w:rsidRPr="00CA4BD2">
              <w:tab/>
              <w:t xml:space="preserve">Activities to be carried out in work area are identified from type of stonemasonry work and planned procedures according </w:t>
            </w:r>
            <w:r w:rsidRPr="00CA4BD2">
              <w:t>to layout of construction and access to location.</w:t>
            </w:r>
          </w:p>
          <w:p w:rsidR="00000000" w:rsidP="00CA4BD2">
            <w:pPr>
              <w:pStyle w:val="List2"/>
              <w:rPr>
                <w:lang w:val="en-NZ"/>
              </w:rPr>
            </w:pPr>
            <w:r w:rsidRPr="00CA4BD2">
              <w:t>2.2.</w:t>
            </w:r>
            <w:r w:rsidRPr="00CA4BD2">
              <w:tab/>
            </w:r>
            <w:r w:rsidRPr="00CA4BD2">
              <w:rPr>
                <w:rStyle w:val="BoldandItalics"/>
              </w:rPr>
              <w:t>Work area is</w:t>
            </w:r>
            <w:r w:rsidRPr="00CA4BD2">
              <w:t xml:space="preserve"> prepared for </w:t>
            </w:r>
            <w:r w:rsidRPr="00CA4BD2">
              <w:rPr>
                <w:rStyle w:val="BoldandItalics"/>
              </w:rPr>
              <w:t>construction process</w:t>
            </w:r>
            <w:r w:rsidRPr="00CA4BD2">
              <w:t xml:space="preserve"> according to supervisor's instructions. </w:t>
            </w:r>
          </w:p>
        </w:tc>
      </w:tr>
      <w:tr w:rsidTr="006859FD">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CA4BD2">
            <w:pPr>
              <w:pStyle w:val="List"/>
              <w:rPr>
                <w:lang w:val="en-NZ"/>
              </w:rPr>
            </w:pPr>
            <w:r w:rsidRPr="00CA4BD2">
              <w:t>3.</w:t>
            </w:r>
            <w:r w:rsidRPr="00CA4BD2">
              <w:tab/>
              <w:t>Use tools, plant and equipment appropriate for construction process.</w:t>
            </w:r>
          </w:p>
        </w:tc>
        <w:tc>
          <w:tcPr>
            <w:tcW w:w="6157" w:type="dxa"/>
            <w:tcBorders>
              <w:top w:val="nil"/>
              <w:left w:val="nil"/>
              <w:bottom w:val="nil"/>
              <w:right w:val="nil"/>
            </w:tcBorders>
            <w:tcMar>
              <w:top w:w="0" w:type="dxa"/>
              <w:left w:w="62" w:type="dxa"/>
              <w:bottom w:w="0" w:type="dxa"/>
              <w:right w:w="62" w:type="dxa"/>
            </w:tcMar>
          </w:tcPr>
          <w:p w:rsidR="00000000" w:rsidRPr="00CA4BD2" w:rsidP="00CA4BD2">
            <w:pPr>
              <w:pStyle w:val="List2"/>
            </w:pPr>
            <w:r w:rsidRPr="00CA4BD2">
              <w:t>3.1.</w:t>
            </w:r>
            <w:r w:rsidRPr="00CA4BD2">
              <w:tab/>
              <w:t>Regular hand and power tools suitab</w:t>
            </w:r>
            <w:r w:rsidRPr="00CA4BD2">
              <w:t>le for application process are identified from job requirements.</w:t>
            </w:r>
          </w:p>
          <w:p w:rsidR="00000000" w:rsidP="00CA4BD2">
            <w:pPr>
              <w:pStyle w:val="List2"/>
              <w:rPr>
                <w:lang w:val="en-NZ"/>
              </w:rPr>
            </w:pPr>
            <w:r w:rsidRPr="00CA4BD2">
              <w:t>3.2.</w:t>
            </w:r>
            <w:r w:rsidRPr="00CA4BD2">
              <w:tab/>
              <w:t>Hand and power tools are used safely and effectively to carry out processes.</w:t>
            </w:r>
          </w:p>
        </w:tc>
      </w:tr>
      <w:tr w:rsidTr="006859FD">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CA4BD2">
            <w:pPr>
              <w:pStyle w:val="List"/>
              <w:rPr>
                <w:lang w:val="en-NZ"/>
              </w:rPr>
            </w:pPr>
            <w:r w:rsidRPr="00CA4BD2">
              <w:t>4.</w:t>
            </w:r>
            <w:r w:rsidRPr="00CA4BD2">
              <w:tab/>
              <w:t>Assist with stonemasonry work.</w:t>
            </w:r>
          </w:p>
        </w:tc>
        <w:tc>
          <w:tcPr>
            <w:tcW w:w="6157" w:type="dxa"/>
            <w:tcBorders>
              <w:top w:val="nil"/>
              <w:left w:val="nil"/>
              <w:bottom w:val="nil"/>
              <w:right w:val="nil"/>
            </w:tcBorders>
            <w:tcMar>
              <w:top w:w="0" w:type="dxa"/>
              <w:left w:w="62" w:type="dxa"/>
              <w:bottom w:w="0" w:type="dxa"/>
              <w:right w:w="62" w:type="dxa"/>
            </w:tcMar>
          </w:tcPr>
          <w:p w:rsidR="00000000" w:rsidRPr="00CA4BD2" w:rsidP="00CA4BD2">
            <w:pPr>
              <w:pStyle w:val="List2"/>
            </w:pPr>
            <w:r w:rsidRPr="00CA4BD2">
              <w:t>4.1.</w:t>
            </w:r>
            <w:r w:rsidRPr="00CA4BD2">
              <w:tab/>
              <w:t>Selected stone is visually checked to ensure it meets specifications,</w:t>
            </w:r>
            <w:r w:rsidRPr="00CA4BD2">
              <w:t xml:space="preserve"> including colour and matching surrounding area, and is distributed to location.</w:t>
            </w:r>
          </w:p>
          <w:p w:rsidR="00000000" w:rsidP="00CA4BD2">
            <w:pPr>
              <w:pStyle w:val="List2"/>
              <w:rPr>
                <w:lang w:val="en-NZ"/>
              </w:rPr>
            </w:pPr>
            <w:r w:rsidRPr="00CA4BD2">
              <w:t>4.2.</w:t>
            </w:r>
            <w:r w:rsidRPr="00CA4BD2">
              <w:tab/>
              <w:t>Surface is brushed, scraped and washed cleaned of surplus mortar material on completion of stonemasonry process.</w:t>
            </w:r>
          </w:p>
        </w:tc>
      </w:tr>
      <w:tr w:rsidTr="006859FD">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CA4BD2">
            <w:pPr>
              <w:pStyle w:val="List"/>
              <w:rPr>
                <w:lang w:val="en-NZ"/>
              </w:rPr>
            </w:pPr>
            <w:r w:rsidRPr="00CA4BD2">
              <w:t>5.</w:t>
            </w:r>
            <w:r w:rsidRPr="00CA4BD2">
              <w:tab/>
              <w:t>Clean up.</w:t>
            </w:r>
          </w:p>
        </w:tc>
        <w:tc>
          <w:tcPr>
            <w:tcW w:w="6157" w:type="dxa"/>
            <w:tcBorders>
              <w:top w:val="nil"/>
              <w:left w:val="nil"/>
              <w:bottom w:val="nil"/>
              <w:right w:val="nil"/>
            </w:tcBorders>
            <w:tcMar>
              <w:top w:w="0" w:type="dxa"/>
              <w:left w:w="62" w:type="dxa"/>
              <w:bottom w:w="0" w:type="dxa"/>
              <w:right w:w="62" w:type="dxa"/>
            </w:tcMar>
          </w:tcPr>
          <w:p w:rsidR="00000000" w:rsidRPr="00CA4BD2" w:rsidP="00CA4BD2">
            <w:pPr>
              <w:pStyle w:val="List2"/>
            </w:pPr>
            <w:r w:rsidRPr="00CA4BD2">
              <w:t>5.1.</w:t>
            </w:r>
            <w:r w:rsidRPr="00CA4BD2">
              <w:tab/>
              <w:t>Materials are stacked and/or stored fo</w:t>
            </w:r>
            <w:r w:rsidRPr="00CA4BD2">
              <w:t>r re-use or removal.</w:t>
            </w:r>
          </w:p>
          <w:p w:rsidR="00000000" w:rsidRPr="00CA4BD2" w:rsidP="00CA4BD2">
            <w:pPr>
              <w:pStyle w:val="List2"/>
            </w:pPr>
            <w:r w:rsidRPr="00CA4BD2">
              <w:t>5.2.</w:t>
            </w:r>
            <w:r w:rsidRPr="00CA4BD2">
              <w:tab/>
              <w:t>Work area is cleared.</w:t>
            </w:r>
          </w:p>
          <w:p w:rsidR="00000000" w:rsidRPr="00CA4BD2" w:rsidP="00CA4BD2">
            <w:pPr>
              <w:pStyle w:val="List2"/>
            </w:pPr>
            <w:r w:rsidRPr="00CA4BD2">
              <w:t>5.3.</w:t>
            </w:r>
            <w:r w:rsidRPr="00CA4BD2">
              <w:tab/>
              <w:t>Tools and equipment are cleaned, maintained and stored.</w:t>
            </w:r>
          </w:p>
          <w:p w:rsidR="00000000" w:rsidRPr="00CA4BD2" w:rsidP="00CA4BD2">
            <w:pPr>
              <w:pStyle w:val="List2"/>
            </w:pPr>
            <w:r w:rsidRPr="00CA4BD2">
              <w:t>5.4.</w:t>
            </w:r>
            <w:r w:rsidRPr="00CA4BD2">
              <w:tab/>
              <w:t>Waste is disposed of appropriately.</w:t>
            </w:r>
          </w:p>
        </w:tc>
      </w:tr>
    </w:tbl>
    <w:p w:rsidR="006859FD" w:rsidP="00CA4BD2">
      <w:pPr>
        <w:pStyle w:val="BodyText"/>
      </w:pPr>
    </w:p>
    <w:p w:rsidR="006859FD" w:rsidP="00CA4BD2">
      <w:pPr>
        <w:pStyle w:val="BodyText"/>
      </w:pPr>
    </w:p>
    <w:p w:rsidR="00000000" w:rsidRPr="00CA4BD2" w:rsidP="00CA4BD2">
      <w:pPr>
        <w:pStyle w:val="Heading1"/>
      </w:pPr>
      <w:bookmarkStart w:id="9" w:name="O_258375"/>
      <w:bookmarkEnd w:id="9"/>
      <w:r w:rsidRPr="00CA4BD2">
        <w:t>Required Skills and Knowledge</w:t>
      </w:r>
    </w:p>
    <w:tbl>
      <w:tblPr>
        <w:tblW w:w="0" w:type="auto"/>
        <w:tblLayout w:type="fixed"/>
        <w:tblCellMar>
          <w:left w:w="62" w:type="dxa"/>
          <w:right w:w="62" w:type="dxa"/>
        </w:tblCellMar>
        <w:tblLook w:val="0000"/>
      </w:tblPr>
      <w:tblGrid>
        <w:gridCol w:w="8522"/>
      </w:tblGrid>
      <w:tr w:rsidTr="006859F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REQUIRED SKILLS AND KNOWLEDGE</w:t>
            </w:r>
          </w:p>
        </w:tc>
      </w:tr>
      <w:tr w:rsidTr="00685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t>This section describes the skills and knowledge required for this unit.</w:t>
            </w:r>
          </w:p>
        </w:tc>
      </w:tr>
      <w:tr w:rsidTr="00685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Required skills</w:t>
            </w:r>
          </w:p>
        </w:tc>
      </w:tr>
      <w:tr w:rsidTr="00685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Required skills for this unit are:</w:t>
            </w:r>
          </w:p>
          <w:p w:rsidR="00000000" w:rsidRPr="00CA4BD2" w:rsidP="00CA4BD2">
            <w:pPr>
              <w:pStyle w:val="ListBullet"/>
            </w:pPr>
            <w:r w:rsidRPr="00CA4BD2">
              <w:t xml:space="preserve">ability to recognise procedures, respond to change and contribute to workplace responsibilities, </w:t>
            </w:r>
            <w:r w:rsidRPr="00CA4BD2">
              <w:t>such as current work site environmental or sustainability frameworks or management systems</w:t>
            </w:r>
          </w:p>
          <w:p w:rsidR="00000000" w:rsidRPr="00CA4BD2" w:rsidP="00CA4BD2">
            <w:pPr>
              <w:pStyle w:val="ListBullet"/>
            </w:pPr>
            <w:r w:rsidRPr="00CA4BD2">
              <w:t>communication skills to:</w:t>
            </w:r>
          </w:p>
          <w:p w:rsidR="00000000" w:rsidRPr="00CA4BD2" w:rsidP="00CA4BD2">
            <w:pPr>
              <w:pStyle w:val="ListBullet2"/>
            </w:pPr>
            <w:r w:rsidRPr="00CA4BD2">
              <w:t>enable clear and direct communication, using questioning to identify and confirm requirements, share information, listen and understand</w:t>
            </w:r>
          </w:p>
          <w:p w:rsidR="00000000" w:rsidRPr="00CA4BD2" w:rsidP="00CA4BD2">
            <w:pPr>
              <w:pStyle w:val="ListBullet2"/>
            </w:pPr>
            <w:r w:rsidRPr="00CA4BD2">
              <w:t>follow instructions</w:t>
            </w:r>
          </w:p>
          <w:p w:rsidR="00000000" w:rsidRPr="00CA4BD2" w:rsidP="00CA4BD2">
            <w:pPr>
              <w:pStyle w:val="ListBullet2"/>
            </w:pPr>
            <w:r w:rsidRPr="00CA4BD2">
              <w:t>read and interpret:</w:t>
            </w:r>
          </w:p>
          <w:p w:rsidR="00000000" w:rsidRPr="00CA4BD2" w:rsidP="00CA4BD2">
            <w:pPr>
              <w:pStyle w:val="ListBullet3"/>
            </w:pPr>
            <w:r w:rsidRPr="00CA4BD2">
              <w:t>drawings and specifications</w:t>
            </w:r>
          </w:p>
          <w:p w:rsidR="00000000" w:rsidRPr="00CA4BD2" w:rsidP="00CA4BD2">
            <w:pPr>
              <w:pStyle w:val="ListBullet3"/>
            </w:pPr>
            <w:r w:rsidRPr="00CA4BD2">
              <w:t>material safety data sheets</w:t>
            </w:r>
          </w:p>
          <w:p w:rsidR="00000000" w:rsidRPr="00CA4BD2" w:rsidP="00CA4BD2">
            <w:pPr>
              <w:pStyle w:val="ListBullet3"/>
            </w:pPr>
            <w:r w:rsidRPr="00CA4BD2">
              <w:t>plans</w:t>
            </w:r>
          </w:p>
          <w:p w:rsidR="00000000" w:rsidRPr="00CA4BD2" w:rsidP="00CA4BD2">
            <w:pPr>
              <w:pStyle w:val="ListBullet2"/>
            </w:pPr>
            <w:r w:rsidRPr="00CA4BD2">
              <w:t>use and interpret non-verbal communication</w:t>
            </w:r>
          </w:p>
          <w:p w:rsidR="00000000" w:rsidRPr="00CA4BD2" w:rsidP="00CA4BD2">
            <w:pPr>
              <w:pStyle w:val="ListBullet2"/>
            </w:pPr>
            <w:r w:rsidRPr="00CA4BD2">
              <w:t>use language and concepts appropriate to cultural differences</w:t>
            </w:r>
          </w:p>
          <w:p w:rsidR="00000000" w:rsidRPr="00CA4BD2" w:rsidP="00CA4BD2">
            <w:pPr>
              <w:pStyle w:val="ListBullet"/>
            </w:pPr>
            <w:r w:rsidRPr="00CA4BD2">
              <w:t xml:space="preserve">innovation skills to select appropriate tools </w:t>
            </w:r>
            <w:r w:rsidRPr="00CA4BD2">
              <w:t>and equipment, respond to workplace challenges and put ideas into action</w:t>
            </w:r>
          </w:p>
          <w:p w:rsidR="00000000" w:rsidRPr="00CA4BD2" w:rsidP="00CA4BD2">
            <w:pPr>
              <w:pStyle w:val="ListBullet"/>
            </w:pPr>
            <w:r w:rsidRPr="00CA4BD2">
              <w:t>numeracy skills to calculate measurement requirements related to lengths and allowances</w:t>
            </w:r>
          </w:p>
          <w:p w:rsidR="00000000" w:rsidRPr="00CA4BD2" w:rsidP="00CA4BD2">
            <w:pPr>
              <w:pStyle w:val="ListBullet"/>
            </w:pPr>
            <w:r w:rsidRPr="00CA4BD2">
              <w:t>problem solving skills to recognise and take action to rectify minor faults and problems</w:t>
            </w:r>
          </w:p>
          <w:p w:rsidR="00000000" w:rsidP="00CA4BD2">
            <w:pPr>
              <w:pStyle w:val="ListBullet"/>
              <w:rPr>
                <w:lang w:val="en-NZ"/>
              </w:rPr>
            </w:pPr>
            <w:r w:rsidRPr="00CA4BD2">
              <w:t>teamwork skills to be able to work with others to action tasks and relate to people from a range of cultural, social, ethnic backgrounds and with varying physical and mental abilities.</w:t>
            </w:r>
          </w:p>
        </w:tc>
      </w:tr>
      <w:tr w:rsidTr="00685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Required knowledge</w:t>
            </w:r>
          </w:p>
        </w:tc>
      </w:tr>
      <w:tr w:rsidTr="00685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Required knowledge for this unit is:</w:t>
            </w:r>
          </w:p>
          <w:p w:rsidR="00000000" w:rsidRPr="00CA4BD2" w:rsidP="00CA4BD2">
            <w:pPr>
              <w:pStyle w:val="ListBullet"/>
            </w:pPr>
            <w:r w:rsidRPr="00CA4BD2">
              <w:t>interpretati</w:t>
            </w:r>
            <w:r w:rsidRPr="00CA4BD2">
              <w:t>on of drawings and specifications</w:t>
            </w:r>
          </w:p>
          <w:p w:rsidR="00000000" w:rsidRPr="00CA4BD2" w:rsidP="00CA4BD2">
            <w:pPr>
              <w:pStyle w:val="ListBullet"/>
            </w:pPr>
            <w:r w:rsidRPr="00CA4BD2">
              <w:t>job safety analysis (JSA) and safe work method statements</w:t>
            </w:r>
          </w:p>
          <w:p w:rsidR="00000000" w:rsidRPr="00CA4BD2" w:rsidP="00CA4BD2">
            <w:pPr>
              <w:pStyle w:val="ListBullet"/>
            </w:pPr>
            <w:r w:rsidRPr="00CA4BD2">
              <w:t>material handling techniques associated with stonemasonry work</w:t>
            </w:r>
          </w:p>
          <w:p w:rsidR="00000000" w:rsidRPr="00CA4BD2" w:rsidP="00CA4BD2">
            <w:pPr>
              <w:pStyle w:val="ListBullet"/>
            </w:pPr>
            <w:r w:rsidRPr="00CA4BD2">
              <w:t>measurement techniques relevant to stone</w:t>
            </w:r>
          </w:p>
          <w:p w:rsidR="00000000" w:rsidRPr="00CA4BD2" w:rsidP="00CA4BD2">
            <w:pPr>
              <w:pStyle w:val="ListBullet"/>
            </w:pPr>
            <w:r w:rsidRPr="00CA4BD2">
              <w:t xml:space="preserve">types and characteristics of materials used in stonemasonry </w:t>
            </w:r>
            <w:r w:rsidRPr="00CA4BD2">
              <w:t>work</w:t>
            </w:r>
          </w:p>
          <w:p w:rsidR="00000000" w:rsidRPr="00CA4BD2" w:rsidP="00CA4BD2">
            <w:pPr>
              <w:pStyle w:val="ListBullet"/>
            </w:pPr>
            <w:r w:rsidRPr="00CA4BD2">
              <w:t>types and safe use of portable power tools for stonemasonry work</w:t>
            </w:r>
          </w:p>
          <w:p w:rsidR="00000000" w:rsidRPr="00CA4BD2" w:rsidP="00CA4BD2">
            <w:pPr>
              <w:pStyle w:val="ListBullet"/>
            </w:pPr>
            <w:r w:rsidRPr="00CA4BD2">
              <w:t>types and use of hand tools and equipment relevant to stonemasonry work</w:t>
            </w:r>
          </w:p>
          <w:p w:rsidR="00000000" w:rsidRPr="00CA4BD2" w:rsidP="00CA4BD2">
            <w:pPr>
              <w:pStyle w:val="ListBullet"/>
            </w:pPr>
            <w:r w:rsidRPr="00CA4BD2">
              <w:t>workplace and equipment safety requirements.</w:t>
            </w:r>
          </w:p>
        </w:tc>
      </w:tr>
    </w:tbl>
    <w:p w:rsidR="006859FD" w:rsidP="00CA4BD2">
      <w:pPr>
        <w:pStyle w:val="BodyText"/>
      </w:pPr>
    </w:p>
    <w:p w:rsidR="006859FD" w:rsidP="00CA4BD2">
      <w:pPr>
        <w:pStyle w:val="BodyText"/>
      </w:pPr>
    </w:p>
    <w:p w:rsidR="00000000" w:rsidRPr="00CA4BD2" w:rsidP="00CA4BD2">
      <w:pPr>
        <w:pStyle w:val="AllowPageBreak"/>
      </w:pPr>
    </w:p>
    <w:p w:rsidR="00000000" w:rsidRPr="00CA4BD2" w:rsidP="00CA4BD2">
      <w:pPr>
        <w:pStyle w:val="Heading1"/>
      </w:pPr>
      <w:bookmarkStart w:id="10" w:name="O_242409"/>
      <w:bookmarkEnd w:id="10"/>
      <w:r w:rsidRPr="00CA4BD2">
        <w:t>Evidence Guide</w:t>
      </w:r>
    </w:p>
    <w:tbl>
      <w:tblPr>
        <w:tblW w:w="0" w:type="auto"/>
        <w:tblLayout w:type="fixed"/>
        <w:tblCellMar>
          <w:left w:w="62" w:type="dxa"/>
          <w:right w:w="62" w:type="dxa"/>
        </w:tblCellMar>
        <w:tblLook w:val="0000"/>
      </w:tblPr>
      <w:tblGrid>
        <w:gridCol w:w="3508"/>
        <w:gridCol w:w="5014"/>
      </w:tblGrid>
      <w:tr w:rsidTr="006859F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A4BD2">
            <w:pPr>
              <w:pStyle w:val="BodyText"/>
              <w:rPr>
                <w:lang w:val="en-NZ"/>
              </w:rPr>
            </w:pPr>
            <w:r w:rsidRPr="00CA4BD2">
              <w:rPr>
                <w:rStyle w:val="SpecialBold"/>
              </w:rPr>
              <w:t>EVIDENCE GUIDE</w:t>
            </w:r>
          </w:p>
        </w:tc>
      </w:tr>
      <w:tr w:rsidTr="006859F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A4BD2">
            <w:pPr>
              <w:pStyle w:val="BodyText"/>
              <w:rPr>
                <w:lang w:val="en-NZ"/>
              </w:rPr>
            </w:pPr>
            <w:r w:rsidRPr="00CA4BD2">
              <w:t>The evidence guide provides advice on assessment and must be read in conjunction with the performance criteria, required skills and knowledge, range statement and the Assessment Guidelines for the Training Package.</w:t>
            </w:r>
          </w:p>
        </w:tc>
      </w:tr>
      <w:tr w:rsidTr="006859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t>This unit of competency could be assessed in the workplace or a close simulation of the workplace environment, provided that simulated or project-based assessment techniques fully replicate construction workplace conditions, materials, activities, responsi</w:t>
            </w:r>
            <w:r w:rsidRPr="00CA4BD2">
              <w:t xml:space="preserve">bilities and procedures. </w:t>
            </w:r>
          </w:p>
        </w:tc>
      </w:tr>
      <w:tr w:rsidTr="006859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 xml:space="preserve">A person who demonstrates competency in this unit must be able to prepare for a range of stonemasonry activities, providing evidence of </w:t>
            </w:r>
            <w:r w:rsidRPr="00CA4BD2">
              <w:t>the ability to:</w:t>
            </w:r>
          </w:p>
          <w:p w:rsidR="00000000" w:rsidRPr="00CA4BD2" w:rsidP="00CA4BD2">
            <w:pPr>
              <w:pStyle w:val="ListBullet"/>
            </w:pPr>
            <w:r w:rsidRPr="00CA4BD2">
              <w:t>comply with OHS regulations applicable to workplace operations</w:t>
            </w:r>
          </w:p>
          <w:p w:rsidR="00000000" w:rsidRPr="00CA4BD2" w:rsidP="00CA4BD2">
            <w:pPr>
              <w:pStyle w:val="ListBullet"/>
            </w:pPr>
            <w:r w:rsidRPr="00CA4BD2">
              <w:t>comply with organisational policies and procedures, including quality assurance requirements</w:t>
            </w:r>
          </w:p>
          <w:p w:rsidR="00000000" w:rsidRPr="00CA4BD2" w:rsidP="00CA4BD2">
            <w:pPr>
              <w:pStyle w:val="ListBullet"/>
            </w:pPr>
            <w:r w:rsidRPr="00CA4BD2">
              <w:t>carry out correct procedures prior to and during the construction processes</w:t>
            </w:r>
          </w:p>
          <w:p w:rsidR="00000000" w:rsidRPr="00CA4BD2" w:rsidP="00CA4BD2">
            <w:pPr>
              <w:pStyle w:val="ListBullet"/>
            </w:pPr>
            <w:r w:rsidRPr="00CA4BD2">
              <w:t>demonst</w:t>
            </w:r>
            <w:r w:rsidRPr="00CA4BD2">
              <w:t>rate safe and effective operational use of tools, plant and equipment</w:t>
            </w:r>
          </w:p>
          <w:p w:rsidR="00000000" w:rsidRPr="00CA4BD2" w:rsidP="00CA4BD2">
            <w:pPr>
              <w:pStyle w:val="ListBullet"/>
            </w:pPr>
            <w:r w:rsidRPr="00CA4BD2">
              <w:t>adopt and use correct procedures to handle and place materials</w:t>
            </w:r>
          </w:p>
          <w:p w:rsidR="00000000" w:rsidP="00CA4BD2">
            <w:pPr>
              <w:pStyle w:val="ListBullet"/>
              <w:rPr>
                <w:lang w:val="en-NZ"/>
              </w:rPr>
            </w:pPr>
            <w:r w:rsidRPr="00CA4BD2">
              <w:t>communicate with others to ensure safe and effective work site operations.</w:t>
            </w:r>
          </w:p>
        </w:tc>
      </w:tr>
      <w:tr w:rsidTr="006859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Context of and specific resources for assessmen</w:t>
            </w:r>
            <w:r w:rsidRPr="00CA4BD2">
              <w:rPr>
                <w:rStyle w:val="SpecialBold"/>
              </w:rPr>
              <w:t>t</w:t>
            </w:r>
          </w:p>
        </w:tc>
        <w:tc>
          <w:tcPr>
            <w:tcW w:w="5014"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This competency is to be assessed using standard and authorised work practices, safety requirements and environmental constraints.</w:t>
            </w:r>
          </w:p>
          <w:p w:rsidR="00000000" w:rsidRPr="00CA4BD2" w:rsidP="00CA4BD2">
            <w:pPr>
              <w:pStyle w:val="BodyText"/>
            </w:pPr>
            <w:r w:rsidRPr="00CA4BD2">
              <w:t>Assessment of essential underpinning knowledge will usually be conducted in an off-site context.</w:t>
            </w:r>
          </w:p>
          <w:p w:rsidR="00000000" w:rsidRPr="00CA4BD2" w:rsidP="00CA4BD2">
            <w:pPr>
              <w:pStyle w:val="BodyText"/>
            </w:pPr>
            <w:r w:rsidRPr="00CA4BD2">
              <w:t>Assessment is to comply wi</w:t>
            </w:r>
            <w:r w:rsidRPr="00CA4BD2">
              <w:t>th relevant regulatory or Australian standards' requirements.</w:t>
            </w:r>
          </w:p>
          <w:p w:rsidR="00000000" w:rsidRPr="00CA4BD2" w:rsidP="00CA4BD2">
            <w:pPr>
              <w:pStyle w:val="BodyText"/>
            </w:pPr>
            <w:r w:rsidRPr="00CA4BD2">
              <w:t>Resource implications for assessment include:</w:t>
            </w:r>
          </w:p>
          <w:p w:rsidR="00000000" w:rsidRPr="00CA4BD2" w:rsidP="00CA4BD2">
            <w:pPr>
              <w:pStyle w:val="ListBullet"/>
            </w:pPr>
            <w:r w:rsidRPr="00CA4BD2">
              <w:t>construction materials relevant to stonemasonry work</w:t>
            </w:r>
          </w:p>
          <w:p w:rsidR="00000000" w:rsidRPr="00CA4BD2" w:rsidP="00CA4BD2">
            <w:pPr>
              <w:pStyle w:val="ListBullet"/>
            </w:pPr>
            <w:r w:rsidRPr="00CA4BD2">
              <w:t>hand and power tools appropriate to stonemasonry work processes</w:t>
            </w:r>
          </w:p>
          <w:p w:rsidR="00000000" w:rsidRPr="00CA4BD2" w:rsidP="00CA4BD2">
            <w:pPr>
              <w:pStyle w:val="ListBullet"/>
            </w:pPr>
            <w:r w:rsidRPr="00CA4BD2">
              <w:t>plant and equipment appropriate to stonemasonry work processes</w:t>
            </w:r>
          </w:p>
          <w:p w:rsidR="00000000" w:rsidRPr="00CA4BD2" w:rsidP="00CA4BD2">
            <w:pPr>
              <w:pStyle w:val="ListBullet"/>
            </w:pPr>
            <w:r w:rsidRPr="00CA4BD2">
              <w:t>suitable work area appropriate to construction processes.</w:t>
            </w:r>
          </w:p>
          <w:p w:rsidR="00000000" w:rsidP="00CA4BD2">
            <w:pPr>
              <w:pStyle w:val="BodyText"/>
              <w:rPr>
                <w:lang w:val="en-NZ"/>
              </w:rPr>
            </w:pPr>
            <w:r w:rsidRPr="00CA4BD2">
              <w:t>Reasonable adjustments for people with disabilities must be made to assessment processes where required. This could include access to m</w:t>
            </w:r>
            <w:r w:rsidRPr="00CA4BD2">
              <w:t xml:space="preserve">odified equipment and other physical resources, and the provision of appropriate assessment support. </w:t>
            </w:r>
          </w:p>
        </w:tc>
      </w:tr>
      <w:tr w:rsidTr="006859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Assessment methods must:</w:t>
            </w:r>
          </w:p>
          <w:p w:rsidR="00000000" w:rsidRPr="00CA4BD2" w:rsidP="00CA4BD2">
            <w:pPr>
              <w:pStyle w:val="ListBullet"/>
            </w:pPr>
            <w:r w:rsidRPr="00CA4BD2">
              <w:t>satisfy the endorsed Assessment Guidelines of the Construction, Plumbing and Services Training Package</w:t>
            </w:r>
          </w:p>
          <w:p w:rsidR="00000000" w:rsidRPr="00CA4BD2" w:rsidP="00CA4BD2">
            <w:pPr>
              <w:pStyle w:val="ListBullet"/>
            </w:pPr>
            <w:r w:rsidRPr="00CA4BD2">
              <w:t>inc</w:t>
            </w:r>
            <w:r w:rsidRPr="00CA4BD2">
              <w:t>lude direct observation of tasks in real or simulated work conditions, with questioning to confirm the ability to consistently identify and correctly interpret the essential underpinning knowledge required for practical application</w:t>
            </w:r>
          </w:p>
          <w:p w:rsidR="00000000" w:rsidRPr="00CA4BD2" w:rsidP="00CA4BD2">
            <w:pPr>
              <w:pStyle w:val="ListBullet"/>
            </w:pPr>
            <w:r w:rsidRPr="00CA4BD2">
              <w:t>reinforce the integratio</w:t>
            </w:r>
            <w:r w:rsidRPr="00CA4BD2">
              <w:t>n of employability skills with workplace tasks and job roles</w:t>
            </w:r>
          </w:p>
          <w:p w:rsidR="00000000" w:rsidRPr="00CA4BD2" w:rsidP="00CA4BD2">
            <w:pPr>
              <w:pStyle w:val="ListBullet"/>
            </w:pPr>
            <w:r w:rsidRPr="00CA4BD2">
              <w:t>confirm a reasonable inference that competency is not only verified under the particular assessment circumstance, but is able to be transferred to other circumstances and environments.</w:t>
            </w:r>
          </w:p>
          <w:p w:rsidR="00000000" w:rsidRPr="00CA4BD2" w:rsidP="00CA4BD2">
            <w:pPr>
              <w:pStyle w:val="BodyText"/>
            </w:pPr>
            <w:r w:rsidRPr="00CA4BD2">
              <w:t>Validity a</w:t>
            </w:r>
            <w:r w:rsidRPr="00CA4BD2">
              <w:t>nd sufficiency of evidence requires that:</w:t>
            </w:r>
          </w:p>
          <w:p w:rsidR="00000000" w:rsidRPr="00CA4BD2" w:rsidP="00CA4BD2">
            <w:pPr>
              <w:pStyle w:val="ListBullet"/>
            </w:pPr>
            <w:r w:rsidRPr="00CA4BD2">
              <w:t>competency will need to be demonstrated over a period of time reflecting the scope of the role and practical requirements of the workplace</w:t>
            </w:r>
          </w:p>
          <w:p w:rsidR="00000000" w:rsidRPr="00CA4BD2" w:rsidP="00CA4BD2">
            <w:pPr>
              <w:pStyle w:val="ListBullet"/>
            </w:pPr>
            <w:r w:rsidRPr="00CA4BD2">
              <w:t xml:space="preserve">where the assessment is part of a structured learning experience the evidence collected must relate to a number of performances assessed at different points in time and separated by further learning and practice with a decision on competency only taken at </w:t>
            </w:r>
            <w:r w:rsidRPr="00CA4BD2">
              <w:t>the point when the assessor has complete confidence in the person's demonstrated ability and applied knowledge</w:t>
            </w:r>
          </w:p>
          <w:p w:rsidR="00000000" w:rsidRPr="00CA4BD2" w:rsidP="00CA4BD2">
            <w:pPr>
              <w:pStyle w:val="ListBullet"/>
            </w:pPr>
            <w:r w:rsidRPr="00CA4BD2">
              <w:t>all assessment that is part of a structured learning experience must include a combination of direct, indirect and supplementary evidence.</w:t>
            </w:r>
          </w:p>
          <w:p w:rsidR="00000000" w:rsidRPr="00CA4BD2" w:rsidP="00CA4BD2">
            <w:pPr>
              <w:pStyle w:val="BodyText"/>
            </w:pPr>
            <w:r w:rsidRPr="00CA4BD2">
              <w:t>Assess</w:t>
            </w:r>
            <w:r w:rsidRPr="00CA4BD2">
              <w:t>ment processes and techniques should, as far as is practical, take into account the language, literacy and numeracy capacity of the candidate in relation to the competency being assessed.</w:t>
            </w:r>
          </w:p>
          <w:p w:rsidR="00000000" w:rsidRPr="00CA4BD2" w:rsidP="00CA4BD2">
            <w:pPr>
              <w:pStyle w:val="BodyText"/>
            </w:pPr>
            <w:r w:rsidRPr="00CA4BD2">
              <w:t>Supplementary evidence of competency may be obtained from relevant a</w:t>
            </w:r>
            <w:r w:rsidRPr="00CA4BD2">
              <w:t xml:space="preserve">uthenticated documentation from third parties, such as existing supervisors, team leaders or specialist training staff. </w:t>
            </w:r>
          </w:p>
        </w:tc>
      </w:tr>
    </w:tbl>
    <w:p w:rsidR="006859FD" w:rsidP="00CA4BD2">
      <w:pPr>
        <w:pStyle w:val="BodyText"/>
      </w:pPr>
    </w:p>
    <w:p w:rsidR="006859FD" w:rsidP="00CA4BD2">
      <w:pPr>
        <w:pStyle w:val="BodyText"/>
      </w:pPr>
    </w:p>
    <w:p w:rsidR="00000000" w:rsidRPr="00CA4BD2" w:rsidP="00CA4BD2">
      <w:pPr>
        <w:pStyle w:val="Heading1"/>
      </w:pPr>
      <w:bookmarkStart w:id="11" w:name="O_250392"/>
      <w:bookmarkEnd w:id="11"/>
      <w:r w:rsidRPr="00CA4BD2">
        <w:t>Range Statement</w:t>
      </w:r>
    </w:p>
    <w:tbl>
      <w:tblPr>
        <w:tblW w:w="0" w:type="auto"/>
        <w:tblLayout w:type="fixed"/>
        <w:tblCellMar>
          <w:left w:w="62" w:type="dxa"/>
          <w:right w:w="62" w:type="dxa"/>
        </w:tblCellMar>
        <w:tblLook w:val="0000"/>
      </w:tblPr>
      <w:tblGrid>
        <w:gridCol w:w="3542"/>
        <w:gridCol w:w="4980"/>
      </w:tblGrid>
      <w:tr w:rsidTr="006859F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A4BD2">
            <w:pPr>
              <w:pStyle w:val="BodyText"/>
              <w:rPr>
                <w:lang w:val="en-NZ"/>
              </w:rPr>
            </w:pPr>
            <w:r w:rsidRPr="00CA4BD2">
              <w:rPr>
                <w:rStyle w:val="SpecialBold"/>
              </w:rPr>
              <w:t>RANGE STATEMENT</w:t>
            </w:r>
          </w:p>
        </w:tc>
      </w:tr>
      <w:tr w:rsidTr="006859F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A4BD2">
            <w:pPr>
              <w:pStyle w:val="BodyText"/>
              <w:rPr>
                <w:lang w:val="en-NZ"/>
              </w:rPr>
            </w:pPr>
            <w:r w:rsidRPr="00CA4BD2">
              <w:t>The range statement relates to the unit of competency as a whole. It allows for different work environments and situations that may affect performance. Bold italicised wording, if used in the performance criteria, is detailed below. Essential operating con</w:t>
            </w:r>
            <w:r w:rsidRPr="00CA4BD2">
              <w:t>ditions that may be present with training and assessment (depending on the work situation, needs of the candidate, accessibility of the item, and local industry and regional contexts) may also be included.</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1.1.</w:t>
            </w:r>
            <w:r w:rsidRPr="00CA4BD2">
              <w:tab/>
            </w:r>
            <w:r w:rsidRPr="00CA4BD2">
              <w:rPr>
                <w:rStyle w:val="BoldandItalics"/>
              </w:rPr>
              <w:t>Information</w:t>
            </w:r>
            <w:r w:rsidRPr="00CA4BD2">
              <w:t xml:space="preserve"> includes:</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diagrams or sketches</w:t>
            </w:r>
          </w:p>
          <w:p w:rsidR="00000000" w:rsidRPr="00CA4BD2" w:rsidP="00CA4BD2">
            <w:pPr>
              <w:pStyle w:val="ListBullet"/>
            </w:pPr>
            <w:r w:rsidRPr="00CA4BD2">
              <w:t>instructions issued by authorised organisational or external personnel</w:t>
            </w:r>
          </w:p>
          <w:p w:rsidR="00000000" w:rsidRPr="00CA4BD2" w:rsidP="00CA4BD2">
            <w:pPr>
              <w:pStyle w:val="ListBullet"/>
            </w:pPr>
            <w:r w:rsidRPr="00CA4BD2">
              <w:t>manufacturer specifications and instructions, where specified</w:t>
            </w:r>
          </w:p>
          <w:p w:rsidR="00000000" w:rsidRPr="00CA4BD2" w:rsidP="00CA4BD2">
            <w:pPr>
              <w:pStyle w:val="ListBullet"/>
            </w:pPr>
            <w:r w:rsidRPr="00CA4BD2">
              <w:t>material safety data sheets (MSDS)</w:t>
            </w:r>
          </w:p>
          <w:p w:rsidR="00000000" w:rsidRPr="00CA4BD2" w:rsidP="00CA4BD2">
            <w:pPr>
              <w:pStyle w:val="ListBullet"/>
            </w:pPr>
            <w:r w:rsidRPr="00CA4BD2">
              <w:t>memos</w:t>
            </w:r>
          </w:p>
          <w:p w:rsidR="00000000" w:rsidRPr="00CA4BD2" w:rsidP="00CA4BD2">
            <w:pPr>
              <w:pStyle w:val="ListBullet"/>
            </w:pPr>
            <w:r w:rsidRPr="00CA4BD2">
              <w:t>regulatory and legislative requirements pertaining to preparation for stonemasonry production process</w:t>
            </w:r>
          </w:p>
          <w:p w:rsidR="00000000" w:rsidRPr="00CA4BD2" w:rsidP="00CA4BD2">
            <w:pPr>
              <w:pStyle w:val="ListBullet"/>
            </w:pPr>
            <w:r w:rsidRPr="00CA4BD2">
              <w:t>relevant Australian standards</w:t>
            </w:r>
          </w:p>
          <w:p w:rsidR="00000000" w:rsidRPr="00CA4BD2" w:rsidP="00CA4BD2">
            <w:pPr>
              <w:pStyle w:val="ListBullet"/>
            </w:pPr>
            <w:r w:rsidRPr="00CA4BD2">
              <w:t>safe work procedures relating to preparation for stonemasonry production process</w:t>
            </w:r>
          </w:p>
          <w:p w:rsidR="00000000" w:rsidRPr="00CA4BD2" w:rsidP="00CA4BD2">
            <w:pPr>
              <w:pStyle w:val="ListBullet"/>
            </w:pPr>
            <w:r w:rsidRPr="00CA4BD2">
              <w:t>signage</w:t>
            </w:r>
          </w:p>
          <w:p w:rsidR="00000000" w:rsidRPr="00CA4BD2" w:rsidP="00CA4BD2">
            <w:pPr>
              <w:pStyle w:val="ListBullet"/>
            </w:pPr>
            <w:r w:rsidRPr="00CA4BD2">
              <w:t>verbal, written and graphical instr</w:t>
            </w:r>
            <w:r w:rsidRPr="00CA4BD2">
              <w:t>uctions</w:t>
            </w:r>
          </w:p>
          <w:p w:rsidR="00000000" w:rsidRPr="00CA4BD2" w:rsidP="00CA4BD2">
            <w:pPr>
              <w:pStyle w:val="ListBullet"/>
            </w:pPr>
            <w:r w:rsidRPr="00CA4BD2">
              <w:t>work bulletins</w:t>
            </w:r>
          </w:p>
          <w:p w:rsidR="00000000" w:rsidP="00CA4BD2">
            <w:pPr>
              <w:pStyle w:val="ListBullet"/>
              <w:rPr>
                <w:lang w:val="en-NZ"/>
              </w:rPr>
            </w:pPr>
            <w:r w:rsidRPr="00CA4BD2">
              <w:t>work schedules, plans and specifications.</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1.2.</w:t>
            </w:r>
            <w:r w:rsidRPr="00CA4BD2">
              <w:tab/>
            </w:r>
            <w:r w:rsidRPr="00CA4BD2">
              <w:rPr>
                <w:rStyle w:val="BoldandItalics"/>
              </w:rPr>
              <w:t>Planning and preparation</w:t>
            </w:r>
            <w:r w:rsidRPr="00CA4BD2">
              <w:t xml:space="preserve"> include:</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assessment of conditions and hazards</w:t>
            </w:r>
          </w:p>
          <w:p w:rsidR="00000000" w:rsidRPr="00CA4BD2" w:rsidP="00CA4BD2">
            <w:pPr>
              <w:pStyle w:val="ListBullet"/>
            </w:pPr>
            <w:r w:rsidRPr="00CA4BD2">
              <w:t>determination of work requirements and safety plans and policies</w:t>
            </w:r>
          </w:p>
          <w:p w:rsidR="00000000" w:rsidRPr="00CA4BD2" w:rsidP="00CA4BD2">
            <w:pPr>
              <w:pStyle w:val="ListBullet"/>
            </w:pPr>
            <w:r w:rsidRPr="00CA4BD2">
              <w:t>equipment defect identification</w:t>
            </w:r>
          </w:p>
          <w:p w:rsidR="00000000" w:rsidP="00CA4BD2">
            <w:pPr>
              <w:pStyle w:val="ListBullet"/>
              <w:rPr>
                <w:lang w:val="en-NZ"/>
              </w:rPr>
            </w:pPr>
            <w:r w:rsidRPr="00CA4BD2">
              <w:t>work site inspection.</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1.3.</w:t>
            </w:r>
            <w:r w:rsidRPr="00CA4BD2">
              <w:tab/>
            </w:r>
            <w:r w:rsidRPr="00CA4BD2">
              <w:rPr>
                <w:rStyle w:val="BoldandItalics"/>
              </w:rPr>
              <w:t>Safety</w:t>
            </w:r>
            <w:r w:rsidRPr="00CA4BD2">
              <w:t xml:space="preserve"> (</w:t>
            </w:r>
            <w:r w:rsidRPr="00CA4BD2">
              <w:rPr>
                <w:rStyle w:val="BoldandItalics"/>
              </w:rPr>
              <w:t>OHS</w:t>
            </w:r>
            <w:r w:rsidRPr="00CA4BD2">
              <w:t>) is to be in accordance with state and territory legislation and regulations and project safety plan and may include:</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emergency procedures, including extinguishing fires, organisational first aid requirements and ev</w:t>
            </w:r>
            <w:r w:rsidRPr="00CA4BD2">
              <w:t>acuation</w:t>
            </w:r>
          </w:p>
          <w:p w:rsidR="00000000" w:rsidRPr="00CA4BD2" w:rsidP="00CA4BD2">
            <w:pPr>
              <w:pStyle w:val="ListBullet"/>
            </w:pPr>
            <w:r w:rsidRPr="00CA4BD2">
              <w:t>hazard control</w:t>
            </w:r>
          </w:p>
          <w:p w:rsidR="00000000" w:rsidRPr="00CA4BD2" w:rsidP="00CA4BD2">
            <w:pPr>
              <w:pStyle w:val="ListBullet"/>
            </w:pPr>
            <w:r w:rsidRPr="00CA4BD2">
              <w:t>hazardous materials and substances</w:t>
            </w:r>
          </w:p>
          <w:p w:rsidR="00000000" w:rsidRPr="00CA4BD2" w:rsidP="00CA4BD2">
            <w:pPr>
              <w:pStyle w:val="ListBullet"/>
            </w:pPr>
            <w:r w:rsidRPr="00CA4BD2">
              <w:t>organisational first aid</w:t>
            </w:r>
          </w:p>
          <w:p w:rsidR="00000000" w:rsidRPr="00CA4BD2" w:rsidP="00CA4BD2">
            <w:pPr>
              <w:pStyle w:val="ListBullet"/>
            </w:pPr>
            <w:r w:rsidRPr="00CA4BD2">
              <w:t>PPE prescribed under legislation, regulations and workplace policies and practices</w:t>
            </w:r>
          </w:p>
          <w:p w:rsidR="00000000" w:rsidRPr="00CA4BD2" w:rsidP="00CA4BD2">
            <w:pPr>
              <w:pStyle w:val="ListBullet"/>
            </w:pPr>
            <w:r w:rsidRPr="00CA4BD2">
              <w:t>safe operating procedures, including the conduct of operational risk assessment and treat</w:t>
            </w:r>
            <w:r w:rsidRPr="00CA4BD2">
              <w:t>ments associated with:</w:t>
            </w:r>
          </w:p>
          <w:p w:rsidR="00000000" w:rsidRPr="00CA4BD2" w:rsidP="00CA4BD2">
            <w:pPr>
              <w:pStyle w:val="ListBullet2"/>
            </w:pPr>
            <w:r w:rsidRPr="00CA4BD2">
              <w:t>concealed services (water, power and gas)</w:t>
            </w:r>
          </w:p>
          <w:p w:rsidR="00000000" w:rsidRPr="00CA4BD2" w:rsidP="00CA4BD2">
            <w:pPr>
              <w:pStyle w:val="ListBullet2"/>
            </w:pPr>
            <w:r w:rsidRPr="00CA4BD2">
              <w:t>dust</w:t>
            </w:r>
          </w:p>
          <w:p w:rsidR="00000000" w:rsidRPr="00CA4BD2" w:rsidP="00CA4BD2">
            <w:pPr>
              <w:pStyle w:val="ListBullet2"/>
            </w:pPr>
            <w:r w:rsidRPr="00CA4BD2">
              <w:t>lighting</w:t>
            </w:r>
          </w:p>
          <w:p w:rsidR="00000000" w:rsidRPr="00CA4BD2" w:rsidP="00CA4BD2">
            <w:pPr>
              <w:pStyle w:val="ListBullet2"/>
            </w:pPr>
            <w:r w:rsidRPr="00CA4BD2">
              <w:t>restricted access barriers</w:t>
            </w:r>
          </w:p>
          <w:p w:rsidR="00000000" w:rsidRPr="00CA4BD2" w:rsidP="00CA4BD2">
            <w:pPr>
              <w:pStyle w:val="ListBullet2"/>
            </w:pPr>
            <w:r w:rsidRPr="00CA4BD2">
              <w:t>traffic control</w:t>
            </w:r>
          </w:p>
          <w:p w:rsidR="00000000" w:rsidRPr="00CA4BD2" w:rsidP="00CA4BD2">
            <w:pPr>
              <w:pStyle w:val="ListBullet2"/>
            </w:pPr>
            <w:r w:rsidRPr="00CA4BD2">
              <w:t>wind</w:t>
            </w:r>
          </w:p>
          <w:p w:rsidR="00000000" w:rsidRPr="00CA4BD2" w:rsidP="00CA4BD2">
            <w:pPr>
              <w:pStyle w:val="ListBullet2"/>
            </w:pPr>
            <w:r w:rsidRPr="00CA4BD2">
              <w:t>work site visitors and the public</w:t>
            </w:r>
          </w:p>
          <w:p w:rsidR="00000000" w:rsidRPr="00CA4BD2" w:rsidP="00CA4BD2">
            <w:pPr>
              <w:pStyle w:val="ListBullet2"/>
            </w:pPr>
            <w:r w:rsidRPr="00CA4BD2">
              <w:t>working at heights</w:t>
            </w:r>
          </w:p>
          <w:p w:rsidR="00000000" w:rsidRPr="00CA4BD2" w:rsidP="00CA4BD2">
            <w:pPr>
              <w:pStyle w:val="ListBullet2"/>
            </w:pPr>
            <w:r w:rsidRPr="00CA4BD2">
              <w:t>working from platforms</w:t>
            </w:r>
          </w:p>
          <w:p w:rsidR="00000000" w:rsidRPr="00CA4BD2" w:rsidP="00CA4BD2">
            <w:pPr>
              <w:pStyle w:val="ListBullet2"/>
            </w:pPr>
            <w:r w:rsidRPr="00CA4BD2">
              <w:t>working in confined spaces</w:t>
            </w:r>
          </w:p>
          <w:p w:rsidR="00000000" w:rsidRPr="00CA4BD2" w:rsidP="00CA4BD2">
            <w:pPr>
              <w:pStyle w:val="ListBullet2"/>
            </w:pPr>
            <w:r w:rsidRPr="00CA4BD2">
              <w:t>working in proximity to others</w:t>
            </w:r>
          </w:p>
          <w:p w:rsidR="00000000" w:rsidRPr="00CA4BD2" w:rsidP="00CA4BD2">
            <w:pPr>
              <w:pStyle w:val="ListBullet2"/>
            </w:pPr>
            <w:r w:rsidRPr="00CA4BD2">
              <w:t>working with heavy stone</w:t>
            </w:r>
          </w:p>
          <w:p w:rsidR="00000000" w:rsidRPr="00CA4BD2" w:rsidP="00CA4BD2">
            <w:pPr>
              <w:pStyle w:val="ListBullet"/>
            </w:pPr>
            <w:r w:rsidRPr="00CA4BD2">
              <w:t>use of firefighting equipment</w:t>
            </w:r>
          </w:p>
          <w:p w:rsidR="00000000" w:rsidRPr="00CA4BD2" w:rsidP="00CA4BD2">
            <w:pPr>
              <w:pStyle w:val="ListBullet"/>
            </w:pPr>
            <w:r w:rsidRPr="00CA4BD2">
              <w:t>use of shifting equipment</w:t>
            </w:r>
          </w:p>
          <w:p w:rsidR="00000000" w:rsidRPr="00CA4BD2" w:rsidP="00CA4BD2">
            <w:pPr>
              <w:pStyle w:val="ListBullet"/>
            </w:pPr>
            <w:r w:rsidRPr="00CA4BD2">
              <w:t>use of tools and equipment</w:t>
            </w:r>
          </w:p>
          <w:p w:rsidR="00000000" w:rsidRPr="00CA4BD2" w:rsidP="00CA4BD2">
            <w:pPr>
              <w:pStyle w:val="ListBullet"/>
            </w:pPr>
            <w:r w:rsidRPr="00CA4BD2">
              <w:t>working platforms and scaffolding</w:t>
            </w:r>
          </w:p>
          <w:p w:rsidR="00000000" w:rsidP="00CA4BD2">
            <w:pPr>
              <w:pStyle w:val="ListBullet"/>
              <w:rPr>
                <w:lang w:val="en-NZ"/>
              </w:rPr>
            </w:pPr>
            <w:r w:rsidRPr="00CA4BD2">
              <w:t>workplace environmental requirements and safety.</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1.4.</w:t>
            </w:r>
            <w:r w:rsidRPr="00CA4BD2">
              <w:tab/>
            </w:r>
            <w:r w:rsidRPr="00CA4BD2">
              <w:rPr>
                <w:rStyle w:val="BoldandItalics"/>
              </w:rPr>
              <w:t>Tools and equipment</w:t>
            </w:r>
            <w:r w:rsidRPr="00CA4BD2">
              <w:t xml:space="preserve"> include:</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angle grinders</w:t>
            </w:r>
          </w:p>
          <w:p w:rsidR="00000000" w:rsidRPr="00CA4BD2" w:rsidP="00CA4BD2">
            <w:pPr>
              <w:pStyle w:val="ListBullet"/>
            </w:pPr>
            <w:r w:rsidRPr="00CA4BD2">
              <w:t>bolsters</w:t>
            </w:r>
          </w:p>
          <w:p w:rsidR="00000000" w:rsidRPr="00CA4BD2" w:rsidP="00CA4BD2">
            <w:pPr>
              <w:pStyle w:val="ListBullet"/>
            </w:pPr>
            <w:r w:rsidRPr="00CA4BD2">
              <w:t>brushes and brooms</w:t>
            </w:r>
          </w:p>
          <w:p w:rsidR="00000000" w:rsidRPr="00CA4BD2" w:rsidP="00CA4BD2">
            <w:pPr>
              <w:pStyle w:val="ListBullet"/>
            </w:pPr>
            <w:r w:rsidRPr="00CA4BD2">
              <w:t>hammers</w:t>
            </w:r>
          </w:p>
          <w:p w:rsidR="00000000" w:rsidRPr="00CA4BD2" w:rsidP="00CA4BD2">
            <w:pPr>
              <w:pStyle w:val="ListBullet"/>
            </w:pPr>
            <w:r w:rsidRPr="00CA4BD2">
              <w:t>hoses</w:t>
            </w:r>
          </w:p>
          <w:p w:rsidR="00000000" w:rsidRPr="00CA4BD2" w:rsidP="00CA4BD2">
            <w:pPr>
              <w:pStyle w:val="ListBullet"/>
            </w:pPr>
            <w:r w:rsidRPr="00CA4BD2">
              <w:t>masonry saws</w:t>
            </w:r>
          </w:p>
          <w:p w:rsidR="00000000" w:rsidRPr="00CA4BD2" w:rsidP="00CA4BD2">
            <w:pPr>
              <w:pStyle w:val="ListBullet"/>
            </w:pPr>
            <w:r w:rsidRPr="00CA4BD2">
              <w:t>measuring tapes and rules</w:t>
            </w:r>
          </w:p>
          <w:p w:rsidR="00000000" w:rsidRPr="00CA4BD2" w:rsidP="00CA4BD2">
            <w:pPr>
              <w:pStyle w:val="ListBullet"/>
            </w:pPr>
            <w:r w:rsidRPr="00CA4BD2">
              <w:t>mortar boards</w:t>
            </w:r>
          </w:p>
          <w:p w:rsidR="00000000" w:rsidRPr="00CA4BD2" w:rsidP="00CA4BD2">
            <w:pPr>
              <w:pStyle w:val="ListBullet"/>
            </w:pPr>
            <w:r w:rsidRPr="00CA4BD2">
              <w:t>power leads</w:t>
            </w:r>
          </w:p>
          <w:p w:rsidR="00000000" w:rsidRPr="00CA4BD2" w:rsidP="00CA4BD2">
            <w:pPr>
              <w:pStyle w:val="ListBullet"/>
            </w:pPr>
            <w:r w:rsidRPr="00CA4BD2">
              <w:t>scaffolding</w:t>
            </w:r>
          </w:p>
          <w:p w:rsidR="00000000" w:rsidRPr="00CA4BD2" w:rsidP="00CA4BD2">
            <w:pPr>
              <w:pStyle w:val="ListBullet"/>
            </w:pPr>
            <w:r w:rsidRPr="00CA4BD2">
              <w:t>shovels</w:t>
            </w:r>
          </w:p>
          <w:p w:rsidR="00000000" w:rsidP="00CA4BD2">
            <w:pPr>
              <w:pStyle w:val="ListBullet"/>
              <w:rPr>
                <w:lang w:val="en-NZ"/>
              </w:rPr>
            </w:pPr>
            <w:r w:rsidRPr="00CA4BD2">
              <w:t>wheelbarrows.</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1.5.</w:t>
            </w:r>
            <w:r w:rsidRPr="00CA4BD2">
              <w:tab/>
            </w:r>
            <w:r w:rsidRPr="00CA4BD2">
              <w:rPr>
                <w:rStyle w:val="BoldandItalics"/>
              </w:rPr>
              <w:t>Quality requirements</w:t>
            </w:r>
            <w:r w:rsidRPr="00CA4BD2">
              <w:t xml:space="preserve"> include:</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handling of materials</w:t>
            </w:r>
          </w:p>
          <w:p w:rsidR="00000000" w:rsidRPr="00CA4BD2" w:rsidP="00CA4BD2">
            <w:pPr>
              <w:pStyle w:val="ListBullet"/>
            </w:pPr>
            <w:r w:rsidRPr="00CA4BD2">
              <w:t>preparation of surfaces</w:t>
            </w:r>
          </w:p>
          <w:p w:rsidR="00000000" w:rsidRPr="00CA4BD2" w:rsidP="00CA4BD2">
            <w:pPr>
              <w:pStyle w:val="ListBullet"/>
            </w:pPr>
            <w:r w:rsidRPr="00CA4BD2">
              <w:t>relevant regulations, including:</w:t>
            </w:r>
          </w:p>
          <w:p w:rsidR="00000000" w:rsidRPr="00CA4BD2" w:rsidP="00CA4BD2">
            <w:pPr>
              <w:pStyle w:val="ListBullet2"/>
            </w:pPr>
            <w:r w:rsidRPr="00CA4BD2">
              <w:t>Australian standards</w:t>
            </w:r>
          </w:p>
          <w:p w:rsidR="00000000" w:rsidRPr="00CA4BD2" w:rsidP="00CA4BD2">
            <w:pPr>
              <w:pStyle w:val="ListBullet2"/>
            </w:pPr>
            <w:r w:rsidRPr="00CA4BD2">
              <w:t>internal company quality policy and standards</w:t>
            </w:r>
          </w:p>
          <w:p w:rsidR="00000000" w:rsidRPr="00CA4BD2" w:rsidP="00CA4BD2">
            <w:pPr>
              <w:pStyle w:val="ListBullet2"/>
            </w:pPr>
            <w:r w:rsidRPr="00CA4BD2">
              <w:t>manufacturer specifications where specified</w:t>
            </w:r>
          </w:p>
          <w:p w:rsidR="00000000" w:rsidRPr="00CA4BD2" w:rsidP="00CA4BD2">
            <w:pPr>
              <w:pStyle w:val="ListBullet2"/>
            </w:pPr>
            <w:r w:rsidRPr="00CA4BD2">
              <w:t>workplace operations and procedures</w:t>
            </w:r>
          </w:p>
          <w:p w:rsidR="00000000" w:rsidRPr="00CA4BD2" w:rsidP="00CA4BD2">
            <w:pPr>
              <w:pStyle w:val="ListBullet"/>
            </w:pPr>
            <w:r w:rsidRPr="00CA4BD2">
              <w:t>storage of materials</w:t>
            </w:r>
          </w:p>
          <w:p w:rsidR="00000000" w:rsidP="00CA4BD2">
            <w:pPr>
              <w:pStyle w:val="ListBullet"/>
              <w:rPr>
                <w:lang w:val="en-NZ"/>
              </w:rPr>
            </w:pPr>
            <w:r w:rsidRPr="00CA4BD2">
              <w:t>use and maintenance of tools and equipment.</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1.6.</w:t>
            </w:r>
            <w:r w:rsidRPr="00CA4BD2">
              <w:tab/>
            </w:r>
            <w:r w:rsidRPr="00CA4BD2">
              <w:rPr>
                <w:rStyle w:val="BoldandItalics"/>
              </w:rPr>
              <w:t>Materials</w:t>
            </w:r>
            <w:r w:rsidRPr="00CA4BD2">
              <w:t>:</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include:</w:t>
            </w:r>
          </w:p>
          <w:p w:rsidR="00000000" w:rsidRPr="00CA4BD2" w:rsidP="00CA4BD2">
            <w:pPr>
              <w:pStyle w:val="ListBullet2"/>
            </w:pPr>
            <w:r w:rsidRPr="00CA4BD2">
              <w:t>cement</w:t>
            </w:r>
          </w:p>
          <w:p w:rsidR="00000000" w:rsidRPr="00CA4BD2" w:rsidP="00CA4BD2">
            <w:pPr>
              <w:pStyle w:val="ListBullet2"/>
            </w:pPr>
            <w:r w:rsidRPr="00CA4BD2">
              <w:t>lime</w:t>
            </w:r>
          </w:p>
          <w:p w:rsidR="00000000" w:rsidRPr="00CA4BD2" w:rsidP="00CA4BD2">
            <w:pPr>
              <w:pStyle w:val="ListBullet2"/>
            </w:pPr>
            <w:r w:rsidRPr="00CA4BD2">
              <w:t>sand</w:t>
            </w:r>
          </w:p>
          <w:p w:rsidR="00000000" w:rsidRPr="00CA4BD2" w:rsidP="00CA4BD2">
            <w:pPr>
              <w:pStyle w:val="ListBullet"/>
            </w:pPr>
            <w:r w:rsidRPr="00CA4BD2">
              <w:t>may vary in accordance with stone:</w:t>
            </w:r>
          </w:p>
          <w:p w:rsidR="00000000" w:rsidRPr="00CA4BD2" w:rsidP="00CA4BD2">
            <w:pPr>
              <w:pStyle w:val="ListBullet2"/>
            </w:pPr>
            <w:r w:rsidRPr="00CA4BD2">
              <w:t>colour</w:t>
            </w:r>
          </w:p>
          <w:p w:rsidR="00000000" w:rsidRPr="00CA4BD2" w:rsidP="00CA4BD2">
            <w:pPr>
              <w:pStyle w:val="ListBullet2"/>
            </w:pPr>
            <w:r w:rsidRPr="00CA4BD2">
              <w:t>shape</w:t>
            </w:r>
          </w:p>
          <w:p w:rsidR="00000000" w:rsidRPr="00CA4BD2" w:rsidP="00CA4BD2">
            <w:pPr>
              <w:pStyle w:val="ListBullet2"/>
            </w:pPr>
            <w:r w:rsidRPr="00CA4BD2">
              <w:t>size</w:t>
            </w:r>
          </w:p>
          <w:p w:rsidR="00000000" w:rsidRPr="00CA4BD2" w:rsidP="00CA4BD2">
            <w:pPr>
              <w:pStyle w:val="ListBullet2"/>
            </w:pPr>
            <w:r w:rsidRPr="00CA4BD2">
              <w:t>type</w:t>
            </w:r>
          </w:p>
          <w:p w:rsidR="00000000" w:rsidRPr="00CA4BD2" w:rsidP="00CA4BD2">
            <w:pPr>
              <w:pStyle w:val="ListBullet"/>
            </w:pPr>
            <w:r w:rsidRPr="00CA4BD2">
              <w:t>preparation may include:</w:t>
            </w:r>
          </w:p>
          <w:p w:rsidR="00000000" w:rsidRPr="00CA4BD2" w:rsidP="00CA4BD2">
            <w:pPr>
              <w:pStyle w:val="ListBullet2"/>
            </w:pPr>
            <w:r w:rsidRPr="00CA4BD2">
              <w:t>cutting stone</w:t>
            </w:r>
          </w:p>
          <w:p w:rsidR="00000000" w:rsidP="00CA4BD2">
            <w:pPr>
              <w:pStyle w:val="ListBullet2"/>
              <w:rPr>
                <w:lang w:val="en-NZ"/>
              </w:rPr>
            </w:pPr>
            <w:r w:rsidRPr="00CA4BD2">
              <w:t>preparing materials for batching for mortar.</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1.7.</w:t>
            </w:r>
            <w:r w:rsidRPr="00CA4BD2">
              <w:tab/>
            </w:r>
            <w:r w:rsidRPr="00CA4BD2">
              <w:rPr>
                <w:rStyle w:val="BoldandItalics"/>
              </w:rPr>
              <w:t>Environmental requirements</w:t>
            </w:r>
            <w:r w:rsidRPr="00CA4BD2">
              <w:t xml:space="preserve"> include:</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clean-up management</w:t>
            </w:r>
          </w:p>
          <w:p w:rsidR="00000000" w:rsidRPr="00CA4BD2" w:rsidP="00CA4BD2">
            <w:pPr>
              <w:pStyle w:val="ListBullet"/>
            </w:pPr>
            <w:r w:rsidRPr="00CA4BD2">
              <w:t>dust and noise</w:t>
            </w:r>
          </w:p>
          <w:p w:rsidR="00000000" w:rsidRPr="00CA4BD2" w:rsidP="00CA4BD2">
            <w:pPr>
              <w:pStyle w:val="ListBullet"/>
            </w:pPr>
            <w:r w:rsidRPr="00CA4BD2">
              <w:t>stormwater protection</w:t>
            </w:r>
          </w:p>
          <w:p w:rsidR="00000000" w:rsidP="00CA4BD2">
            <w:pPr>
              <w:pStyle w:val="ListBullet"/>
              <w:rPr>
                <w:lang w:val="en-NZ"/>
              </w:rPr>
            </w:pPr>
            <w:r w:rsidRPr="00CA4BD2">
              <w:t>waste management.</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1.8.</w:t>
            </w:r>
            <w:r w:rsidRPr="00CA4BD2">
              <w:tab/>
            </w:r>
            <w:r w:rsidRPr="00CA4BD2">
              <w:rPr>
                <w:rStyle w:val="BoldandItalics"/>
              </w:rPr>
              <w:t>Statutory and regulatory authority</w:t>
            </w:r>
            <w:r w:rsidRPr="00CA4BD2">
              <w:t xml:space="preserve"> includes:</w:t>
            </w:r>
          </w:p>
        </w:tc>
        <w:tc>
          <w:tcPr>
            <w:tcW w:w="4980" w:type="dxa"/>
            <w:tcBorders>
              <w:top w:val="nil"/>
              <w:left w:val="nil"/>
              <w:bottom w:val="nil"/>
              <w:right w:val="nil"/>
            </w:tcBorders>
            <w:tcMar>
              <w:top w:w="0" w:type="dxa"/>
              <w:left w:w="62" w:type="dxa"/>
              <w:bottom w:w="0" w:type="dxa"/>
              <w:right w:w="62" w:type="dxa"/>
            </w:tcMar>
          </w:tcPr>
          <w:p w:rsidR="00000000" w:rsidP="00CA4BD2">
            <w:pPr>
              <w:pStyle w:val="ListBullet"/>
              <w:rPr>
                <w:lang w:val="en-NZ"/>
              </w:rPr>
            </w:pPr>
            <w:r w:rsidRPr="00CA4BD2">
              <w:t>federal, state and local authorities administering applicable Acts, regulations and codes of practice.</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1.9.</w:t>
            </w:r>
            <w:r w:rsidRPr="00CA4BD2">
              <w:tab/>
            </w:r>
            <w:r w:rsidRPr="00CA4BD2">
              <w:rPr>
                <w:rStyle w:val="BoldandItalics"/>
              </w:rPr>
              <w:t>Work area preparation</w:t>
            </w:r>
            <w:r w:rsidRPr="00CA4BD2">
              <w:t xml:space="preserve"> includes:</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cleaning of strip footings or slab</w:t>
            </w:r>
          </w:p>
          <w:p w:rsidR="00000000" w:rsidRPr="00CA4BD2" w:rsidP="00CA4BD2">
            <w:pPr>
              <w:pStyle w:val="ListBullet"/>
            </w:pPr>
            <w:r w:rsidRPr="00CA4BD2">
              <w:t>erecting scaffolding</w:t>
            </w:r>
          </w:p>
          <w:p w:rsidR="00000000" w:rsidRPr="00CA4BD2" w:rsidP="00CA4BD2">
            <w:pPr>
              <w:pStyle w:val="ListBullet"/>
            </w:pPr>
            <w:r w:rsidRPr="00CA4BD2">
              <w:t>establishing temporary water and power supply</w:t>
            </w:r>
          </w:p>
          <w:p w:rsidR="00000000" w:rsidRPr="00CA4BD2" w:rsidP="00CA4BD2">
            <w:pPr>
              <w:pStyle w:val="ListBullet"/>
            </w:pPr>
            <w:r w:rsidRPr="00CA4BD2">
              <w:t>locating mortar boards</w:t>
            </w:r>
          </w:p>
          <w:p w:rsidR="00000000" w:rsidRPr="00CA4BD2" w:rsidP="00CA4BD2">
            <w:pPr>
              <w:pStyle w:val="ListBullet"/>
            </w:pPr>
            <w:r w:rsidRPr="00CA4BD2">
              <w:t>preparing access for supply of mortar</w:t>
            </w:r>
          </w:p>
          <w:p w:rsidR="00000000" w:rsidP="00CA4BD2">
            <w:pPr>
              <w:pStyle w:val="ListBullet"/>
              <w:rPr>
                <w:lang w:val="en-NZ"/>
              </w:rPr>
            </w:pPr>
            <w:r w:rsidRPr="00CA4BD2">
              <w:t>setting up concrete mixer.</w:t>
            </w:r>
          </w:p>
        </w:tc>
      </w:tr>
      <w:tr w:rsidTr="006859FD">
        <w:tblPrEx>
          <w:tblW w:w="0" w:type="auto"/>
          <w:tblLayout w:type="fixed"/>
          <w:tblCellMar>
            <w:left w:w="62" w:type="dxa"/>
            <w:right w:w="62" w:type="dxa"/>
          </w:tblCellMar>
          <w:tblLook w:val="0000"/>
        </w:tblPrEx>
        <w:tc>
          <w:tcPr>
            <w:tcW w:w="3542" w:type="dxa"/>
            <w:tcBorders>
              <w:top w:val="nil"/>
              <w:left w:val="nil"/>
              <w:bottom w:val="nil"/>
              <w:right w:val="nil"/>
            </w:tcBorders>
            <w:tcMar>
              <w:top w:w="0" w:type="dxa"/>
              <w:left w:w="62" w:type="dxa"/>
              <w:bottom w:w="0" w:type="dxa"/>
              <w:right w:w="62" w:type="dxa"/>
            </w:tcMar>
          </w:tcPr>
          <w:p w:rsidR="00000000" w:rsidP="00CA4BD2">
            <w:pPr>
              <w:pStyle w:val="List2"/>
              <w:rPr>
                <w:lang w:val="en-NZ"/>
              </w:rPr>
            </w:pPr>
            <w:r w:rsidRPr="00CA4BD2">
              <w:t>1.10.</w:t>
            </w:r>
            <w:r w:rsidRPr="00CA4BD2">
              <w:tab/>
            </w:r>
            <w:r w:rsidRPr="00CA4BD2">
              <w:rPr>
                <w:rStyle w:val="BoldandItalics"/>
              </w:rPr>
              <w:t>Construction processes</w:t>
            </w:r>
            <w:r w:rsidRPr="00CA4BD2">
              <w:t xml:space="preserve"> include:</w:t>
            </w:r>
          </w:p>
        </w:tc>
        <w:tc>
          <w:tcPr>
            <w:tcW w:w="4980" w:type="dxa"/>
            <w:tcBorders>
              <w:top w:val="nil"/>
              <w:left w:val="nil"/>
              <w:bottom w:val="nil"/>
              <w:right w:val="nil"/>
            </w:tcBorders>
            <w:tcMar>
              <w:top w:w="0" w:type="dxa"/>
              <w:left w:w="62" w:type="dxa"/>
              <w:bottom w:w="0" w:type="dxa"/>
              <w:right w:w="62" w:type="dxa"/>
            </w:tcMar>
          </w:tcPr>
          <w:p w:rsidR="00000000" w:rsidRPr="00CA4BD2" w:rsidP="00CA4BD2">
            <w:pPr>
              <w:pStyle w:val="ListBullet"/>
            </w:pPr>
            <w:r w:rsidRPr="00CA4BD2">
              <w:t>cleaning stone face</w:t>
            </w:r>
          </w:p>
          <w:p w:rsidR="00000000" w:rsidRPr="00CA4BD2" w:rsidP="00CA4BD2">
            <w:pPr>
              <w:pStyle w:val="ListBullet"/>
            </w:pPr>
            <w:r w:rsidRPr="00CA4BD2">
              <w:t>laying stone</w:t>
            </w:r>
          </w:p>
          <w:p w:rsidR="00000000" w:rsidRPr="00CA4BD2" w:rsidP="00CA4BD2">
            <w:pPr>
              <w:pStyle w:val="ListBullet"/>
            </w:pPr>
            <w:r w:rsidRPr="00CA4BD2">
              <w:t>preparing for stone laying</w:t>
            </w:r>
          </w:p>
          <w:p w:rsidR="00000000" w:rsidRPr="00CA4BD2" w:rsidP="00CA4BD2">
            <w:pPr>
              <w:pStyle w:val="ListBullet"/>
            </w:pPr>
            <w:r w:rsidRPr="00CA4BD2">
              <w:t>work site preparation.</w:t>
            </w:r>
          </w:p>
        </w:tc>
      </w:tr>
    </w:tbl>
    <w:p w:rsidR="006859FD" w:rsidP="00CA4BD2">
      <w:pPr>
        <w:pStyle w:val="BodyText"/>
      </w:pPr>
    </w:p>
    <w:p w:rsidR="006859FD" w:rsidP="00CA4BD2">
      <w:pPr>
        <w:pStyle w:val="BodyText"/>
      </w:pPr>
    </w:p>
    <w:p w:rsidR="00000000" w:rsidRPr="00CA4BD2" w:rsidP="00CA4BD2">
      <w:pPr>
        <w:pStyle w:val="Heading1"/>
      </w:pPr>
      <w:bookmarkStart w:id="12" w:name="O_198765"/>
      <w:bookmarkEnd w:id="12"/>
      <w:r w:rsidRPr="00CA4BD2">
        <w:t>Unit Sector(s)</w:t>
      </w:r>
    </w:p>
    <w:tbl>
      <w:tblPr>
        <w:tblW w:w="0" w:type="auto"/>
        <w:tblLayout w:type="fixed"/>
        <w:tblCellMar>
          <w:left w:w="62" w:type="dxa"/>
          <w:right w:w="62" w:type="dxa"/>
        </w:tblCellMar>
        <w:tblLook w:val="0000"/>
      </w:tblPr>
      <w:tblGrid>
        <w:gridCol w:w="2387"/>
        <w:gridCol w:w="6135"/>
      </w:tblGrid>
      <w:tr w:rsidTr="006859FD">
        <w:tblPrEx>
          <w:tblW w:w="0" w:type="auto"/>
          <w:tblLayout w:type="fixed"/>
          <w:tblCellMar>
            <w:left w:w="62" w:type="dxa"/>
            <w:right w:w="62" w:type="dxa"/>
          </w:tblCellMar>
          <w:tblLook w:val="0000"/>
        </w:tblPrEx>
        <w:trPr>
          <w:tblHeader/>
        </w:trPr>
        <w:tc>
          <w:tcPr>
            <w:tcW w:w="2387"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Unit sector</w:t>
            </w:r>
          </w:p>
        </w:tc>
        <w:tc>
          <w:tcPr>
            <w:tcW w:w="6135" w:type="dxa"/>
            <w:tcBorders>
              <w:top w:val="nil"/>
              <w:left w:val="nil"/>
              <w:bottom w:val="nil"/>
              <w:right w:val="nil"/>
            </w:tcBorders>
            <w:tcMar>
              <w:top w:w="0" w:type="dxa"/>
              <w:left w:w="62" w:type="dxa"/>
              <w:bottom w:w="0" w:type="dxa"/>
              <w:right w:w="62" w:type="dxa"/>
            </w:tcMar>
          </w:tcPr>
          <w:p w:rsidR="00000000" w:rsidRPr="00CA4BD2" w:rsidP="00CA4BD2">
            <w:pPr>
              <w:pStyle w:val="BodyText"/>
            </w:pPr>
            <w:r w:rsidRPr="00CA4BD2">
              <w:t>Construction</w:t>
            </w:r>
          </w:p>
        </w:tc>
      </w:tr>
    </w:tbl>
    <w:p w:rsidR="006859FD" w:rsidP="00CA4BD2">
      <w:pPr>
        <w:pStyle w:val="BodyText"/>
      </w:pPr>
    </w:p>
    <w:p w:rsidR="006859FD" w:rsidP="00CA4BD2">
      <w:pPr>
        <w:pStyle w:val="BodyText"/>
      </w:pPr>
    </w:p>
    <w:p w:rsidR="00000000" w:rsidRPr="00CA4BD2" w:rsidP="00CA4BD2">
      <w:pPr>
        <w:pStyle w:val="Heading1"/>
      </w:pPr>
      <w:bookmarkStart w:id="13" w:name="O_198762"/>
      <w:bookmarkEnd w:id="13"/>
      <w:r w:rsidRPr="00CA4BD2">
        <w:t>Co-requisite units</w:t>
      </w:r>
    </w:p>
    <w:tbl>
      <w:tblPr>
        <w:tblW w:w="0" w:type="auto"/>
        <w:tblLayout w:type="fixed"/>
        <w:tblCellMar>
          <w:left w:w="62" w:type="dxa"/>
          <w:right w:w="62" w:type="dxa"/>
        </w:tblCellMar>
        <w:tblLook w:val="0000"/>
      </w:tblPr>
      <w:tblGrid>
        <w:gridCol w:w="2394"/>
        <w:gridCol w:w="2206"/>
        <w:gridCol w:w="3922"/>
      </w:tblGrid>
      <w:tr w:rsidTr="006859FD">
        <w:tblPrEx>
          <w:tblW w:w="0" w:type="auto"/>
          <w:tblLayout w:type="fixed"/>
          <w:tblCellMar>
            <w:left w:w="62" w:type="dxa"/>
            <w:right w:w="62" w:type="dxa"/>
          </w:tblCellMar>
          <w:tblLook w:val="0000"/>
        </w:tblPrEx>
        <w:trPr>
          <w:tblHeader/>
        </w:trPr>
        <w:tc>
          <w:tcPr>
            <w:tcW w:w="2394"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Co-requisite units</w:t>
            </w:r>
          </w:p>
        </w:tc>
        <w:tc>
          <w:tcPr>
            <w:tcW w:w="6128" w:type="dxa"/>
            <w:gridSpan w:val="2"/>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t>Nil</w:t>
            </w:r>
          </w:p>
        </w:tc>
      </w:tr>
      <w:tr w:rsidTr="006859FD">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p>
        </w:tc>
      </w:tr>
      <w:tr w:rsidTr="006859FD">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CA4BD2" w:rsidP="00CA4BD2">
            <w:pPr>
              <w:pStyle w:val="BodyText"/>
            </w:pPr>
          </w:p>
        </w:tc>
      </w:tr>
    </w:tbl>
    <w:p w:rsidR="006859FD" w:rsidP="00CA4BD2">
      <w:pPr>
        <w:pStyle w:val="BodyText"/>
      </w:pPr>
    </w:p>
    <w:p w:rsidR="006859FD" w:rsidP="00CA4BD2">
      <w:pPr>
        <w:pStyle w:val="BodyText"/>
      </w:pPr>
    </w:p>
    <w:p w:rsidR="00000000" w:rsidRPr="00CA4BD2" w:rsidP="00CA4BD2">
      <w:pPr>
        <w:pStyle w:val="Heading1"/>
      </w:pPr>
      <w:bookmarkStart w:id="14" w:name="O_198764"/>
      <w:bookmarkEnd w:id="14"/>
      <w:r w:rsidRPr="00CA4BD2">
        <w:t>Functional ar</w:t>
      </w:r>
      <w:r w:rsidRPr="00CA4BD2">
        <w:t>ea</w:t>
      </w:r>
    </w:p>
    <w:tbl>
      <w:tblPr>
        <w:tblW w:w="0" w:type="auto"/>
        <w:tblLayout w:type="fixed"/>
        <w:tblCellMar>
          <w:left w:w="62" w:type="dxa"/>
          <w:right w:w="62" w:type="dxa"/>
        </w:tblCellMar>
        <w:tblLook w:val="0000"/>
      </w:tblPr>
      <w:tblGrid>
        <w:gridCol w:w="2482"/>
        <w:gridCol w:w="6040"/>
      </w:tblGrid>
      <w:tr w:rsidTr="006859FD">
        <w:tblPrEx>
          <w:tblW w:w="0" w:type="auto"/>
          <w:tblLayout w:type="fixed"/>
          <w:tblCellMar>
            <w:left w:w="62" w:type="dxa"/>
            <w:right w:w="62" w:type="dxa"/>
          </w:tblCellMar>
          <w:tblLook w:val="0000"/>
        </w:tblPrEx>
        <w:trPr>
          <w:tblHeader/>
        </w:trPr>
        <w:tc>
          <w:tcPr>
            <w:tcW w:w="2482" w:type="dxa"/>
            <w:tcBorders>
              <w:top w:val="nil"/>
              <w:left w:val="nil"/>
              <w:bottom w:val="nil"/>
              <w:right w:val="nil"/>
            </w:tcBorders>
            <w:tcMar>
              <w:top w:w="0" w:type="dxa"/>
              <w:left w:w="62" w:type="dxa"/>
              <w:bottom w:w="0" w:type="dxa"/>
              <w:right w:w="62" w:type="dxa"/>
            </w:tcMar>
          </w:tcPr>
          <w:p w:rsidR="00000000" w:rsidP="00CA4BD2">
            <w:pPr>
              <w:pStyle w:val="BodyText"/>
              <w:rPr>
                <w:lang w:val="en-NZ"/>
              </w:rPr>
            </w:pPr>
            <w:r w:rsidRPr="00CA4BD2">
              <w:rPr>
                <w:rStyle w:val="SpecialBold"/>
              </w:rPr>
              <w:t>Functional area</w:t>
            </w:r>
          </w:p>
        </w:tc>
        <w:tc>
          <w:tcPr>
            <w:tcW w:w="6040" w:type="dxa"/>
            <w:tcBorders>
              <w:top w:val="nil"/>
              <w:left w:val="nil"/>
              <w:bottom w:val="nil"/>
              <w:right w:val="nil"/>
            </w:tcBorders>
            <w:tcMar>
              <w:top w:w="0" w:type="dxa"/>
              <w:left w:w="62" w:type="dxa"/>
              <w:bottom w:w="0" w:type="dxa"/>
              <w:right w:w="62" w:type="dxa"/>
            </w:tcMar>
          </w:tcPr>
          <w:p w:rsidR="00000000" w:rsidRPr="00CA4BD2" w:rsidP="00CA4BD2">
            <w:pPr>
              <w:pStyle w:val="BodyText"/>
            </w:pPr>
          </w:p>
        </w:tc>
      </w:tr>
    </w:tbl>
    <w:p w:rsidR="006859FD" w:rsidP="00CA4BD2">
      <w:pPr>
        <w:pStyle w:val="BodyText"/>
      </w:pPr>
    </w:p>
    <w:p w:rsidR="006859FD" w:rsidP="00CA4BD2">
      <w:pPr>
        <w:pStyle w:val="BodyText"/>
      </w:pPr>
    </w:p>
    <w:p w:rsidR="00000000" w:rsidRPr="00CA4BD2" w:rsidP="00CA4BD2"/>
    <w:sectPr w:rsidSect="00CA4B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9FD" w:rsidP="00685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FD" w:rsidP="00CA4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859FD" w:rsidP="00CA4B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59FD" w:rsidP="00CA4B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9FD" w:rsidP="006859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FD" w:rsidP="00CA4BD2">
    <w:pPr>
      <w:pStyle w:val="Header"/>
      <w:framePr w:wrap="around"/>
    </w:pPr>
    <w:r>
      <w:fldChar w:fldCharType="begin"/>
    </w:r>
    <w:r>
      <w:instrText xml:space="preserve"> TITLE   \* MERGEFORMAT </w:instrText>
    </w:r>
    <w:r>
      <w:fldChar w:fldCharType="separate"/>
    </w:r>
    <w:r>
      <w:t>CPCCST2001A Prepare for stonemasonry construction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59FD" w:rsidP="00CA4B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4B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A9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EB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B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BD2"/>
    <w:pPr>
      <w:spacing w:before="360" w:after="60"/>
      <w:outlineLvl w:val="0"/>
    </w:pPr>
    <w:rPr>
      <w:sz w:val="32"/>
    </w:rPr>
  </w:style>
  <w:style w:type="paragraph" w:styleId="Heading2">
    <w:name w:val="heading 2"/>
    <w:basedOn w:val="HeadingBase"/>
    <w:next w:val="BodyText"/>
    <w:link w:val="Heading2Char"/>
    <w:qFormat/>
    <w:rsid w:val="00CA4BD2"/>
    <w:pPr>
      <w:keepLines/>
      <w:spacing w:before="240" w:after="120"/>
      <w:outlineLvl w:val="1"/>
    </w:pPr>
    <w:rPr>
      <w:sz w:val="28"/>
      <w:szCs w:val="40"/>
    </w:rPr>
  </w:style>
  <w:style w:type="paragraph" w:styleId="Heading3">
    <w:name w:val="heading 3"/>
    <w:basedOn w:val="HeadingBase"/>
    <w:next w:val="BodyText"/>
    <w:link w:val="Heading3Char"/>
    <w:qFormat/>
    <w:rsid w:val="00CA4BD2"/>
    <w:pPr>
      <w:spacing w:before="180" w:after="120"/>
      <w:outlineLvl w:val="2"/>
    </w:pPr>
    <w:rPr>
      <w:spacing w:val="-10"/>
      <w:kern w:val="32"/>
    </w:rPr>
  </w:style>
  <w:style w:type="paragraph" w:styleId="Heading4">
    <w:name w:val="heading 4"/>
    <w:basedOn w:val="HeadingBase"/>
    <w:next w:val="BodyText"/>
    <w:link w:val="Heading4Char"/>
    <w:qFormat/>
    <w:rsid w:val="00CA4BD2"/>
    <w:pPr>
      <w:spacing w:before="160" w:after="120"/>
      <w:outlineLvl w:val="3"/>
    </w:pPr>
    <w:rPr>
      <w:sz w:val="22"/>
    </w:rPr>
  </w:style>
  <w:style w:type="paragraph" w:styleId="Heading5">
    <w:name w:val="heading 5"/>
    <w:basedOn w:val="HeadingBase"/>
    <w:next w:val="Normal"/>
    <w:link w:val="Heading5Char"/>
    <w:qFormat/>
    <w:rsid w:val="00CA4BD2"/>
    <w:pPr>
      <w:spacing w:before="80"/>
      <w:outlineLvl w:val="4"/>
    </w:pPr>
    <w:rPr>
      <w:color w:val="918585"/>
      <w:sz w:val="20"/>
    </w:rPr>
  </w:style>
  <w:style w:type="paragraph" w:styleId="Heading6">
    <w:name w:val="heading 6"/>
    <w:basedOn w:val="HeadingBase"/>
    <w:next w:val="Normal"/>
    <w:link w:val="Heading6Char"/>
    <w:qFormat/>
    <w:rsid w:val="00CA4BD2"/>
    <w:pPr>
      <w:spacing w:before="60"/>
      <w:outlineLvl w:val="5"/>
    </w:pPr>
    <w:rPr>
      <w:color w:val="918585"/>
      <w:sz w:val="20"/>
    </w:rPr>
  </w:style>
  <w:style w:type="paragraph" w:styleId="Heading7">
    <w:name w:val="heading 7"/>
    <w:basedOn w:val="Normal"/>
    <w:next w:val="Normal"/>
    <w:link w:val="Heading7Char"/>
    <w:qFormat/>
    <w:rsid w:val="00CA4BD2"/>
    <w:pPr>
      <w:ind w:left="720"/>
      <w:outlineLvl w:val="6"/>
    </w:pPr>
    <w:rPr>
      <w:i/>
    </w:rPr>
  </w:style>
  <w:style w:type="paragraph" w:styleId="Heading8">
    <w:name w:val="heading 8"/>
    <w:basedOn w:val="Normal"/>
    <w:next w:val="Normal"/>
    <w:link w:val="Heading8Char"/>
    <w:qFormat/>
    <w:rsid w:val="00CA4BD2"/>
    <w:pPr>
      <w:ind w:left="720"/>
      <w:outlineLvl w:val="7"/>
    </w:pPr>
    <w:rPr>
      <w:i/>
    </w:rPr>
  </w:style>
  <w:style w:type="paragraph" w:styleId="Heading9">
    <w:name w:val="heading 9"/>
    <w:basedOn w:val="Normal"/>
    <w:next w:val="Normal"/>
    <w:link w:val="Heading9Char"/>
    <w:qFormat/>
    <w:rsid w:val="00CA4BD2"/>
    <w:pPr>
      <w:ind w:left="720"/>
      <w:outlineLvl w:val="8"/>
    </w:pPr>
    <w:rPr>
      <w:i/>
    </w:rPr>
  </w:style>
  <w:style w:type="character" w:default="1" w:styleId="DefaultParagraphFont">
    <w:name w:val="Default Paragraph Font"/>
    <w:uiPriority w:val="1"/>
    <w:unhideWhenUsed/>
    <w:rsid w:val="00CA4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BD2"/>
  </w:style>
  <w:style w:type="character" w:customStyle="1" w:styleId="Heading1Char">
    <w:name w:val="Heading 1 Char"/>
    <w:basedOn w:val="DefaultParagraphFont"/>
    <w:link w:val="Heading1"/>
    <w:rsid w:val="00CA4BD2"/>
    <w:rPr>
      <w:rFonts w:ascii="Times New Roman" w:eastAsia="Times New Roman" w:hAnsi="Times New Roman" w:cs="Times New Roman"/>
      <w:b/>
      <w:sz w:val="32"/>
      <w:szCs w:val="20"/>
      <w:lang w:eastAsia="en-US"/>
    </w:rPr>
  </w:style>
  <w:style w:type="paragraph" w:styleId="BodyText">
    <w:name w:val="Body Text"/>
    <w:basedOn w:val="Normal"/>
    <w:link w:val="BodyTextChar"/>
    <w:rsid w:val="00CA4B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BD2"/>
    <w:rPr>
      <w:rFonts w:ascii="Times New Roman" w:eastAsia="Times New Roman" w:hAnsi="Times New Roman" w:cs="Times New Roman"/>
      <w:sz w:val="24"/>
      <w:lang w:val="en-US" w:eastAsia="en-US"/>
    </w:rPr>
  </w:style>
  <w:style w:type="paragraph" w:styleId="Footer">
    <w:name w:val="footer"/>
    <w:basedOn w:val="Normal"/>
    <w:link w:val="FooterChar"/>
    <w:rsid w:val="00CA4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BD2"/>
    <w:rPr>
      <w:rFonts w:ascii="Times New Roman" w:eastAsia="Times New Roman" w:hAnsi="Times New Roman" w:cs="Times New Roman"/>
      <w:sz w:val="16"/>
      <w:lang w:val="en-US" w:eastAsia="en-US"/>
    </w:rPr>
  </w:style>
  <w:style w:type="paragraph" w:styleId="List">
    <w:name w:val="List"/>
    <w:basedOn w:val="BodyText"/>
    <w:next w:val="BodyText"/>
    <w:rsid w:val="00CA4BD2"/>
    <w:pPr>
      <w:tabs>
        <w:tab w:val="left" w:pos="340"/>
      </w:tabs>
      <w:spacing w:before="60" w:after="60"/>
      <w:ind w:left="340" w:hanging="340"/>
    </w:pPr>
  </w:style>
  <w:style w:type="paragraph" w:styleId="ListBullet">
    <w:name w:val="List Bullet"/>
    <w:basedOn w:val="List"/>
    <w:rsid w:val="00CA4BD2"/>
    <w:pPr>
      <w:numPr>
        <w:numId w:val="14"/>
      </w:numPr>
      <w:tabs>
        <w:tab w:val="clear" w:pos="340"/>
      </w:tabs>
      <w:spacing w:before="40" w:after="40"/>
    </w:pPr>
  </w:style>
  <w:style w:type="character" w:customStyle="1" w:styleId="SpecialBold">
    <w:name w:val="Special Bold"/>
    <w:basedOn w:val="DefaultParagraphFont"/>
    <w:rsid w:val="00CA4BD2"/>
    <w:rPr>
      <w:b/>
      <w:spacing w:val="0"/>
    </w:rPr>
  </w:style>
  <w:style w:type="paragraph" w:styleId="ListBullet2">
    <w:name w:val="List Bullet 2"/>
    <w:basedOn w:val="List2"/>
    <w:rsid w:val="00CA4BD2"/>
    <w:pPr>
      <w:numPr>
        <w:numId w:val="15"/>
      </w:numPr>
      <w:tabs>
        <w:tab w:val="clear" w:pos="680"/>
      </w:tabs>
    </w:pPr>
  </w:style>
  <w:style w:type="paragraph" w:styleId="Header">
    <w:name w:val="header"/>
    <w:basedOn w:val="Normal"/>
    <w:link w:val="HeaderChar"/>
    <w:rsid w:val="00CA4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B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BD2"/>
    <w:pPr>
      <w:spacing w:before="240" w:after="120"/>
      <w:outlineLvl w:val="0"/>
    </w:pPr>
    <w:rPr>
      <w:rFonts w:ascii="Times New Roman" w:hAnsi="Times New Roman"/>
      <w:b/>
      <w:sz w:val="28"/>
    </w:rPr>
  </w:style>
  <w:style w:type="paragraph" w:customStyle="1" w:styleId="AllowPageBreak">
    <w:name w:val="AllowPageBreak"/>
    <w:rsid w:val="00CA4B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4BD2"/>
    <w:pPr>
      <w:tabs>
        <w:tab w:val="left" w:pos="680"/>
      </w:tabs>
      <w:spacing w:before="60" w:after="60"/>
      <w:ind w:left="680" w:hanging="340"/>
    </w:pPr>
  </w:style>
  <w:style w:type="paragraph" w:styleId="ListBullet3">
    <w:name w:val="List Bullet 3"/>
    <w:basedOn w:val="List3"/>
    <w:rsid w:val="00CA4BD2"/>
    <w:pPr>
      <w:numPr>
        <w:numId w:val="3"/>
      </w:numPr>
      <w:tabs>
        <w:tab w:val="clear" w:pos="1021"/>
      </w:tabs>
      <w:ind w:left="1037" w:hanging="357"/>
    </w:pPr>
  </w:style>
  <w:style w:type="character" w:customStyle="1" w:styleId="BoldandItalics">
    <w:name w:val="Bold and Italics"/>
    <w:qFormat/>
    <w:rsid w:val="00CA4BD2"/>
    <w:rPr>
      <w:b/>
      <w:i/>
      <w:u w:val="none"/>
    </w:rPr>
  </w:style>
  <w:style w:type="character" w:customStyle="1" w:styleId="Heading2Char">
    <w:name w:val="Heading 2 Char"/>
    <w:basedOn w:val="DefaultParagraphFont"/>
    <w:link w:val="Heading2"/>
    <w:rsid w:val="00CA4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B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B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BD2"/>
    <w:rPr>
      <w:rFonts w:ascii="Courier New" w:eastAsia="Times New Roman" w:hAnsi="Courier New" w:cs="Times New Roman"/>
      <w:i/>
      <w:szCs w:val="20"/>
      <w:lang w:val="en-US" w:eastAsia="en-US"/>
    </w:rPr>
  </w:style>
  <w:style w:type="paragraph" w:customStyle="1" w:styleId="HeadingBase">
    <w:name w:val="Heading Base"/>
    <w:rsid w:val="00CA4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BD2"/>
    <w:pPr>
      <w:tabs>
        <w:tab w:val="right" w:leader="dot" w:pos="9072"/>
      </w:tabs>
      <w:ind w:left="567"/>
    </w:pPr>
    <w:rPr>
      <w:szCs w:val="22"/>
    </w:rPr>
  </w:style>
  <w:style w:type="paragraph" w:customStyle="1" w:styleId="TOCBase">
    <w:name w:val="TOC Base"/>
    <w:rsid w:val="00CA4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BD2"/>
    <w:pPr>
      <w:tabs>
        <w:tab w:val="right" w:leader="dot" w:pos="9072"/>
      </w:tabs>
      <w:spacing w:before="40" w:after="40"/>
      <w:ind w:left="284"/>
    </w:pPr>
    <w:rPr>
      <w:rFonts w:ascii="Times New Roman" w:hAnsi="Times New Roman"/>
    </w:rPr>
  </w:style>
  <w:style w:type="paragraph" w:styleId="TOC1">
    <w:name w:val="toc 1"/>
    <w:basedOn w:val="TOCBase"/>
    <w:next w:val="Normal"/>
    <w:rsid w:val="00CA4B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BD2"/>
    <w:pPr>
      <w:spacing w:before="5040"/>
      <w:jc w:val="center"/>
    </w:pPr>
    <w:rPr>
      <w:sz w:val="48"/>
      <w:szCs w:val="72"/>
      <w:lang w:val="en-US"/>
    </w:rPr>
  </w:style>
  <w:style w:type="character" w:customStyle="1" w:styleId="TitleChar">
    <w:name w:val="Title Char"/>
    <w:basedOn w:val="DefaultParagraphFont"/>
    <w:link w:val="Title"/>
    <w:rsid w:val="00CA4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BD2"/>
    <w:pPr>
      <w:tabs>
        <w:tab w:val="left" w:pos="3600"/>
        <w:tab w:val="left" w:pos="3958"/>
      </w:tabs>
    </w:pPr>
  </w:style>
  <w:style w:type="paragraph" w:customStyle="1" w:styleId="Note">
    <w:name w:val="Note"/>
    <w:basedOn w:val="BodyText"/>
    <w:rsid w:val="00CA4B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BD2"/>
    <w:pPr>
      <w:framePr w:wrap="auto" w:hAnchor="text" w:y="6049"/>
    </w:pPr>
    <w:rPr>
      <w:color w:val="000000"/>
      <w:sz w:val="40"/>
    </w:rPr>
  </w:style>
  <w:style w:type="paragraph" w:customStyle="1" w:styleId="TOCTitle">
    <w:name w:val="TOCTitle"/>
    <w:basedOn w:val="Heading1"/>
    <w:rsid w:val="00CA4BD2"/>
    <w:pPr>
      <w:spacing w:after="240"/>
      <w:jc w:val="center"/>
      <w:outlineLvl w:val="9"/>
    </w:pPr>
    <w:rPr>
      <w:caps/>
    </w:rPr>
  </w:style>
  <w:style w:type="paragraph" w:customStyle="1" w:styleId="Version">
    <w:name w:val="Version"/>
    <w:rsid w:val="00CA4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BD2"/>
    <w:pPr>
      <w:keepNext w:val="0"/>
      <w:tabs>
        <w:tab w:val="right" w:pos="4176"/>
      </w:tabs>
      <w:ind w:left="198" w:hanging="198"/>
    </w:pPr>
    <w:rPr>
      <w:rFonts w:ascii="Garamond" w:hAnsi="Garamond"/>
    </w:rPr>
  </w:style>
  <w:style w:type="paragraph" w:styleId="IndexHeading">
    <w:name w:val="index heading"/>
    <w:basedOn w:val="Normal"/>
    <w:next w:val="Index1"/>
    <w:semiHidden/>
    <w:rsid w:val="00CA4BD2"/>
    <w:pPr>
      <w:spacing w:before="120" w:after="120"/>
    </w:pPr>
    <w:rPr>
      <w:rFonts w:ascii="Arial" w:hAnsi="Arial"/>
      <w:b/>
      <w:color w:val="918585"/>
      <w:sz w:val="24"/>
    </w:rPr>
  </w:style>
  <w:style w:type="paragraph" w:customStyle="1" w:styleId="Chapter">
    <w:name w:val="Chapter"/>
    <w:basedOn w:val="Normal"/>
    <w:rsid w:val="00CA4BD2"/>
    <w:pPr>
      <w:spacing w:before="240"/>
    </w:pPr>
    <w:rPr>
      <w:rFonts w:ascii="Times New Roman" w:hAnsi="Times New Roman"/>
      <w:smallCaps/>
      <w:spacing w:val="80"/>
      <w:sz w:val="28"/>
    </w:rPr>
  </w:style>
  <w:style w:type="paragraph" w:customStyle="1" w:styleId="InChapter">
    <w:name w:val="InChapter"/>
    <w:basedOn w:val="Heading3"/>
    <w:rsid w:val="00CA4BD2"/>
    <w:pPr>
      <w:spacing w:after="240"/>
      <w:outlineLvl w:val="9"/>
    </w:pPr>
    <w:rPr>
      <w:noProof/>
    </w:rPr>
  </w:style>
  <w:style w:type="paragraph" w:styleId="Index2">
    <w:name w:val="index 2"/>
    <w:basedOn w:val="Normal"/>
    <w:next w:val="Normal"/>
    <w:semiHidden/>
    <w:rsid w:val="00CA4BD2"/>
    <w:pPr>
      <w:tabs>
        <w:tab w:val="right" w:pos="4176"/>
      </w:tabs>
      <w:ind w:left="568" w:hanging="284"/>
    </w:pPr>
    <w:rPr>
      <w:rFonts w:ascii="Garamond" w:hAnsi="Garamond"/>
    </w:rPr>
  </w:style>
  <w:style w:type="paragraph" w:customStyle="1" w:styleId="Byline">
    <w:name w:val="Byline"/>
    <w:rsid w:val="00CA4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BD2"/>
    <w:pPr>
      <w:tabs>
        <w:tab w:val="clear" w:pos="3600"/>
        <w:tab w:val="clear" w:pos="3958"/>
      </w:tabs>
      <w:jc w:val="right"/>
    </w:pPr>
  </w:style>
  <w:style w:type="character" w:styleId="Emphasis">
    <w:name w:val="Emphasis"/>
    <w:basedOn w:val="DefaultParagraphFont"/>
    <w:qFormat/>
    <w:rsid w:val="00CA4BD2"/>
    <w:rPr>
      <w:i/>
    </w:rPr>
  </w:style>
  <w:style w:type="paragraph" w:styleId="Caption">
    <w:name w:val="caption"/>
    <w:basedOn w:val="BodyText"/>
    <w:next w:val="Normal"/>
    <w:qFormat/>
    <w:rsid w:val="00CA4BD2"/>
    <w:pPr>
      <w:framePr w:w="2268" w:hSpace="181" w:vSpace="181" w:wrap="around" w:vAnchor="text" w:hAnchor="page" w:x="1135" w:y="285" w:anchorLock="1"/>
    </w:pPr>
    <w:rPr>
      <w:i/>
    </w:rPr>
  </w:style>
  <w:style w:type="paragraph" w:customStyle="1" w:styleId="MiniTOCTitle">
    <w:name w:val="MiniTOCTitle"/>
    <w:basedOn w:val="Heading4"/>
    <w:rsid w:val="00CA4BD2"/>
    <w:pPr>
      <w:spacing w:before="240"/>
      <w:outlineLvl w:val="9"/>
    </w:pPr>
    <w:rPr>
      <w:noProof/>
      <w:sz w:val="24"/>
    </w:rPr>
  </w:style>
  <w:style w:type="paragraph" w:customStyle="1" w:styleId="MiniTOCItem">
    <w:name w:val="MiniTOCItem"/>
    <w:basedOn w:val="ListBullet"/>
    <w:rsid w:val="00CA4BD2"/>
    <w:pPr>
      <w:numPr>
        <w:numId w:val="0"/>
      </w:numPr>
      <w:tabs>
        <w:tab w:val="right" w:leader="dot" w:pos="6521"/>
      </w:tabs>
      <w:spacing w:before="0" w:after="0"/>
    </w:pPr>
  </w:style>
  <w:style w:type="paragraph" w:customStyle="1" w:styleId="TOFTitle">
    <w:name w:val="TOFTitle"/>
    <w:basedOn w:val="TOCTitle"/>
    <w:rsid w:val="00CA4BD2"/>
  </w:style>
  <w:style w:type="paragraph" w:styleId="TableofFigures">
    <w:name w:val="table of figures"/>
    <w:basedOn w:val="Normal"/>
    <w:next w:val="Normal"/>
    <w:semiHidden/>
    <w:rsid w:val="00CA4BD2"/>
    <w:pPr>
      <w:tabs>
        <w:tab w:val="right" w:leader="dot" w:pos="9072"/>
      </w:tabs>
      <w:ind w:left="970" w:hanging="403"/>
    </w:pPr>
    <w:rPr>
      <w:rFonts w:ascii="Times New Roman" w:hAnsi="Times New Roman"/>
      <w:b/>
    </w:rPr>
  </w:style>
  <w:style w:type="paragraph" w:styleId="ListNumber">
    <w:name w:val="List Number"/>
    <w:basedOn w:val="List"/>
    <w:rsid w:val="00CA4BD2"/>
    <w:pPr>
      <w:numPr>
        <w:numId w:val="12"/>
      </w:numPr>
    </w:pPr>
  </w:style>
  <w:style w:type="character" w:customStyle="1" w:styleId="WingdingSymbols">
    <w:name w:val="Wingding Symbols"/>
    <w:rsid w:val="00CA4BD2"/>
    <w:rPr>
      <w:rFonts w:ascii="Wingdings" w:hAnsi="Wingdings"/>
    </w:rPr>
  </w:style>
  <w:style w:type="paragraph" w:customStyle="1" w:styleId="TableHeading">
    <w:name w:val="Table Heading"/>
    <w:basedOn w:val="HeadingBase"/>
    <w:rsid w:val="00CA4BD2"/>
    <w:pPr>
      <w:keepLines/>
      <w:pBdr>
        <w:bottom w:val="single" w:sz="6" w:space="1" w:color="918585"/>
      </w:pBdr>
      <w:spacing w:before="240"/>
    </w:pPr>
  </w:style>
  <w:style w:type="character" w:customStyle="1" w:styleId="HotSpot">
    <w:name w:val="HotSpot"/>
    <w:rsid w:val="00CA4BD2"/>
    <w:rPr>
      <w:color w:val="0033CC"/>
      <w:u w:val="none"/>
    </w:rPr>
  </w:style>
  <w:style w:type="paragraph" w:customStyle="1" w:styleId="BodyTextRight">
    <w:name w:val="Body Text Right"/>
    <w:basedOn w:val="BodyText"/>
    <w:rsid w:val="00CA4BD2"/>
    <w:pPr>
      <w:spacing w:before="0" w:after="0"/>
      <w:jc w:val="right"/>
    </w:pPr>
  </w:style>
  <w:style w:type="paragraph" w:styleId="Index3">
    <w:name w:val="index 3"/>
    <w:basedOn w:val="ListNumber2"/>
    <w:next w:val="Normal"/>
    <w:semiHidden/>
    <w:rsid w:val="00CA4BD2"/>
    <w:pPr>
      <w:numPr>
        <w:numId w:val="0"/>
      </w:numPr>
      <w:tabs>
        <w:tab w:val="right" w:leader="dot" w:pos="4176"/>
      </w:tabs>
    </w:pPr>
  </w:style>
  <w:style w:type="paragraph" w:styleId="ListNumber2">
    <w:name w:val="List Number 2"/>
    <w:basedOn w:val="List2"/>
    <w:rsid w:val="00CA4BD2"/>
    <w:pPr>
      <w:numPr>
        <w:numId w:val="11"/>
      </w:numPr>
      <w:tabs>
        <w:tab w:val="clear" w:pos="1060"/>
      </w:tabs>
    </w:pPr>
  </w:style>
  <w:style w:type="paragraph" w:customStyle="1" w:styleId="MarginNote">
    <w:name w:val="Margin Note"/>
    <w:basedOn w:val="BodyText"/>
    <w:rsid w:val="00CA4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B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BD2"/>
    <w:rPr>
      <w:sz w:val="32"/>
    </w:rPr>
  </w:style>
  <w:style w:type="paragraph" w:customStyle="1" w:styleId="HeadingProcedure">
    <w:name w:val="Heading Procedure"/>
    <w:basedOn w:val="HeadingBase"/>
    <w:next w:val="Normal"/>
    <w:rsid w:val="00CA4BD2"/>
    <w:pPr>
      <w:tabs>
        <w:tab w:val="left" w:pos="0"/>
      </w:tabs>
      <w:spacing w:before="120" w:after="60"/>
    </w:pPr>
    <w:rPr>
      <w:i/>
      <w:color w:val="918585"/>
      <w:sz w:val="22"/>
    </w:rPr>
  </w:style>
  <w:style w:type="paragraph" w:customStyle="1" w:styleId="TableBodyText">
    <w:name w:val="Table Body Text"/>
    <w:basedOn w:val="BodyText"/>
    <w:rsid w:val="00CA4BD2"/>
    <w:pPr>
      <w:spacing w:before="60" w:after="60"/>
    </w:pPr>
  </w:style>
  <w:style w:type="paragraph" w:styleId="ListContinue">
    <w:name w:val="List Continue"/>
    <w:basedOn w:val="List"/>
    <w:rsid w:val="00CA4BD2"/>
    <w:pPr>
      <w:ind w:firstLine="0"/>
    </w:pPr>
  </w:style>
  <w:style w:type="paragraph" w:customStyle="1" w:styleId="ListNote">
    <w:name w:val="List Note"/>
    <w:basedOn w:val="List"/>
    <w:rsid w:val="00CA4BD2"/>
    <w:pPr>
      <w:pBdr>
        <w:top w:val="single" w:sz="6" w:space="2" w:color="918585"/>
        <w:bottom w:val="single" w:sz="6" w:space="2" w:color="918585"/>
      </w:pBdr>
      <w:tabs>
        <w:tab w:val="left" w:pos="1021"/>
      </w:tabs>
      <w:ind w:firstLine="0"/>
    </w:pPr>
  </w:style>
  <w:style w:type="paragraph" w:customStyle="1" w:styleId="Warning">
    <w:name w:val="Warning"/>
    <w:basedOn w:val="BodyText"/>
    <w:rsid w:val="00CA4BD2"/>
    <w:pPr>
      <w:shd w:val="clear" w:color="auto" w:fill="D9D9D9"/>
      <w:tabs>
        <w:tab w:val="left" w:pos="992"/>
      </w:tabs>
      <w:ind w:left="119" w:right="119"/>
    </w:pPr>
    <w:rPr>
      <w:sz w:val="20"/>
    </w:rPr>
  </w:style>
  <w:style w:type="paragraph" w:customStyle="1" w:styleId="MarginIcons">
    <w:name w:val="Margin Icons"/>
    <w:basedOn w:val="BodyText"/>
    <w:rsid w:val="00CA4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BD2"/>
    <w:rPr>
      <w:rFonts w:ascii="Courier New" w:hAnsi="Courier New"/>
    </w:rPr>
  </w:style>
  <w:style w:type="paragraph" w:customStyle="1" w:styleId="NoteBullet">
    <w:name w:val="Note Bullet"/>
    <w:basedOn w:val="Note"/>
    <w:rsid w:val="00CA4BD2"/>
    <w:pPr>
      <w:tabs>
        <w:tab w:val="clear" w:pos="680"/>
      </w:tabs>
      <w:spacing w:before="60" w:after="60"/>
    </w:pPr>
  </w:style>
  <w:style w:type="paragraph" w:customStyle="1" w:styleId="SubHeading2">
    <w:name w:val="SubHeading2"/>
    <w:basedOn w:val="HeadingBase"/>
    <w:rsid w:val="00CA4BD2"/>
    <w:pPr>
      <w:spacing w:before="240" w:after="60"/>
    </w:pPr>
    <w:rPr>
      <w:sz w:val="20"/>
    </w:rPr>
  </w:style>
  <w:style w:type="paragraph" w:customStyle="1" w:styleId="SubHeading1">
    <w:name w:val="SubHeading1"/>
    <w:basedOn w:val="HeadingBase"/>
    <w:rsid w:val="00CA4BD2"/>
    <w:pPr>
      <w:spacing w:before="240" w:after="60"/>
    </w:pPr>
    <w:rPr>
      <w:color w:val="918585"/>
      <w:sz w:val="22"/>
    </w:rPr>
  </w:style>
  <w:style w:type="paragraph" w:customStyle="1" w:styleId="SideHeading">
    <w:name w:val="Side Heading"/>
    <w:basedOn w:val="HeadingBase"/>
    <w:rsid w:val="00CA4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BD2"/>
    <w:pPr>
      <w:numPr>
        <w:numId w:val="13"/>
      </w:numPr>
    </w:pPr>
  </w:style>
  <w:style w:type="paragraph" w:styleId="PlainText">
    <w:name w:val="Plain Text"/>
    <w:basedOn w:val="Normal"/>
    <w:link w:val="PlainTextChar"/>
    <w:rsid w:val="00CA4BD2"/>
    <w:rPr>
      <w:sz w:val="20"/>
    </w:rPr>
  </w:style>
  <w:style w:type="character" w:customStyle="1" w:styleId="PlainTextChar">
    <w:name w:val="Plain Text Char"/>
    <w:basedOn w:val="DefaultParagraphFont"/>
    <w:link w:val="PlainText"/>
    <w:rsid w:val="00CA4B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4BD2"/>
    <w:rPr>
      <w:b/>
      <w:smallCaps/>
    </w:rPr>
  </w:style>
  <w:style w:type="paragraph" w:customStyle="1" w:styleId="TableListNumber">
    <w:name w:val="Table List Number"/>
    <w:basedOn w:val="ListNumber"/>
    <w:rsid w:val="00CA4BD2"/>
    <w:pPr>
      <w:numPr>
        <w:numId w:val="0"/>
      </w:numPr>
    </w:pPr>
  </w:style>
  <w:style w:type="paragraph" w:styleId="TOC4">
    <w:name w:val="toc 4"/>
    <w:basedOn w:val="TOCBase"/>
    <w:next w:val="Normal"/>
    <w:semiHidden/>
    <w:rsid w:val="00CA4BD2"/>
    <w:pPr>
      <w:tabs>
        <w:tab w:val="right" w:leader="dot" w:pos="9071"/>
      </w:tabs>
      <w:ind w:left="1701"/>
    </w:pPr>
  </w:style>
  <w:style w:type="paragraph" w:customStyle="1" w:styleId="ListAlpha">
    <w:name w:val="List Alpha"/>
    <w:basedOn w:val="List"/>
    <w:rsid w:val="00CA4BD2"/>
    <w:pPr>
      <w:numPr>
        <w:numId w:val="10"/>
      </w:numPr>
    </w:pPr>
  </w:style>
  <w:style w:type="paragraph" w:customStyle="1" w:styleId="ListAlpha2">
    <w:name w:val="List Alpha 2"/>
    <w:basedOn w:val="List2"/>
    <w:rsid w:val="00CA4BD2"/>
    <w:pPr>
      <w:numPr>
        <w:numId w:val="9"/>
      </w:numPr>
    </w:pPr>
  </w:style>
  <w:style w:type="paragraph" w:styleId="List3">
    <w:name w:val="List 3"/>
    <w:basedOn w:val="BodyText"/>
    <w:rsid w:val="00CA4BD2"/>
    <w:pPr>
      <w:tabs>
        <w:tab w:val="left" w:pos="1021"/>
      </w:tabs>
      <w:spacing w:before="60" w:after="60"/>
      <w:ind w:left="1020" w:hanging="340"/>
    </w:pPr>
  </w:style>
  <w:style w:type="paragraph" w:styleId="List4">
    <w:name w:val="List 4"/>
    <w:basedOn w:val="BodyText"/>
    <w:rsid w:val="00CA4BD2"/>
    <w:pPr>
      <w:tabs>
        <w:tab w:val="left" w:pos="1361"/>
      </w:tabs>
      <w:spacing w:before="60" w:after="60"/>
      <w:ind w:left="1361" w:hanging="340"/>
    </w:pPr>
  </w:style>
  <w:style w:type="paragraph" w:styleId="List5">
    <w:name w:val="List 5"/>
    <w:basedOn w:val="BodyText"/>
    <w:rsid w:val="00CA4BD2"/>
    <w:pPr>
      <w:tabs>
        <w:tab w:val="left" w:pos="1701"/>
      </w:tabs>
      <w:spacing w:before="60" w:after="60"/>
      <w:ind w:left="1701" w:hanging="340"/>
    </w:pPr>
  </w:style>
  <w:style w:type="paragraph" w:styleId="ListBullet4">
    <w:name w:val="List Bullet 4"/>
    <w:basedOn w:val="List4"/>
    <w:rsid w:val="00CA4BD2"/>
    <w:pPr>
      <w:numPr>
        <w:numId w:val="4"/>
      </w:numPr>
    </w:pPr>
  </w:style>
  <w:style w:type="paragraph" w:styleId="ListBullet5">
    <w:name w:val="List Bullet 5"/>
    <w:basedOn w:val="List5"/>
    <w:rsid w:val="00CA4BD2"/>
    <w:pPr>
      <w:numPr>
        <w:numId w:val="5"/>
      </w:numPr>
    </w:pPr>
  </w:style>
  <w:style w:type="paragraph" w:styleId="ListContinue2">
    <w:name w:val="List Continue 2"/>
    <w:basedOn w:val="List2"/>
    <w:rsid w:val="00CA4BD2"/>
    <w:pPr>
      <w:ind w:firstLine="0"/>
    </w:pPr>
  </w:style>
  <w:style w:type="paragraph" w:styleId="ListContinue3">
    <w:name w:val="List Continue 3"/>
    <w:basedOn w:val="List3"/>
    <w:rsid w:val="00CA4BD2"/>
    <w:pPr>
      <w:ind w:left="1021" w:firstLine="0"/>
    </w:pPr>
  </w:style>
  <w:style w:type="paragraph" w:styleId="ListContinue4">
    <w:name w:val="List Continue 4"/>
    <w:basedOn w:val="List4"/>
    <w:rsid w:val="00CA4BD2"/>
    <w:pPr>
      <w:ind w:firstLine="0"/>
    </w:pPr>
  </w:style>
  <w:style w:type="paragraph" w:styleId="ListContinue5">
    <w:name w:val="List Continue 5"/>
    <w:basedOn w:val="List5"/>
    <w:rsid w:val="00CA4BD2"/>
    <w:pPr>
      <w:ind w:firstLine="0"/>
    </w:pPr>
  </w:style>
  <w:style w:type="paragraph" w:styleId="ListNumber3">
    <w:name w:val="List Number 3"/>
    <w:basedOn w:val="List3"/>
    <w:rsid w:val="00CA4BD2"/>
    <w:pPr>
      <w:numPr>
        <w:numId w:val="6"/>
      </w:numPr>
    </w:pPr>
  </w:style>
  <w:style w:type="paragraph" w:styleId="ListNumber4">
    <w:name w:val="List Number 4"/>
    <w:basedOn w:val="List4"/>
    <w:rsid w:val="00CA4BD2"/>
    <w:pPr>
      <w:numPr>
        <w:numId w:val="7"/>
      </w:numPr>
    </w:pPr>
  </w:style>
  <w:style w:type="paragraph" w:styleId="ListNumber5">
    <w:name w:val="List Number 5"/>
    <w:basedOn w:val="List5"/>
    <w:rsid w:val="00CA4BD2"/>
    <w:pPr>
      <w:numPr>
        <w:numId w:val="8"/>
      </w:numPr>
    </w:pPr>
  </w:style>
  <w:style w:type="paragraph" w:styleId="BlockText">
    <w:name w:val="Block Text"/>
    <w:basedOn w:val="Normal"/>
    <w:rsid w:val="00CA4BD2"/>
    <w:pPr>
      <w:spacing w:after="120"/>
      <w:ind w:left="1440" w:right="1440"/>
    </w:pPr>
  </w:style>
  <w:style w:type="character" w:customStyle="1" w:styleId="Subscript">
    <w:name w:val="Subscript"/>
    <w:basedOn w:val="DefaultParagraphFont"/>
    <w:rsid w:val="00CA4BD2"/>
    <w:rPr>
      <w:sz w:val="16"/>
      <w:vertAlign w:val="subscript"/>
    </w:rPr>
  </w:style>
  <w:style w:type="character" w:customStyle="1" w:styleId="Superscript">
    <w:name w:val="Superscript"/>
    <w:basedOn w:val="DefaultParagraphFont"/>
    <w:rsid w:val="00CA4BD2"/>
    <w:rPr>
      <w:sz w:val="16"/>
      <w:vertAlign w:val="superscript"/>
    </w:rPr>
  </w:style>
  <w:style w:type="character" w:customStyle="1" w:styleId="Symbols">
    <w:name w:val="Symbols"/>
    <w:basedOn w:val="DefaultParagraphFont"/>
    <w:rsid w:val="00CA4BD2"/>
    <w:rPr>
      <w:rFonts w:ascii="Symbol" w:hAnsi="Symbol"/>
    </w:rPr>
  </w:style>
  <w:style w:type="character" w:customStyle="1" w:styleId="MenuOptions">
    <w:name w:val="Menu Options"/>
    <w:basedOn w:val="DefaultParagraphFont"/>
    <w:rsid w:val="00CA4BD2"/>
    <w:rPr>
      <w:rFonts w:ascii="Arial Narrow" w:hAnsi="Arial Narrow"/>
      <w:smallCaps/>
    </w:rPr>
  </w:style>
  <w:style w:type="character" w:customStyle="1" w:styleId="Buttons">
    <w:name w:val="Buttons"/>
    <w:basedOn w:val="DefaultParagraphFont"/>
    <w:rsid w:val="00CA4BD2"/>
    <w:rPr>
      <w:b/>
    </w:rPr>
  </w:style>
  <w:style w:type="character" w:customStyle="1" w:styleId="Underlined">
    <w:name w:val="Underlined"/>
    <w:basedOn w:val="DefaultParagraphFont"/>
    <w:rsid w:val="00CA4BD2"/>
    <w:rPr>
      <w:u w:val="single"/>
    </w:rPr>
  </w:style>
  <w:style w:type="paragraph" w:customStyle="1" w:styleId="TableBodyTextRight">
    <w:name w:val="Table Body Text Right"/>
    <w:basedOn w:val="TableBodyText"/>
    <w:rsid w:val="00CA4BD2"/>
    <w:pPr>
      <w:widowControl w:val="0"/>
      <w:autoSpaceDE w:val="0"/>
      <w:autoSpaceDN w:val="0"/>
      <w:adjustRightInd w:val="0"/>
      <w:jc w:val="right"/>
    </w:pPr>
    <w:rPr>
      <w:rFonts w:cs="Arial"/>
      <w:szCs w:val="18"/>
    </w:rPr>
  </w:style>
  <w:style w:type="paragraph" w:customStyle="1" w:styleId="CopyrightText">
    <w:name w:val="Copyright Text"/>
    <w:basedOn w:val="BodyText"/>
    <w:rsid w:val="00CA4BD2"/>
    <w:rPr>
      <w:sz w:val="18"/>
    </w:rPr>
  </w:style>
  <w:style w:type="paragraph" w:customStyle="1" w:styleId="BodySmallRight">
    <w:name w:val="Body Small Right"/>
    <w:basedOn w:val="BodyTextRight"/>
    <w:rsid w:val="00CA4BD2"/>
    <w:rPr>
      <w:sz w:val="18"/>
      <w:szCs w:val="18"/>
    </w:rPr>
  </w:style>
  <w:style w:type="paragraph" w:customStyle="1" w:styleId="MarginEdition">
    <w:name w:val="Margin Edition"/>
    <w:basedOn w:val="MarginNote"/>
    <w:rsid w:val="00CA4BD2"/>
    <w:pPr>
      <w:spacing w:before="0" w:after="0"/>
    </w:pPr>
    <w:rPr>
      <w:rFonts w:ascii="Times New Roman" w:hAnsi="Times New Roman"/>
      <w:color w:val="999999"/>
    </w:rPr>
  </w:style>
  <w:style w:type="paragraph" w:customStyle="1" w:styleId="Spacer">
    <w:name w:val="Spacer"/>
    <w:basedOn w:val="Normal"/>
    <w:rsid w:val="00CA4BD2"/>
    <w:rPr>
      <w:sz w:val="2"/>
      <w:szCs w:val="2"/>
    </w:rPr>
  </w:style>
  <w:style w:type="character" w:customStyle="1" w:styleId="Small">
    <w:name w:val="Small"/>
    <w:basedOn w:val="DefaultParagraphFont"/>
    <w:rsid w:val="00CA4BD2"/>
    <w:rPr>
      <w:sz w:val="16"/>
    </w:rPr>
  </w:style>
  <w:style w:type="paragraph" w:customStyle="1" w:styleId="WideTable">
    <w:name w:val="Wide Table"/>
    <w:basedOn w:val="Normal"/>
    <w:rsid w:val="00CA4BD2"/>
    <w:pPr>
      <w:ind w:left="-1418"/>
    </w:pPr>
    <w:rPr>
      <w:sz w:val="2"/>
      <w:szCs w:val="2"/>
    </w:rPr>
  </w:style>
  <w:style w:type="character" w:styleId="PageNumber">
    <w:name w:val="page number"/>
    <w:basedOn w:val="DefaultParagraphFont"/>
    <w:rsid w:val="00CA4BD2"/>
  </w:style>
  <w:style w:type="paragraph" w:styleId="Quote">
    <w:name w:val="Quote"/>
    <w:basedOn w:val="Heading1"/>
    <w:link w:val="QuoteChar"/>
    <w:qFormat/>
    <w:rsid w:val="00CA4BD2"/>
    <w:rPr>
      <w:b w:val="0"/>
      <w:sz w:val="72"/>
      <w:szCs w:val="72"/>
      <w:lang w:val="en-NZ"/>
    </w:rPr>
  </w:style>
  <w:style w:type="character" w:customStyle="1" w:styleId="QuoteChar">
    <w:name w:val="Quote Char"/>
    <w:basedOn w:val="DefaultParagraphFont"/>
    <w:link w:val="Quote"/>
    <w:rsid w:val="00CA4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BD2"/>
    <w:pPr>
      <w:pageBreakBefore/>
    </w:pPr>
  </w:style>
  <w:style w:type="paragraph" w:customStyle="1" w:styleId="Border">
    <w:name w:val="Border"/>
    <w:basedOn w:val="Normal"/>
    <w:qFormat/>
    <w:rsid w:val="00CA4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BD2"/>
    <w:rPr>
      <w:b/>
      <w:bCs/>
      <w:i/>
      <w:iCs/>
      <w:color w:val="auto"/>
    </w:rPr>
  </w:style>
  <w:style w:type="paragraph" w:styleId="IntenseQuote">
    <w:name w:val="Intense Quote"/>
    <w:basedOn w:val="Normal"/>
    <w:next w:val="Normal"/>
    <w:link w:val="IntenseQuoteChar"/>
    <w:uiPriority w:val="30"/>
    <w:qFormat/>
    <w:rsid w:val="00CA4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B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4BD2"/>
    <w:rPr>
      <w:smallCaps/>
      <w:color w:val="auto"/>
      <w:u w:val="single"/>
    </w:rPr>
  </w:style>
  <w:style w:type="character" w:styleId="IntenseReference">
    <w:name w:val="Intense Reference"/>
    <w:basedOn w:val="DefaultParagraphFont"/>
    <w:uiPriority w:val="32"/>
    <w:qFormat/>
    <w:rsid w:val="00CA4BD2"/>
    <w:rPr>
      <w:b/>
      <w:bCs/>
      <w:smallCaps/>
      <w:color w:val="auto"/>
      <w:spacing w:val="5"/>
      <w:u w:val="single"/>
    </w:rPr>
  </w:style>
  <w:style w:type="paragraph" w:customStyle="1" w:styleId="2ColumnHeading">
    <w:name w:val="2Column Heading"/>
    <w:basedOn w:val="BodyText"/>
    <w:qFormat/>
    <w:rsid w:val="00CA4BD2"/>
    <w:pPr>
      <w:spacing w:after="60"/>
      <w:ind w:left="-2268"/>
    </w:pPr>
    <w:rPr>
      <w:b/>
    </w:rPr>
  </w:style>
  <w:style w:type="paragraph" w:customStyle="1" w:styleId="Heading1TOC">
    <w:name w:val="Heading1 TOC"/>
    <w:basedOn w:val="Normal"/>
    <w:qFormat/>
    <w:rsid w:val="00CA4BD2"/>
    <w:pPr>
      <w:spacing w:before="240" w:after="120"/>
    </w:pPr>
    <w:rPr>
      <w:rFonts w:ascii="Times New Roman" w:hAnsi="Times New Roman"/>
      <w:b/>
      <w:sz w:val="32"/>
    </w:rPr>
  </w:style>
  <w:style w:type="paragraph" w:customStyle="1" w:styleId="Heading2TOC">
    <w:name w:val="Heading2 TOC"/>
    <w:basedOn w:val="Normal"/>
    <w:qFormat/>
    <w:rsid w:val="00CA4BD2"/>
    <w:pPr>
      <w:spacing w:before="240" w:after="60"/>
    </w:pPr>
    <w:rPr>
      <w:rFonts w:ascii="Times New Roman" w:hAnsi="Times New Roman"/>
      <w:b/>
      <w:sz w:val="28"/>
    </w:rPr>
  </w:style>
  <w:style w:type="character" w:customStyle="1" w:styleId="Underline">
    <w:name w:val="Underline"/>
    <w:basedOn w:val="DefaultParagraphFont"/>
    <w:qFormat/>
    <w:rsid w:val="00CA4BD2"/>
    <w:rPr>
      <w:u w:val="single"/>
    </w:rPr>
  </w:style>
  <w:style w:type="paragraph" w:styleId="BalloonText">
    <w:name w:val="Balloon Text"/>
    <w:basedOn w:val="Normal"/>
    <w:link w:val="BalloonTextChar"/>
    <w:rsid w:val="00CA4BD2"/>
    <w:rPr>
      <w:rFonts w:ascii="Tahoma" w:hAnsi="Tahoma" w:cs="Tahoma"/>
      <w:sz w:val="16"/>
      <w:szCs w:val="16"/>
    </w:rPr>
  </w:style>
  <w:style w:type="character" w:customStyle="1" w:styleId="BalloonTextChar">
    <w:name w:val="Balloon Text Char"/>
    <w:basedOn w:val="DefaultParagraphFont"/>
    <w:link w:val="BalloonText"/>
    <w:rsid w:val="00CA4B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B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B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1726</Words>
  <Characters>11007</Characters>
  <Application>Microsoft Office Word</Application>
  <DocSecurity>0</DocSecurity>
  <Lines>420</Lines>
  <Paragraphs>220</Paragraphs>
  <ScaleCrop>false</ScaleCrop>
  <Company>Author-it Software Corporation Ltd.</Company>
  <LinksUpToDate>false</LinksUpToDate>
  <CharactersWithSpaces>12649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CPCCST2001A Prepare for stonemasonry construction process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2012-05-26T05:37:00Z</dcterms:created>
  <dcterms:modified xsi:type="dcterms:W3CDTF">2012-05-26T05:37:00Z</dcterms:modified>
</cp:coreProperties>
</file>