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10E4" w:rsidP="006010E4">
      <w:pPr>
        <w:pStyle w:val="Title"/>
      </w:pPr>
      <w:r>
        <w:fldChar w:fldCharType="begin"/>
      </w:r>
      <w:r>
        <w:instrText xml:space="preserve"> TITLE   \* MERGEFORMAT </w:instrText>
      </w:r>
      <w:r>
        <w:fldChar w:fldCharType="separate"/>
      </w:r>
      <w:r>
        <w:t>CPCCSI3010A Hand render pictorials</w:t>
      </w:r>
      <w:r>
        <w:fldChar w:fldCharType="end"/>
      </w:r>
    </w:p>
    <w:p w:rsidR="006010E4" w:rsidP="006010E4">
      <w:pPr>
        <w:pStyle w:val="Version"/>
        <w:sectPr w:rsidSect="002356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64C" w:rsidP="0023564C">
      <w:pPr>
        <w:pStyle w:val="SuperHeading"/>
      </w:pPr>
      <w:r w:rsidRPr="0023564C">
        <w:t>CPCCSI3010A Hand render pictorials</w:t>
      </w:r>
    </w:p>
    <w:p w:rsidR="00000000" w:rsidRPr="0023564C" w:rsidP="0023564C">
      <w:pPr>
        <w:pStyle w:val="Heading1"/>
      </w:pPr>
      <w:bookmarkStart w:id="1" w:name="O_269697"/>
      <w:bookmarkEnd w:id="1"/>
      <w:r w:rsidRPr="0023564C">
        <w:t>Modification History</w:t>
      </w:r>
    </w:p>
    <w:p w:rsidR="00000000" w:rsidRPr="0023564C" w:rsidP="0023564C">
      <w:pPr>
        <w:pStyle w:val="BodyText"/>
      </w:pPr>
      <w:r w:rsidRPr="0023564C">
        <w:t>Not Applicable</w:t>
      </w:r>
    </w:p>
    <w:p w:rsidR="00000000" w:rsidRPr="0023564C" w:rsidP="0023564C">
      <w:pPr>
        <w:pStyle w:val="AllowPageBreak"/>
      </w:pPr>
    </w:p>
    <w:p w:rsidR="00000000" w:rsidRPr="0023564C" w:rsidP="0023564C">
      <w:pPr>
        <w:pStyle w:val="Heading1"/>
      </w:pPr>
      <w:bookmarkStart w:id="2" w:name="O_198654"/>
      <w:bookmarkEnd w:id="2"/>
      <w:r w:rsidRPr="0023564C">
        <w:t>Unit Descriptor</w:t>
      </w:r>
    </w:p>
    <w:tbl>
      <w:tblPr>
        <w:tblW w:w="9348" w:type="dxa"/>
        <w:tblLayout w:type="fixed"/>
        <w:tblCellMar>
          <w:left w:w="62" w:type="dxa"/>
          <w:right w:w="62" w:type="dxa"/>
        </w:tblCellMar>
        <w:tblLook w:val="0000"/>
      </w:tblPr>
      <w:tblGrid>
        <w:gridCol w:w="2583"/>
        <w:gridCol w:w="6765"/>
      </w:tblGrid>
      <w:tr w:rsidTr="006010E4">
        <w:tblPrEx>
          <w:tblW w:w="9348" w:type="dxa"/>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Unit descriptor</w:t>
            </w:r>
          </w:p>
        </w:tc>
        <w:tc>
          <w:tcPr>
            <w:tcW w:w="6765" w:type="dxa"/>
            <w:tcBorders>
              <w:top w:val="nil"/>
              <w:left w:val="nil"/>
              <w:bottom w:val="nil"/>
              <w:right w:val="nil"/>
            </w:tcBorders>
            <w:tcMar>
              <w:top w:w="0" w:type="dxa"/>
              <w:left w:w="62" w:type="dxa"/>
              <w:bottom w:w="0" w:type="dxa"/>
              <w:right w:w="62" w:type="dxa"/>
            </w:tcMar>
          </w:tcPr>
          <w:p w:rsidR="00000000" w:rsidRPr="0023564C" w:rsidP="0023564C">
            <w:pPr>
              <w:pStyle w:val="BodyText"/>
            </w:pPr>
            <w:r w:rsidRPr="0023564C">
              <w:t>This unit of competency specifies the outcomes required to produce and lay out signs that form hand-rendered pictori</w:t>
            </w:r>
            <w:r w:rsidRPr="0023564C">
              <w:t>al images on a range of substrates as part of signage installations.</w:t>
            </w:r>
          </w:p>
          <w:p w:rsidR="00000000" w:rsidRPr="0023564C" w:rsidP="0023564C">
            <w:pPr>
              <w:pStyle w:val="BodyText"/>
            </w:pPr>
            <w:r w:rsidRPr="0023564C">
              <w:t>No licensing, legislative, regulatory or certification requirements apply to this unit at the time of publication.</w:t>
            </w:r>
          </w:p>
        </w:tc>
      </w:tr>
    </w:tbl>
    <w:p w:rsidR="006010E4" w:rsidP="0023564C">
      <w:pPr>
        <w:pStyle w:val="BodyText"/>
      </w:pPr>
    </w:p>
    <w:p w:rsidR="006010E4" w:rsidP="0023564C">
      <w:pPr>
        <w:pStyle w:val="BodyText"/>
      </w:pPr>
    </w:p>
    <w:p w:rsidR="00000000" w:rsidRPr="0023564C" w:rsidP="0023564C">
      <w:pPr>
        <w:pStyle w:val="Heading1"/>
      </w:pPr>
      <w:bookmarkStart w:id="3" w:name="O_198658"/>
      <w:bookmarkEnd w:id="3"/>
      <w:r w:rsidRPr="0023564C">
        <w:t>Application of the Unit</w:t>
      </w:r>
    </w:p>
    <w:tbl>
      <w:tblPr>
        <w:tblW w:w="9348" w:type="dxa"/>
        <w:tblLayout w:type="fixed"/>
        <w:tblCellMar>
          <w:left w:w="62" w:type="dxa"/>
          <w:right w:w="62" w:type="dxa"/>
        </w:tblCellMar>
        <w:tblLook w:val="0000"/>
      </w:tblPr>
      <w:tblGrid>
        <w:gridCol w:w="2583"/>
        <w:gridCol w:w="6765"/>
      </w:tblGrid>
      <w:tr w:rsidTr="006010E4">
        <w:tblPrEx>
          <w:tblW w:w="9348" w:type="dxa"/>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Application of the unit</w:t>
            </w:r>
          </w:p>
        </w:tc>
        <w:tc>
          <w:tcPr>
            <w:tcW w:w="6765" w:type="dxa"/>
            <w:tcBorders>
              <w:top w:val="nil"/>
              <w:left w:val="nil"/>
              <w:bottom w:val="nil"/>
              <w:right w:val="nil"/>
            </w:tcBorders>
            <w:tcMar>
              <w:top w:w="0" w:type="dxa"/>
              <w:left w:w="62" w:type="dxa"/>
              <w:bottom w:w="0" w:type="dxa"/>
              <w:right w:w="62" w:type="dxa"/>
            </w:tcMar>
          </w:tcPr>
          <w:p w:rsidR="00000000" w:rsidRPr="0023564C" w:rsidP="0023564C">
            <w:pPr>
              <w:pStyle w:val="BodyText"/>
            </w:pPr>
            <w:r w:rsidRPr="0023564C">
              <w:t xml:space="preserve">This unit of competency supports the achievement of skills and knowledge to manually render pictorials for sign manufacture, and includes working with others and as a member of a team. </w:t>
            </w:r>
          </w:p>
        </w:tc>
      </w:tr>
    </w:tbl>
    <w:p w:rsidR="006010E4" w:rsidP="0023564C">
      <w:pPr>
        <w:pStyle w:val="BodyText"/>
      </w:pPr>
    </w:p>
    <w:p w:rsidR="006010E4" w:rsidP="0023564C">
      <w:pPr>
        <w:pStyle w:val="BodyText"/>
      </w:pPr>
    </w:p>
    <w:p w:rsidR="00000000" w:rsidRPr="0023564C" w:rsidP="0023564C">
      <w:pPr>
        <w:pStyle w:val="Heading1"/>
      </w:pPr>
      <w:bookmarkStart w:id="4" w:name="O_277957"/>
      <w:bookmarkEnd w:id="4"/>
      <w:r w:rsidRPr="0023564C">
        <w:t>Licensing/Regulatory Information</w:t>
      </w:r>
    </w:p>
    <w:p w:rsidR="00000000" w:rsidRPr="0023564C" w:rsidP="0023564C">
      <w:pPr>
        <w:pStyle w:val="BodyText"/>
      </w:pPr>
      <w:r w:rsidRPr="0023564C">
        <w:t>Refer to Unit Des</w:t>
      </w:r>
      <w:r w:rsidRPr="0023564C">
        <w:t>criptor</w:t>
      </w:r>
    </w:p>
    <w:p w:rsidR="00000000" w:rsidRPr="0023564C" w:rsidP="0023564C">
      <w:pPr>
        <w:pStyle w:val="AllowPageBreak"/>
      </w:pPr>
    </w:p>
    <w:p w:rsidR="00000000" w:rsidRPr="0023564C" w:rsidP="0023564C">
      <w:pPr>
        <w:pStyle w:val="Heading1"/>
      </w:pPr>
      <w:bookmarkStart w:id="5" w:name="O_198656"/>
      <w:bookmarkEnd w:id="5"/>
      <w:r w:rsidRPr="0023564C">
        <w:t>Pre-Requisites</w:t>
      </w:r>
    </w:p>
    <w:tbl>
      <w:tblPr>
        <w:tblW w:w="9348" w:type="dxa"/>
        <w:tblLayout w:type="fixed"/>
        <w:tblCellMar>
          <w:left w:w="62" w:type="dxa"/>
          <w:right w:w="62" w:type="dxa"/>
        </w:tblCellMar>
        <w:tblLook w:val="0000"/>
      </w:tblPr>
      <w:tblGrid>
        <w:gridCol w:w="2553"/>
        <w:gridCol w:w="2527"/>
        <w:gridCol w:w="4268"/>
      </w:tblGrid>
      <w:tr w:rsidTr="006010E4">
        <w:tblPrEx>
          <w:tblW w:w="9348" w:type="dxa"/>
          <w:tblLayout w:type="fixed"/>
          <w:tblCellMar>
            <w:left w:w="62" w:type="dxa"/>
            <w:right w:w="62" w:type="dxa"/>
          </w:tblCellMar>
          <w:tblLook w:val="0000"/>
        </w:tblPrEx>
        <w:trPr>
          <w:tblHeader/>
        </w:trPr>
        <w:tc>
          <w:tcPr>
            <w:tcW w:w="2553"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Prerequisite units</w:t>
            </w:r>
          </w:p>
        </w:tc>
        <w:tc>
          <w:tcPr>
            <w:tcW w:w="6795" w:type="dxa"/>
            <w:gridSpan w:val="2"/>
            <w:tcBorders>
              <w:top w:val="nil"/>
              <w:left w:val="nil"/>
              <w:bottom w:val="nil"/>
              <w:right w:val="nil"/>
            </w:tcBorders>
            <w:tcMar>
              <w:top w:w="0" w:type="dxa"/>
              <w:left w:w="62" w:type="dxa"/>
              <w:bottom w:w="0" w:type="dxa"/>
              <w:right w:w="62" w:type="dxa"/>
            </w:tcMar>
          </w:tcPr>
          <w:p w:rsidR="00000000" w:rsidP="0023564C">
            <w:pPr>
              <w:pStyle w:val="BodyText"/>
              <w:rPr>
                <w:lang w:val="en-NZ"/>
              </w:rPr>
            </w:pPr>
          </w:p>
        </w:tc>
      </w:tr>
      <w:tr w:rsidTr="006010E4">
        <w:tblPrEx>
          <w:tblW w:w="9348" w:type="dxa"/>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t>CPCCOHS2001A</w:t>
            </w:r>
          </w:p>
        </w:tc>
        <w:tc>
          <w:tcPr>
            <w:tcW w:w="4268"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t>Apply OHS requirements, policies and procedures in the construction industry</w:t>
            </w:r>
          </w:p>
        </w:tc>
      </w:tr>
      <w:tr w:rsidTr="006010E4">
        <w:tblPrEx>
          <w:tblW w:w="9348" w:type="dxa"/>
          <w:tblLayout w:type="fixed"/>
          <w:tblCellMar>
            <w:left w:w="62" w:type="dxa"/>
            <w:right w:w="62" w:type="dxa"/>
          </w:tblCellMar>
          <w:tblLook w:val="0000"/>
        </w:tblPrEx>
        <w:tc>
          <w:tcPr>
            <w:tcW w:w="255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68" w:type="dxa"/>
            <w:tcBorders>
              <w:top w:val="nil"/>
              <w:left w:val="nil"/>
              <w:bottom w:val="nil"/>
              <w:right w:val="nil"/>
            </w:tcBorders>
            <w:tcMar>
              <w:top w:w="0" w:type="dxa"/>
              <w:left w:w="62" w:type="dxa"/>
              <w:bottom w:w="0" w:type="dxa"/>
              <w:right w:w="62" w:type="dxa"/>
            </w:tcMar>
          </w:tcPr>
          <w:p w:rsidR="00000000" w:rsidRPr="0023564C" w:rsidP="0023564C">
            <w:pPr>
              <w:pStyle w:val="BodyText"/>
            </w:pPr>
          </w:p>
        </w:tc>
      </w:tr>
    </w:tbl>
    <w:p w:rsidR="006010E4" w:rsidP="0023564C">
      <w:pPr>
        <w:pStyle w:val="BodyText"/>
      </w:pPr>
    </w:p>
    <w:p w:rsidR="006010E4" w:rsidP="0023564C">
      <w:pPr>
        <w:pStyle w:val="BodyText"/>
      </w:pPr>
    </w:p>
    <w:p w:rsidR="00000000" w:rsidRPr="0023564C" w:rsidP="0023564C">
      <w:pPr>
        <w:pStyle w:val="Heading1"/>
      </w:pPr>
      <w:bookmarkStart w:id="6" w:name="O_198655"/>
      <w:bookmarkEnd w:id="6"/>
      <w:r w:rsidRPr="0023564C">
        <w:t>Employability Skills Information</w:t>
      </w:r>
    </w:p>
    <w:tbl>
      <w:tblPr>
        <w:tblW w:w="9348" w:type="dxa"/>
        <w:tblLayout w:type="fixed"/>
        <w:tblCellMar>
          <w:left w:w="62" w:type="dxa"/>
          <w:right w:w="62" w:type="dxa"/>
        </w:tblCellMar>
        <w:tblLook w:val="0000"/>
      </w:tblPr>
      <w:tblGrid>
        <w:gridCol w:w="2624"/>
        <w:gridCol w:w="6724"/>
      </w:tblGrid>
      <w:tr w:rsidTr="006010E4">
        <w:tblPrEx>
          <w:tblW w:w="9348" w:type="dxa"/>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Employability skills</w:t>
            </w:r>
          </w:p>
        </w:tc>
        <w:tc>
          <w:tcPr>
            <w:tcW w:w="6724" w:type="dxa"/>
            <w:tcBorders>
              <w:top w:val="nil"/>
              <w:left w:val="nil"/>
              <w:bottom w:val="nil"/>
              <w:right w:val="nil"/>
            </w:tcBorders>
            <w:tcMar>
              <w:top w:w="0" w:type="dxa"/>
              <w:left w:w="62" w:type="dxa"/>
              <w:bottom w:w="0" w:type="dxa"/>
              <w:right w:w="62" w:type="dxa"/>
            </w:tcMar>
          </w:tcPr>
          <w:p w:rsidR="00000000" w:rsidRPr="0023564C" w:rsidP="0023564C">
            <w:pPr>
              <w:pStyle w:val="BodyText"/>
            </w:pPr>
            <w:r w:rsidRPr="0023564C">
              <w:t>This unit contains employability skills.</w:t>
            </w:r>
          </w:p>
        </w:tc>
      </w:tr>
    </w:tbl>
    <w:p w:rsidR="006010E4" w:rsidP="0023564C">
      <w:pPr>
        <w:pStyle w:val="BodyText"/>
      </w:pPr>
    </w:p>
    <w:p w:rsidR="006010E4" w:rsidP="0023564C">
      <w:pPr>
        <w:pStyle w:val="BodyText"/>
      </w:pPr>
    </w:p>
    <w:p w:rsidR="00000000" w:rsidRPr="0023564C" w:rsidP="0023564C">
      <w:pPr>
        <w:pStyle w:val="Heading1"/>
      </w:pPr>
      <w:bookmarkStart w:id="7" w:name="O_287743"/>
      <w:bookmarkEnd w:id="7"/>
      <w:r w:rsidRPr="0023564C">
        <w:t>Elements and Performance Criteria Pre-Content</w:t>
      </w:r>
    </w:p>
    <w:tbl>
      <w:tblPr>
        <w:tblW w:w="0" w:type="auto"/>
        <w:tblLayout w:type="fixed"/>
        <w:tblCellMar>
          <w:left w:w="62" w:type="dxa"/>
          <w:right w:w="62" w:type="dxa"/>
        </w:tblCellMar>
        <w:tblLook w:val="0000"/>
      </w:tblPr>
      <w:tblGrid>
        <w:gridCol w:w="2467"/>
        <w:gridCol w:w="6055"/>
      </w:tblGrid>
      <w:tr w:rsidTr="006010E4">
        <w:tblPrEx>
          <w:tblW w:w="0" w:type="auto"/>
          <w:tblLayout w:type="fixed"/>
          <w:tblCellMar>
            <w:left w:w="62" w:type="dxa"/>
            <w:right w:w="62" w:type="dxa"/>
          </w:tblCellMar>
          <w:tblLook w:val="0000"/>
        </w:tblPrEx>
        <w:tc>
          <w:tcPr>
            <w:tcW w:w="2467" w:type="dxa"/>
            <w:tcBorders>
              <w:top w:val="single" w:sz="6" w:space="0" w:color="auto"/>
              <w:left w:val="nil"/>
              <w:bottom w:val="nil"/>
              <w:right w:val="nil"/>
            </w:tcBorders>
            <w:tcMar>
              <w:top w:w="0" w:type="dxa"/>
              <w:left w:w="62" w:type="dxa"/>
              <w:bottom w:w="0" w:type="dxa"/>
              <w:right w:w="62" w:type="dxa"/>
            </w:tcMar>
          </w:tcPr>
          <w:p w:rsidR="00000000" w:rsidP="0023564C">
            <w:pPr>
              <w:pStyle w:val="BodyText"/>
              <w:rPr>
                <w:lang w:val="en-NZ"/>
              </w:rPr>
            </w:pPr>
            <w:r w:rsidRPr="0023564C">
              <w:t>Elements describe the essential outcomes of a unit of competency.</w:t>
            </w:r>
          </w:p>
        </w:tc>
        <w:tc>
          <w:tcPr>
            <w:tcW w:w="6055" w:type="dxa"/>
            <w:tcBorders>
              <w:top w:val="single" w:sz="6" w:space="0" w:color="auto"/>
              <w:left w:val="nil"/>
              <w:bottom w:val="nil"/>
              <w:right w:val="nil"/>
            </w:tcBorders>
            <w:tcMar>
              <w:top w:w="0" w:type="dxa"/>
              <w:left w:w="62" w:type="dxa"/>
              <w:bottom w:w="0" w:type="dxa"/>
              <w:right w:w="62" w:type="dxa"/>
            </w:tcMar>
          </w:tcPr>
          <w:p w:rsidR="00000000" w:rsidRPr="0023564C" w:rsidP="0023564C">
            <w:pPr>
              <w:pStyle w:val="BodyText"/>
            </w:pPr>
            <w:r w:rsidRPr="0023564C">
              <w:t>Performance criteria describe the performance needed to demonstrate achievement of the element. Where bold italicised text is used, further information is detailed in the required skills and knowledge section and the range statement. Assessment of performa</w:t>
            </w:r>
            <w:r w:rsidRPr="0023564C">
              <w:t>nce is to be consistent with the evidence guide.</w:t>
            </w:r>
          </w:p>
        </w:tc>
      </w:tr>
    </w:tbl>
    <w:p w:rsidR="00000000" w:rsidRPr="0023564C" w:rsidP="0023564C">
      <w:pPr>
        <w:pStyle w:val="BodyText"/>
      </w:pPr>
    </w:p>
    <w:p w:rsidR="00000000" w:rsidRPr="0023564C" w:rsidP="0023564C">
      <w:pPr>
        <w:pStyle w:val="AllowPageBreak"/>
      </w:pPr>
    </w:p>
    <w:p w:rsidR="00000000" w:rsidRPr="0023564C" w:rsidP="0023564C">
      <w:pPr>
        <w:pStyle w:val="Heading1"/>
      </w:pPr>
      <w:bookmarkStart w:id="8" w:name="O_234410"/>
      <w:bookmarkEnd w:id="8"/>
      <w:r w:rsidRPr="0023564C">
        <w:t>Elements and Performance Criteria</w:t>
      </w:r>
    </w:p>
    <w:tbl>
      <w:tblPr>
        <w:tblW w:w="0" w:type="auto"/>
        <w:tblLayout w:type="fixed"/>
        <w:tblCellMar>
          <w:left w:w="62" w:type="dxa"/>
          <w:right w:w="62" w:type="dxa"/>
        </w:tblCellMar>
        <w:tblLook w:val="0000"/>
      </w:tblPr>
      <w:tblGrid>
        <w:gridCol w:w="2467"/>
        <w:gridCol w:w="6055"/>
      </w:tblGrid>
      <w:tr w:rsidTr="006010E4">
        <w:tblPrEx>
          <w:tblW w:w="0" w:type="auto"/>
          <w:tblLayout w:type="fixed"/>
          <w:tblCellMar>
            <w:left w:w="62" w:type="dxa"/>
            <w:right w:w="62" w:type="dxa"/>
          </w:tblCellMar>
          <w:tblLook w:val="0000"/>
        </w:tblPrEx>
        <w:trPr>
          <w:tblHeader/>
        </w:trPr>
        <w:tc>
          <w:tcPr>
            <w:tcW w:w="2467" w:type="dxa"/>
            <w:tcBorders>
              <w:top w:val="nil"/>
              <w:left w:val="nil"/>
              <w:bottom w:val="single" w:sz="6" w:space="0" w:color="auto"/>
              <w:right w:val="nil"/>
            </w:tcBorders>
            <w:tcMar>
              <w:top w:w="0" w:type="dxa"/>
              <w:left w:w="62" w:type="dxa"/>
              <w:bottom w:w="0" w:type="dxa"/>
              <w:right w:w="62" w:type="dxa"/>
            </w:tcMar>
          </w:tcPr>
          <w:p w:rsidR="00000000" w:rsidRPr="0023564C" w:rsidP="0023564C">
            <w:pPr>
              <w:pStyle w:val="BodyText"/>
            </w:pPr>
            <w:r w:rsidRPr="0023564C">
              <w:rPr>
                <w:rStyle w:val="SpecialBold"/>
              </w:rPr>
              <w:t>ELEMENT</w:t>
            </w:r>
          </w:p>
        </w:tc>
        <w:tc>
          <w:tcPr>
            <w:tcW w:w="6055" w:type="dxa"/>
            <w:tcBorders>
              <w:top w:val="nil"/>
              <w:left w:val="nil"/>
              <w:bottom w:val="single" w:sz="6" w:space="0" w:color="auto"/>
              <w:right w:val="nil"/>
            </w:tcBorders>
            <w:tcMar>
              <w:top w:w="0" w:type="dxa"/>
              <w:left w:w="62" w:type="dxa"/>
              <w:bottom w:w="0" w:type="dxa"/>
              <w:right w:w="62" w:type="dxa"/>
            </w:tcMar>
          </w:tcPr>
          <w:p w:rsidR="00000000" w:rsidP="0023564C">
            <w:pPr>
              <w:pStyle w:val="BodyText"/>
              <w:rPr>
                <w:lang w:val="en-NZ"/>
              </w:rPr>
            </w:pPr>
            <w:r w:rsidRPr="0023564C">
              <w:rPr>
                <w:rStyle w:val="SpecialBold"/>
              </w:rPr>
              <w:t>PERFORMANCE CRITERIA</w:t>
            </w:r>
          </w:p>
        </w:tc>
      </w:tr>
      <w:tr w:rsidTr="006010E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3564C">
            <w:pPr>
              <w:pStyle w:val="List"/>
              <w:rPr>
                <w:lang w:val="en-NZ"/>
              </w:rPr>
            </w:pPr>
            <w:r w:rsidRPr="0023564C">
              <w:t>1.</w:t>
            </w:r>
            <w:r w:rsidRPr="0023564C">
              <w:tab/>
              <w:t>Plan and prepare work.</w:t>
            </w:r>
          </w:p>
        </w:tc>
        <w:tc>
          <w:tcPr>
            <w:tcW w:w="6055" w:type="dxa"/>
            <w:tcBorders>
              <w:top w:val="nil"/>
              <w:left w:val="nil"/>
              <w:bottom w:val="nil"/>
              <w:right w:val="nil"/>
            </w:tcBorders>
            <w:tcMar>
              <w:top w:w="0" w:type="dxa"/>
              <w:left w:w="62" w:type="dxa"/>
              <w:bottom w:w="0" w:type="dxa"/>
              <w:right w:w="62" w:type="dxa"/>
            </w:tcMar>
          </w:tcPr>
          <w:p w:rsidR="00000000" w:rsidRPr="0023564C" w:rsidP="0023564C">
            <w:pPr>
              <w:pStyle w:val="List2"/>
            </w:pPr>
            <w:r w:rsidRPr="0023564C">
              <w:t>1.1.</w:t>
            </w:r>
            <w:r w:rsidRPr="0023564C">
              <w:tab/>
            </w:r>
            <w:r w:rsidRPr="0023564C">
              <w:rPr>
                <w:rStyle w:val="BoldandItalics"/>
              </w:rPr>
              <w:t>Quality assurance requirements</w:t>
            </w:r>
            <w:r w:rsidRPr="0023564C">
              <w:t xml:space="preserve"> of signage operations are recognised and adhered to. </w:t>
            </w:r>
          </w:p>
          <w:p w:rsidR="00000000" w:rsidRPr="0023564C" w:rsidP="0023564C">
            <w:pPr>
              <w:pStyle w:val="List2"/>
            </w:pPr>
            <w:r w:rsidRPr="0023564C">
              <w:t>1.2.</w:t>
            </w:r>
            <w:r w:rsidRPr="0023564C">
              <w:tab/>
            </w:r>
            <w:r w:rsidRPr="0023564C">
              <w:rPr>
                <w:rStyle w:val="BoldandItalics"/>
              </w:rPr>
              <w:t>Safety</w:t>
            </w:r>
            <w:r w:rsidRPr="0023564C">
              <w:t xml:space="preserve"> (</w:t>
            </w:r>
            <w:r w:rsidRPr="0023564C">
              <w:rPr>
                <w:rStyle w:val="BoldandItalics"/>
              </w:rPr>
              <w:t>OHS</w:t>
            </w:r>
            <w:r w:rsidRPr="0023564C">
              <w:t xml:space="preserve">) requirements in accordance with application tasks and workplace operations are recognised and adhered to. </w:t>
            </w:r>
          </w:p>
          <w:p w:rsidR="00000000" w:rsidRPr="0023564C" w:rsidP="0023564C">
            <w:pPr>
              <w:pStyle w:val="List2"/>
            </w:pPr>
            <w:r w:rsidRPr="0023564C">
              <w:t>1.3.</w:t>
            </w:r>
            <w:r w:rsidRPr="0023564C">
              <w:tab/>
              <w:t xml:space="preserve">Specifications, drawings and instructions interpreted and </w:t>
            </w:r>
            <w:r w:rsidRPr="0023564C">
              <w:rPr>
                <w:rStyle w:val="BoldandItalics"/>
              </w:rPr>
              <w:t>job requirements</w:t>
            </w:r>
            <w:r w:rsidRPr="0023564C">
              <w:t xml:space="preserve"> and sequence, are determined. </w:t>
            </w:r>
          </w:p>
          <w:p w:rsidR="00000000" w:rsidRPr="0023564C" w:rsidP="0023564C">
            <w:pPr>
              <w:pStyle w:val="List2"/>
            </w:pPr>
            <w:r w:rsidRPr="0023564C">
              <w:t>1.4.</w:t>
            </w:r>
            <w:r w:rsidRPr="0023564C">
              <w:tab/>
              <w:t xml:space="preserve">Material quantities </w:t>
            </w:r>
            <w:r w:rsidRPr="0023564C">
              <w:t>are estimated in accordance with size of sign and materials to be used.</w:t>
            </w:r>
          </w:p>
          <w:p w:rsidR="00000000" w:rsidRPr="0023564C" w:rsidP="0023564C">
            <w:pPr>
              <w:pStyle w:val="List2"/>
            </w:pPr>
            <w:r w:rsidRPr="0023564C">
              <w:t>1.5.</w:t>
            </w:r>
            <w:r w:rsidRPr="0023564C">
              <w:tab/>
              <w:t xml:space="preserve">Sample is accurately checked from copy and </w:t>
            </w:r>
            <w:r w:rsidRPr="0023564C">
              <w:rPr>
                <w:rStyle w:val="BoldandItalics"/>
              </w:rPr>
              <w:t>substrates</w:t>
            </w:r>
            <w:r w:rsidRPr="0023564C">
              <w:t xml:space="preserve"> identified and prepared in accordance with planned material application. </w:t>
            </w:r>
          </w:p>
          <w:p w:rsidR="00000000" w:rsidRPr="0023564C" w:rsidP="0023564C">
            <w:pPr>
              <w:pStyle w:val="List2"/>
            </w:pPr>
            <w:r w:rsidRPr="0023564C">
              <w:t>1.6.</w:t>
            </w:r>
            <w:r w:rsidRPr="0023564C">
              <w:tab/>
            </w:r>
            <w:r w:rsidRPr="0023564C">
              <w:rPr>
                <w:rStyle w:val="BoldandItalics"/>
              </w:rPr>
              <w:t>Tools and equipment</w:t>
            </w:r>
            <w:r w:rsidRPr="0023564C">
              <w:t xml:space="preserve"> and materials selected to </w:t>
            </w:r>
            <w:r w:rsidRPr="0023564C">
              <w:t xml:space="preserve">carry out tasks consistent with job requirements and </w:t>
            </w:r>
            <w:r w:rsidRPr="0023564C">
              <w:rPr>
                <w:rStyle w:val="BoldandItalics"/>
              </w:rPr>
              <w:t>relevant Australian standards</w:t>
            </w:r>
            <w:r w:rsidRPr="0023564C">
              <w:t xml:space="preserve">. </w:t>
            </w:r>
          </w:p>
          <w:p w:rsidR="00000000" w:rsidRPr="0023564C" w:rsidP="0023564C">
            <w:pPr>
              <w:pStyle w:val="List2"/>
            </w:pPr>
            <w:r w:rsidRPr="0023564C">
              <w:t>1.7.</w:t>
            </w:r>
            <w:r w:rsidRPr="0023564C">
              <w:tab/>
              <w:t>Layout is set out to scale using appropriate setting out techniques.</w:t>
            </w:r>
          </w:p>
          <w:p w:rsidR="00000000" w:rsidRPr="0023564C" w:rsidP="0023564C">
            <w:pPr>
              <w:pStyle w:val="List2"/>
            </w:pPr>
            <w:r w:rsidRPr="0023564C">
              <w:t>1.8.</w:t>
            </w:r>
            <w:r w:rsidRPr="0023564C">
              <w:tab/>
              <w:t>Colour selection is determined, consistent with job requirements.</w:t>
            </w:r>
          </w:p>
          <w:p w:rsidR="00000000" w:rsidRPr="0023564C" w:rsidP="0023564C">
            <w:pPr>
              <w:pStyle w:val="List2"/>
            </w:pPr>
            <w:r w:rsidRPr="0023564C">
              <w:t>1.9.</w:t>
            </w:r>
            <w:r w:rsidRPr="0023564C">
              <w:tab/>
              <w:t xml:space="preserve">Material safety data </w:t>
            </w:r>
            <w:r w:rsidRPr="0023564C">
              <w:t>sheets (MSDS) are referred to as required.</w:t>
            </w:r>
          </w:p>
          <w:p w:rsidR="00000000" w:rsidP="0023564C">
            <w:pPr>
              <w:pStyle w:val="List2"/>
              <w:rPr>
                <w:lang w:val="en-NZ"/>
              </w:rPr>
            </w:pPr>
            <w:r w:rsidRPr="0023564C">
              <w:t>1.10.</w:t>
            </w:r>
            <w:r w:rsidRPr="0023564C">
              <w:tab/>
              <w:t>Routine maintenance requirements of equipment are identified and implemented in accordance with workplace and quality assurance procedures.</w:t>
            </w:r>
          </w:p>
        </w:tc>
      </w:tr>
      <w:tr w:rsidTr="006010E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3564C">
            <w:pPr>
              <w:pStyle w:val="List"/>
              <w:rPr>
                <w:lang w:val="en-NZ"/>
              </w:rPr>
            </w:pPr>
            <w:r w:rsidRPr="0023564C">
              <w:t>2.</w:t>
            </w:r>
            <w:r w:rsidRPr="0023564C">
              <w:tab/>
              <w:t>Identify materials and methods of application for effective pic</w:t>
            </w:r>
            <w:r w:rsidRPr="0023564C">
              <w:t>torial signage.</w:t>
            </w:r>
          </w:p>
        </w:tc>
        <w:tc>
          <w:tcPr>
            <w:tcW w:w="6055" w:type="dxa"/>
            <w:tcBorders>
              <w:top w:val="nil"/>
              <w:left w:val="nil"/>
              <w:bottom w:val="nil"/>
              <w:right w:val="nil"/>
            </w:tcBorders>
            <w:tcMar>
              <w:top w:w="0" w:type="dxa"/>
              <w:left w:w="62" w:type="dxa"/>
              <w:bottom w:w="0" w:type="dxa"/>
              <w:right w:w="62" w:type="dxa"/>
            </w:tcMar>
          </w:tcPr>
          <w:p w:rsidR="00000000" w:rsidRPr="0023564C" w:rsidP="0023564C">
            <w:pPr>
              <w:pStyle w:val="List2"/>
            </w:pPr>
            <w:r w:rsidRPr="0023564C">
              <w:t>2.1.</w:t>
            </w:r>
            <w:r w:rsidRPr="0023564C">
              <w:tab/>
              <w:t>Substrates, backgrounds, materials and equipment used in preparation for pictorial signs are identified and assembled.</w:t>
            </w:r>
          </w:p>
          <w:p w:rsidR="00000000" w:rsidRPr="0023564C" w:rsidP="0023564C">
            <w:pPr>
              <w:pStyle w:val="List2"/>
            </w:pPr>
            <w:r w:rsidRPr="0023564C">
              <w:t>2.2.</w:t>
            </w:r>
            <w:r w:rsidRPr="0023564C">
              <w:tab/>
            </w:r>
            <w:r w:rsidRPr="0023564C">
              <w:t>Compatible surfaces, paints, solvents, mediums and various methods of their application for pictorials are identified and applied.</w:t>
            </w:r>
          </w:p>
          <w:p w:rsidR="00000000" w:rsidRPr="0023564C" w:rsidP="0023564C">
            <w:pPr>
              <w:pStyle w:val="List2"/>
            </w:pPr>
            <w:r w:rsidRPr="0023564C">
              <w:t>2.3.</w:t>
            </w:r>
            <w:r w:rsidRPr="0023564C">
              <w:tab/>
              <w:t>Appropriate colour combinations in the effectiveness of colour on/for pictorials are identified and applied.</w:t>
            </w:r>
          </w:p>
          <w:p w:rsidR="00000000" w:rsidP="0023564C">
            <w:pPr>
              <w:pStyle w:val="List2"/>
              <w:rPr>
                <w:lang w:val="en-NZ"/>
              </w:rPr>
            </w:pPr>
            <w:r w:rsidRPr="0023564C">
              <w:t>2.4.</w:t>
            </w:r>
            <w:r w:rsidRPr="0023564C">
              <w:tab/>
              <w:t>Method</w:t>
            </w:r>
            <w:r w:rsidRPr="0023564C">
              <w:t>s of transferring and reproducing pictorials are identified and applied.</w:t>
            </w:r>
          </w:p>
        </w:tc>
      </w:tr>
      <w:tr w:rsidTr="006010E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3564C">
            <w:pPr>
              <w:pStyle w:val="List"/>
              <w:rPr>
                <w:lang w:val="en-NZ"/>
              </w:rPr>
            </w:pPr>
            <w:r w:rsidRPr="0023564C">
              <w:t>3.</w:t>
            </w:r>
            <w:r w:rsidRPr="0023564C">
              <w:tab/>
              <w:t>Produce effective drawn illustrations for pictorial signage.</w:t>
            </w:r>
          </w:p>
        </w:tc>
        <w:tc>
          <w:tcPr>
            <w:tcW w:w="6055" w:type="dxa"/>
            <w:tcBorders>
              <w:top w:val="nil"/>
              <w:left w:val="nil"/>
              <w:bottom w:val="nil"/>
              <w:right w:val="nil"/>
            </w:tcBorders>
            <w:tcMar>
              <w:top w:w="0" w:type="dxa"/>
              <w:left w:w="62" w:type="dxa"/>
              <w:bottom w:w="0" w:type="dxa"/>
              <w:right w:w="62" w:type="dxa"/>
            </w:tcMar>
          </w:tcPr>
          <w:p w:rsidR="00000000" w:rsidRPr="0023564C" w:rsidP="0023564C">
            <w:pPr>
              <w:pStyle w:val="List2"/>
            </w:pPr>
            <w:r w:rsidRPr="0023564C">
              <w:t>3.1.</w:t>
            </w:r>
            <w:r w:rsidRPr="0023564C">
              <w:tab/>
              <w:t>Appropriate drawing instruments, mediums and background materials are selected and prepared.</w:t>
            </w:r>
          </w:p>
          <w:p w:rsidR="00000000" w:rsidRPr="0023564C" w:rsidP="0023564C">
            <w:pPr>
              <w:pStyle w:val="List2"/>
            </w:pPr>
            <w:r w:rsidRPr="0023564C">
              <w:t>3.2.</w:t>
            </w:r>
            <w:r w:rsidRPr="0023564C">
              <w:tab/>
              <w:t>Given illustrat</w:t>
            </w:r>
            <w:r w:rsidRPr="0023564C">
              <w:t>ions are reproduced using appropriate drawing techniques, applying appropriate and accurate proportion and perspective.</w:t>
            </w:r>
          </w:p>
          <w:p w:rsidR="00000000" w:rsidP="0023564C">
            <w:pPr>
              <w:pStyle w:val="List2"/>
              <w:rPr>
                <w:lang w:val="en-NZ"/>
              </w:rPr>
            </w:pPr>
            <w:r w:rsidRPr="0023564C">
              <w:t>3.3.</w:t>
            </w:r>
            <w:r w:rsidRPr="0023564C">
              <w:tab/>
              <w:t>Light and shade effects to given illustration creating visual realism are applied using appropriate technique suitable to the selec</w:t>
            </w:r>
            <w:r w:rsidRPr="0023564C">
              <w:t>ted medium.</w:t>
            </w:r>
          </w:p>
        </w:tc>
      </w:tr>
      <w:tr w:rsidTr="006010E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3564C">
            <w:pPr>
              <w:pStyle w:val="List"/>
              <w:rPr>
                <w:lang w:val="en-NZ"/>
              </w:rPr>
            </w:pPr>
            <w:r w:rsidRPr="0023564C">
              <w:t>4.</w:t>
            </w:r>
            <w:r w:rsidRPr="0023564C">
              <w:tab/>
              <w:t>Apply mediums to paint illustrations.</w:t>
            </w:r>
          </w:p>
        </w:tc>
        <w:tc>
          <w:tcPr>
            <w:tcW w:w="6055" w:type="dxa"/>
            <w:tcBorders>
              <w:top w:val="nil"/>
              <w:left w:val="nil"/>
              <w:bottom w:val="nil"/>
              <w:right w:val="nil"/>
            </w:tcBorders>
            <w:tcMar>
              <w:top w:w="0" w:type="dxa"/>
              <w:left w:w="62" w:type="dxa"/>
              <w:bottom w:w="0" w:type="dxa"/>
              <w:right w:w="62" w:type="dxa"/>
            </w:tcMar>
          </w:tcPr>
          <w:p w:rsidR="00000000" w:rsidRPr="0023564C" w:rsidP="0023564C">
            <w:pPr>
              <w:pStyle w:val="List2"/>
            </w:pPr>
            <w:r w:rsidRPr="0023564C">
              <w:t>4.1.</w:t>
            </w:r>
            <w:r w:rsidRPr="0023564C">
              <w:tab/>
              <w:t xml:space="preserve">Appropriate mediums and equipment are selected and applied to produce various </w:t>
            </w:r>
            <w:r w:rsidRPr="0023564C">
              <w:rPr>
                <w:rStyle w:val="BoldandItalics"/>
              </w:rPr>
              <w:t>painting techniques</w:t>
            </w:r>
            <w:r w:rsidRPr="0023564C">
              <w:t xml:space="preserve">. </w:t>
            </w:r>
          </w:p>
          <w:p w:rsidR="00000000" w:rsidRPr="0023564C" w:rsidP="0023564C">
            <w:pPr>
              <w:pStyle w:val="List2"/>
            </w:pPr>
            <w:r w:rsidRPr="0023564C">
              <w:t>4.2.</w:t>
            </w:r>
            <w:r w:rsidRPr="0023564C">
              <w:tab/>
              <w:t>Accurate visual texture, light and shade are achieved.</w:t>
            </w:r>
          </w:p>
          <w:p w:rsidR="00000000" w:rsidRPr="0023564C" w:rsidP="0023564C">
            <w:pPr>
              <w:pStyle w:val="List2"/>
            </w:pPr>
            <w:r w:rsidRPr="0023564C">
              <w:t>4.3.</w:t>
            </w:r>
            <w:r w:rsidRPr="0023564C">
              <w:tab/>
              <w:t>Appropriate colours are determin</w:t>
            </w:r>
            <w:r w:rsidRPr="0023564C">
              <w:t>ed and applied, achieving correct tones and tonal order.</w:t>
            </w:r>
          </w:p>
          <w:p w:rsidR="00000000" w:rsidP="0023564C">
            <w:pPr>
              <w:pStyle w:val="List2"/>
              <w:rPr>
                <w:lang w:val="en-NZ"/>
              </w:rPr>
            </w:pPr>
            <w:r w:rsidRPr="0023564C">
              <w:t>4.4.</w:t>
            </w:r>
            <w:r w:rsidRPr="0023564C">
              <w:tab/>
              <w:t>Lettering/letter decoration and illustration are applied to pictorial sign accurately and cleanly.</w:t>
            </w:r>
          </w:p>
        </w:tc>
      </w:tr>
      <w:tr w:rsidTr="006010E4">
        <w:tblPrEx>
          <w:tblW w:w="0" w:type="auto"/>
          <w:tblLayout w:type="fixed"/>
          <w:tblCellMar>
            <w:left w:w="62" w:type="dxa"/>
            <w:right w:w="62" w:type="dxa"/>
          </w:tblCellMar>
          <w:tblLook w:val="0000"/>
        </w:tblPrEx>
        <w:tc>
          <w:tcPr>
            <w:tcW w:w="2467" w:type="dxa"/>
            <w:tcBorders>
              <w:top w:val="nil"/>
              <w:left w:val="nil"/>
              <w:bottom w:val="nil"/>
              <w:right w:val="nil"/>
            </w:tcBorders>
            <w:tcMar>
              <w:top w:w="0" w:type="dxa"/>
              <w:left w:w="62" w:type="dxa"/>
              <w:bottom w:w="0" w:type="dxa"/>
              <w:right w:w="62" w:type="dxa"/>
            </w:tcMar>
          </w:tcPr>
          <w:p w:rsidR="00000000" w:rsidP="0023564C">
            <w:pPr>
              <w:pStyle w:val="List"/>
              <w:rPr>
                <w:lang w:val="en-NZ"/>
              </w:rPr>
            </w:pPr>
            <w:r w:rsidRPr="0023564C">
              <w:t>5.</w:t>
            </w:r>
            <w:r w:rsidRPr="0023564C">
              <w:tab/>
              <w:t>Clean up finished sign.</w:t>
            </w:r>
          </w:p>
        </w:tc>
        <w:tc>
          <w:tcPr>
            <w:tcW w:w="6055" w:type="dxa"/>
            <w:tcBorders>
              <w:top w:val="nil"/>
              <w:left w:val="nil"/>
              <w:bottom w:val="nil"/>
              <w:right w:val="nil"/>
            </w:tcBorders>
            <w:tcMar>
              <w:top w:w="0" w:type="dxa"/>
              <w:left w:w="62" w:type="dxa"/>
              <w:bottom w:w="0" w:type="dxa"/>
              <w:right w:w="62" w:type="dxa"/>
            </w:tcMar>
          </w:tcPr>
          <w:p w:rsidR="00000000" w:rsidRPr="0023564C" w:rsidP="0023564C">
            <w:pPr>
              <w:pStyle w:val="List2"/>
            </w:pPr>
            <w:r w:rsidRPr="0023564C">
              <w:t>5.1.</w:t>
            </w:r>
            <w:r w:rsidRPr="0023564C">
              <w:tab/>
              <w:t>Sign and surrounding surface environment/area is cleaned and w</w:t>
            </w:r>
            <w:r w:rsidRPr="0023564C">
              <w:t xml:space="preserve">aste materials removed in accordance with </w:t>
            </w:r>
            <w:r w:rsidRPr="0023564C">
              <w:rPr>
                <w:rStyle w:val="BoldandItalics"/>
              </w:rPr>
              <w:t>statutory and regulatory authority requirements</w:t>
            </w:r>
            <w:r w:rsidRPr="0023564C">
              <w:t xml:space="preserve">. </w:t>
            </w:r>
          </w:p>
          <w:p w:rsidR="00000000" w:rsidRPr="0023564C" w:rsidP="0023564C">
            <w:pPr>
              <w:pStyle w:val="List2"/>
            </w:pPr>
            <w:r w:rsidRPr="0023564C">
              <w:t>5.2.</w:t>
            </w:r>
            <w:r w:rsidRPr="0023564C">
              <w:tab/>
              <w:t>Tools and equipment, including personal protective equipment, are cleaned, maintained and stored.</w:t>
            </w:r>
          </w:p>
        </w:tc>
      </w:tr>
    </w:tbl>
    <w:p w:rsidR="006010E4" w:rsidP="0023564C">
      <w:pPr>
        <w:pStyle w:val="BodyText"/>
      </w:pPr>
    </w:p>
    <w:p w:rsidR="006010E4" w:rsidP="0023564C">
      <w:pPr>
        <w:pStyle w:val="BodyText"/>
      </w:pPr>
    </w:p>
    <w:p w:rsidR="00000000" w:rsidRPr="0023564C" w:rsidP="0023564C">
      <w:pPr>
        <w:pStyle w:val="Heading1"/>
      </w:pPr>
      <w:bookmarkStart w:id="9" w:name="O_258360"/>
      <w:bookmarkEnd w:id="9"/>
      <w:r w:rsidRPr="0023564C">
        <w:t>Required Skills and Knowledge</w:t>
      </w:r>
    </w:p>
    <w:tbl>
      <w:tblPr>
        <w:tblW w:w="0" w:type="auto"/>
        <w:tblLayout w:type="fixed"/>
        <w:tblCellMar>
          <w:left w:w="62" w:type="dxa"/>
          <w:right w:w="62" w:type="dxa"/>
        </w:tblCellMar>
        <w:tblLook w:val="0000"/>
      </w:tblPr>
      <w:tblGrid>
        <w:gridCol w:w="8522"/>
      </w:tblGrid>
      <w:tr w:rsidTr="006010E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REQUIRED SKILLS AND KNOWLEDGE</w:t>
            </w:r>
          </w:p>
        </w:tc>
      </w:tr>
      <w:tr w:rsidTr="006010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t>This section describes the skills and knowledge required for this unit.</w:t>
            </w:r>
          </w:p>
        </w:tc>
      </w:tr>
      <w:tr w:rsidTr="006010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Required skills</w:t>
            </w:r>
          </w:p>
        </w:tc>
      </w:tr>
      <w:tr w:rsidTr="006010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564C" w:rsidP="0023564C">
            <w:pPr>
              <w:pStyle w:val="BodyText"/>
            </w:pPr>
            <w:r w:rsidRPr="0023564C">
              <w:t>Required skills for this unit are:</w:t>
            </w:r>
          </w:p>
          <w:p w:rsidR="00000000" w:rsidRPr="0023564C" w:rsidP="0023564C">
            <w:pPr>
              <w:pStyle w:val="ListBullet"/>
            </w:pPr>
            <w:r w:rsidRPr="0023564C">
              <w:t>ability to recognise procedures, respond to change and contribute to workplace responsibilities, such as current work site environmental and sustainability frameworks or management systems</w:t>
            </w:r>
          </w:p>
          <w:p w:rsidR="00000000" w:rsidRPr="0023564C" w:rsidP="0023564C">
            <w:pPr>
              <w:pStyle w:val="ListBullet"/>
            </w:pPr>
            <w:r w:rsidRPr="0023564C">
              <w:t>communication skills to:</w:t>
            </w:r>
          </w:p>
          <w:p w:rsidR="00000000" w:rsidRPr="0023564C" w:rsidP="0023564C">
            <w:pPr>
              <w:pStyle w:val="ListBullet2"/>
            </w:pPr>
            <w:r w:rsidRPr="0023564C">
              <w:t>determine requirements</w:t>
            </w:r>
          </w:p>
          <w:p w:rsidR="00000000" w:rsidRPr="0023564C" w:rsidP="0023564C">
            <w:pPr>
              <w:pStyle w:val="ListBullet2"/>
            </w:pPr>
            <w:r w:rsidRPr="0023564C">
              <w:t>enable clear and direct communication, using questioning to identify and confirm requirements, share information, listen and understand</w:t>
            </w:r>
          </w:p>
          <w:p w:rsidR="00000000" w:rsidRPr="0023564C" w:rsidP="0023564C">
            <w:pPr>
              <w:pStyle w:val="ListBullet2"/>
            </w:pPr>
            <w:r w:rsidRPr="0023564C">
              <w:t>follow instructions</w:t>
            </w:r>
          </w:p>
          <w:p w:rsidR="00000000" w:rsidRPr="0023564C" w:rsidP="0023564C">
            <w:pPr>
              <w:pStyle w:val="ListBullet2"/>
            </w:pPr>
            <w:r w:rsidRPr="0023564C">
              <w:t>read and interpret:</w:t>
            </w:r>
          </w:p>
          <w:p w:rsidR="00000000" w:rsidRPr="0023564C" w:rsidP="0023564C">
            <w:pPr>
              <w:pStyle w:val="ListBullet3"/>
            </w:pPr>
            <w:r w:rsidRPr="0023564C">
              <w:t>charts and hand drawings</w:t>
            </w:r>
          </w:p>
          <w:p w:rsidR="00000000" w:rsidRPr="0023564C" w:rsidP="0023564C">
            <w:pPr>
              <w:pStyle w:val="ListBullet3"/>
            </w:pPr>
            <w:r w:rsidRPr="0023564C">
              <w:t>job drawings</w:t>
            </w:r>
          </w:p>
          <w:p w:rsidR="00000000" w:rsidRPr="0023564C" w:rsidP="0023564C">
            <w:pPr>
              <w:pStyle w:val="ListBullet3"/>
            </w:pPr>
            <w:r w:rsidRPr="0023564C">
              <w:t>manufacturer specifications and instructions</w:t>
            </w:r>
          </w:p>
          <w:p w:rsidR="00000000" w:rsidRPr="0023564C" w:rsidP="0023564C">
            <w:pPr>
              <w:pStyle w:val="ListBullet3"/>
            </w:pPr>
            <w:r w:rsidRPr="0023564C">
              <w:t>organisational work specifications</w:t>
            </w:r>
          </w:p>
          <w:p w:rsidR="00000000" w:rsidRPr="0023564C" w:rsidP="0023564C">
            <w:pPr>
              <w:pStyle w:val="ListBullet3"/>
            </w:pPr>
            <w:r w:rsidRPr="0023564C">
              <w:t>requirements and instructions issued by authorised organisational or external personnel</w:t>
            </w:r>
          </w:p>
          <w:p w:rsidR="00000000" w:rsidRPr="0023564C" w:rsidP="0023564C">
            <w:pPr>
              <w:pStyle w:val="ListBullet2"/>
            </w:pPr>
            <w:r w:rsidRPr="0023564C">
              <w:t>report faults</w:t>
            </w:r>
          </w:p>
          <w:p w:rsidR="00000000" w:rsidRPr="0023564C" w:rsidP="0023564C">
            <w:pPr>
              <w:pStyle w:val="ListBullet2"/>
            </w:pPr>
            <w:r w:rsidRPr="0023564C">
              <w:t>use and interpret non-verbal communication</w:t>
            </w:r>
          </w:p>
          <w:p w:rsidR="00000000" w:rsidRPr="0023564C" w:rsidP="0023564C">
            <w:pPr>
              <w:pStyle w:val="ListBullet2"/>
            </w:pPr>
            <w:r w:rsidRPr="0023564C">
              <w:t>use language and concepts appr</w:t>
            </w:r>
            <w:r w:rsidRPr="0023564C">
              <w:t>opriate to cultural differences</w:t>
            </w:r>
          </w:p>
          <w:p w:rsidR="00000000" w:rsidRPr="0023564C" w:rsidP="0023564C">
            <w:pPr>
              <w:pStyle w:val="ListBullet"/>
            </w:pPr>
            <w:r w:rsidRPr="0023564C">
              <w:t>innovation skills to select appropriate tools and equipment, respond to workplace challenges and put ideas into action</w:t>
            </w:r>
          </w:p>
          <w:p w:rsidR="00000000" w:rsidRPr="0023564C" w:rsidP="0023564C">
            <w:pPr>
              <w:pStyle w:val="ListBullet"/>
            </w:pPr>
            <w:r w:rsidRPr="0023564C">
              <w:t>interpret drawings and documentation</w:t>
            </w:r>
          </w:p>
          <w:p w:rsidR="00000000" w:rsidRPr="0023564C" w:rsidP="0023564C">
            <w:pPr>
              <w:pStyle w:val="ListBullet"/>
            </w:pPr>
            <w:r w:rsidRPr="0023564C">
              <w:t>measure accurately</w:t>
            </w:r>
          </w:p>
          <w:p w:rsidR="00000000" w:rsidRPr="0023564C" w:rsidP="0023564C">
            <w:pPr>
              <w:pStyle w:val="ListBullet"/>
            </w:pPr>
            <w:r w:rsidRPr="0023564C">
              <w:t>organisational skills, including the ability to plan and set out work</w:t>
            </w:r>
          </w:p>
          <w:p w:rsidR="00000000" w:rsidRPr="0023564C" w:rsidP="0023564C">
            <w:pPr>
              <w:pStyle w:val="ListBullet"/>
            </w:pPr>
            <w:r w:rsidRPr="0023564C">
              <w:t>problem solving skills to recognise, and take action to rectify, minor faults and problems</w:t>
            </w:r>
          </w:p>
          <w:p w:rsidR="00000000" w:rsidRPr="0023564C" w:rsidP="0023564C">
            <w:pPr>
              <w:pStyle w:val="ListBullet"/>
            </w:pPr>
            <w:r w:rsidRPr="0023564C">
              <w:t>select and record colours</w:t>
            </w:r>
          </w:p>
          <w:p w:rsidR="00000000" w:rsidRPr="0023564C" w:rsidP="0023564C">
            <w:pPr>
              <w:pStyle w:val="ListBullet"/>
            </w:pPr>
            <w:r w:rsidRPr="0023564C">
              <w:t>teamwork skills to be able to coordinate with others, action tasks an</w:t>
            </w:r>
            <w:r w:rsidRPr="0023564C">
              <w:t>d relate to people from a range of social, cultural, ethnic backgrounds and with varying physical and mental abilities</w:t>
            </w:r>
          </w:p>
          <w:p w:rsidR="00000000" w:rsidP="0023564C">
            <w:pPr>
              <w:pStyle w:val="ListBullet"/>
              <w:rPr>
                <w:lang w:val="en-NZ"/>
              </w:rPr>
            </w:pPr>
            <w:r w:rsidRPr="0023564C">
              <w:t>transfer measurements from drawings to sign in pictorial forms.</w:t>
            </w:r>
          </w:p>
        </w:tc>
      </w:tr>
      <w:tr w:rsidTr="006010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Required knowledge</w:t>
            </w:r>
          </w:p>
        </w:tc>
      </w:tr>
      <w:tr w:rsidTr="006010E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3564C" w:rsidP="0023564C">
            <w:pPr>
              <w:pStyle w:val="BodyText"/>
            </w:pPr>
            <w:r w:rsidRPr="0023564C">
              <w:t>Required knowledge for this unit is:</w:t>
            </w:r>
          </w:p>
          <w:p w:rsidR="00000000" w:rsidRPr="0023564C" w:rsidP="0023564C">
            <w:pPr>
              <w:pStyle w:val="ListBullet"/>
            </w:pPr>
            <w:r w:rsidRPr="0023564C">
              <w:t>Australian sta</w:t>
            </w:r>
            <w:r w:rsidRPr="0023564C">
              <w:t>ndards:</w:t>
            </w:r>
          </w:p>
          <w:p w:rsidR="00000000" w:rsidRPr="0023564C" w:rsidP="0023564C">
            <w:pPr>
              <w:pStyle w:val="ListBullet2"/>
            </w:pPr>
            <w:r w:rsidRPr="0023564C">
              <w:t>AS2311 General workmanship - painting</w:t>
            </w:r>
          </w:p>
          <w:p w:rsidR="00000000" w:rsidRPr="0023564C" w:rsidP="0023564C">
            <w:pPr>
              <w:pStyle w:val="ListBullet2"/>
            </w:pPr>
            <w:r w:rsidRPr="0023564C">
              <w:t>AS2700 Colour range - painting</w:t>
            </w:r>
          </w:p>
          <w:p w:rsidR="00000000" w:rsidRPr="0023564C" w:rsidP="0023564C">
            <w:pPr>
              <w:pStyle w:val="ListBullet"/>
            </w:pPr>
            <w:r w:rsidRPr="0023564C">
              <w:t>application techniques with paint</w:t>
            </w:r>
          </w:p>
          <w:p w:rsidR="00000000" w:rsidRPr="0023564C" w:rsidP="0023564C">
            <w:pPr>
              <w:pStyle w:val="ListBullet"/>
            </w:pPr>
            <w:r w:rsidRPr="0023564C">
              <w:t>colour selection</w:t>
            </w:r>
          </w:p>
          <w:p w:rsidR="00000000" w:rsidRPr="0023564C" w:rsidP="0023564C">
            <w:pPr>
              <w:pStyle w:val="ListBullet"/>
            </w:pPr>
            <w:r w:rsidRPr="0023564C">
              <w:t>commonly used drawings and layouts for signs</w:t>
            </w:r>
          </w:p>
          <w:p w:rsidR="00000000" w:rsidRPr="0023564C" w:rsidP="0023564C">
            <w:pPr>
              <w:pStyle w:val="ListBullet"/>
            </w:pPr>
            <w:r w:rsidRPr="0023564C">
              <w:t>identification of dimensions, symbols, abbreviations and key features of signage</w:t>
            </w:r>
          </w:p>
          <w:p w:rsidR="00000000" w:rsidRPr="0023564C" w:rsidP="0023564C">
            <w:pPr>
              <w:pStyle w:val="ListBullet"/>
            </w:pPr>
            <w:r w:rsidRPr="0023564C">
              <w:t xml:space="preserve">job safety analysis (JSA) and safe work method statements </w:t>
            </w:r>
          </w:p>
          <w:p w:rsidR="00000000" w:rsidRPr="0023564C" w:rsidP="0023564C">
            <w:pPr>
              <w:pStyle w:val="ListBullet"/>
            </w:pPr>
            <w:r w:rsidRPr="0023564C">
              <w:t>measure and set out relevant to layout of signs</w:t>
            </w:r>
          </w:p>
          <w:p w:rsidR="00000000" w:rsidRPr="0023564C" w:rsidP="0023564C">
            <w:pPr>
              <w:pStyle w:val="ListBullet"/>
            </w:pPr>
            <w:r w:rsidRPr="0023564C">
              <w:t>measurements and calculations related to material quantities</w:t>
            </w:r>
          </w:p>
          <w:p w:rsidR="00000000" w:rsidRPr="0023564C" w:rsidP="0023564C">
            <w:pPr>
              <w:pStyle w:val="ListBullet"/>
            </w:pPr>
            <w:r w:rsidRPr="0023564C">
              <w:t>MSDS</w:t>
            </w:r>
          </w:p>
          <w:p w:rsidR="00000000" w:rsidRPr="0023564C" w:rsidP="0023564C">
            <w:pPr>
              <w:pStyle w:val="ListBullet"/>
            </w:pPr>
            <w:r w:rsidRPr="0023564C">
              <w:t>pictorial designs and reproduction</w:t>
            </w:r>
          </w:p>
          <w:p w:rsidR="00000000" w:rsidRPr="0023564C" w:rsidP="0023564C">
            <w:pPr>
              <w:pStyle w:val="ListBullet"/>
            </w:pPr>
            <w:r w:rsidRPr="0023564C">
              <w:t>statutory and regulatory authority requirements,</w:t>
            </w:r>
            <w:r w:rsidRPr="0023564C">
              <w:t xml:space="preserve"> particularly those relating to:</w:t>
            </w:r>
          </w:p>
          <w:p w:rsidR="00000000" w:rsidRPr="0023564C" w:rsidP="0023564C">
            <w:pPr>
              <w:pStyle w:val="ListBullet2"/>
            </w:pPr>
            <w:r w:rsidRPr="0023564C">
              <w:t>removal of waste products</w:t>
            </w:r>
          </w:p>
          <w:p w:rsidR="00000000" w:rsidRPr="0023564C" w:rsidP="0023564C">
            <w:pPr>
              <w:pStyle w:val="ListBullet2"/>
            </w:pPr>
            <w:r w:rsidRPr="0023564C">
              <w:t>storage of chemicals and materials</w:t>
            </w:r>
          </w:p>
          <w:p w:rsidR="00000000" w:rsidRPr="0023564C" w:rsidP="0023564C">
            <w:pPr>
              <w:pStyle w:val="ListBullet"/>
            </w:pPr>
            <w:r w:rsidRPr="0023564C">
              <w:t>symbols, dimension and terminology relating to signage</w:t>
            </w:r>
          </w:p>
          <w:p w:rsidR="00000000" w:rsidRPr="0023564C" w:rsidP="0023564C">
            <w:pPr>
              <w:pStyle w:val="ListBullet"/>
            </w:pPr>
            <w:r w:rsidRPr="0023564C">
              <w:t>techniques to set out sign for designed signwriting</w:t>
            </w:r>
          </w:p>
          <w:p w:rsidR="00000000" w:rsidRPr="0023564C" w:rsidP="0023564C">
            <w:pPr>
              <w:pStyle w:val="ListBullet"/>
            </w:pPr>
            <w:r w:rsidRPr="0023564C">
              <w:t>terminology and definitions used in signage.</w:t>
            </w:r>
          </w:p>
        </w:tc>
      </w:tr>
    </w:tbl>
    <w:p w:rsidR="006010E4" w:rsidP="0023564C">
      <w:pPr>
        <w:pStyle w:val="BodyText"/>
      </w:pPr>
    </w:p>
    <w:p w:rsidR="006010E4" w:rsidP="0023564C">
      <w:pPr>
        <w:pStyle w:val="BodyText"/>
      </w:pPr>
    </w:p>
    <w:p w:rsidR="00000000" w:rsidRPr="0023564C" w:rsidP="0023564C">
      <w:pPr>
        <w:pStyle w:val="AllowPageBreak"/>
      </w:pPr>
    </w:p>
    <w:p w:rsidR="00000000" w:rsidRPr="0023564C" w:rsidP="0023564C">
      <w:pPr>
        <w:pStyle w:val="Heading1"/>
      </w:pPr>
      <w:bookmarkStart w:id="10" w:name="O_242394"/>
      <w:bookmarkEnd w:id="10"/>
      <w:r w:rsidRPr="0023564C">
        <w:t>Evidence Guide</w:t>
      </w:r>
    </w:p>
    <w:tbl>
      <w:tblPr>
        <w:tblW w:w="9348" w:type="dxa"/>
        <w:tblLayout w:type="fixed"/>
        <w:tblCellMar>
          <w:left w:w="62" w:type="dxa"/>
          <w:right w:w="62" w:type="dxa"/>
        </w:tblCellMar>
        <w:tblLook w:val="0000"/>
      </w:tblPr>
      <w:tblGrid>
        <w:gridCol w:w="3820"/>
        <w:gridCol w:w="5528"/>
      </w:tblGrid>
      <w:tr w:rsidTr="006010E4">
        <w:tblPrEx>
          <w:tblW w:w="9348" w:type="dxa"/>
          <w:tblLayout w:type="fixed"/>
          <w:tblCellMar>
            <w:left w:w="62" w:type="dxa"/>
            <w:right w:w="62" w:type="dxa"/>
          </w:tblCellMar>
          <w:tblLook w:val="0000"/>
        </w:tblPrEx>
        <w:trPr>
          <w:tblHeader/>
        </w:trPr>
        <w:tc>
          <w:tcPr>
            <w:tcW w:w="9348" w:type="dxa"/>
            <w:gridSpan w:val="2"/>
            <w:tcBorders>
              <w:top w:val="nil"/>
              <w:left w:val="nil"/>
              <w:bottom w:val="single" w:sz="6" w:space="0" w:color="auto"/>
              <w:right w:val="nil"/>
            </w:tcBorders>
            <w:tcMar>
              <w:top w:w="0" w:type="dxa"/>
              <w:left w:w="62" w:type="dxa"/>
              <w:bottom w:w="0" w:type="dxa"/>
              <w:right w:w="62" w:type="dxa"/>
            </w:tcMar>
          </w:tcPr>
          <w:p w:rsidR="00000000" w:rsidP="0023564C">
            <w:pPr>
              <w:pStyle w:val="BodyText"/>
              <w:rPr>
                <w:lang w:val="en-NZ"/>
              </w:rPr>
            </w:pPr>
            <w:r w:rsidRPr="0023564C">
              <w:rPr>
                <w:rStyle w:val="SpecialBold"/>
              </w:rPr>
              <w:t>EVIDENCE GUIDE</w:t>
            </w:r>
          </w:p>
        </w:tc>
      </w:tr>
      <w:tr w:rsidTr="006010E4">
        <w:tblPrEx>
          <w:tblW w:w="9348" w:type="dxa"/>
          <w:tblLayout w:type="fixed"/>
          <w:tblCellMar>
            <w:left w:w="62" w:type="dxa"/>
            <w:right w:w="62" w:type="dxa"/>
          </w:tblCellMar>
          <w:tblLook w:val="0000"/>
        </w:tblPrEx>
        <w:tc>
          <w:tcPr>
            <w:tcW w:w="9348" w:type="dxa"/>
            <w:gridSpan w:val="2"/>
            <w:tcBorders>
              <w:top w:val="single" w:sz="6" w:space="0" w:color="auto"/>
              <w:left w:val="nil"/>
              <w:bottom w:val="nil"/>
              <w:right w:val="nil"/>
            </w:tcBorders>
            <w:tcMar>
              <w:top w:w="0" w:type="dxa"/>
              <w:left w:w="62" w:type="dxa"/>
              <w:bottom w:w="0" w:type="dxa"/>
              <w:right w:w="62" w:type="dxa"/>
            </w:tcMar>
          </w:tcPr>
          <w:p w:rsidR="00000000" w:rsidP="0023564C">
            <w:pPr>
              <w:pStyle w:val="BodyText"/>
              <w:rPr>
                <w:lang w:val="en-NZ"/>
              </w:rPr>
            </w:pPr>
            <w:r w:rsidRPr="0023564C">
              <w:t xml:space="preserve">The evidence guide provides advice on assessment and must be read in conjunction with the performance criteria, required skills and knowledge, </w:t>
            </w:r>
            <w:r w:rsidRPr="0023564C">
              <w:t>range statement and the Assessment Guidelines for the Training Package.</w:t>
            </w:r>
          </w:p>
        </w:tc>
      </w:tr>
      <w:tr w:rsidTr="006010E4">
        <w:tblPrEx>
          <w:tblW w:w="9348" w:type="dxa"/>
          <w:tblLayout w:type="fixed"/>
          <w:tblCellMar>
            <w:left w:w="62" w:type="dxa"/>
            <w:right w:w="62" w:type="dxa"/>
          </w:tblCellMar>
          <w:tblLook w:val="0000"/>
        </w:tblPrEx>
        <w:tc>
          <w:tcPr>
            <w:tcW w:w="3820"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Overview of assessment</w:t>
            </w:r>
          </w:p>
        </w:tc>
        <w:tc>
          <w:tcPr>
            <w:tcW w:w="5528"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t>This unit of competency could be assessed in the workplace or a close simulation of the workplace environment, provided that simulated or project-based assessm</w:t>
            </w:r>
            <w:r w:rsidRPr="0023564C">
              <w:t xml:space="preserve">ent techniques fully replicate construction workplace conditions, materials, activities, responsibilities and procedures. </w:t>
            </w:r>
          </w:p>
        </w:tc>
      </w:tr>
      <w:tr w:rsidTr="006010E4">
        <w:tblPrEx>
          <w:tblW w:w="9348" w:type="dxa"/>
          <w:tblLayout w:type="fixed"/>
          <w:tblCellMar>
            <w:left w:w="62" w:type="dxa"/>
            <w:right w:w="62" w:type="dxa"/>
          </w:tblCellMar>
          <w:tblLook w:val="0000"/>
        </w:tblPrEx>
        <w:tc>
          <w:tcPr>
            <w:tcW w:w="3820"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Critical aspects for assessment and evidence required to demonstrate competency in this unit</w:t>
            </w:r>
          </w:p>
        </w:tc>
        <w:tc>
          <w:tcPr>
            <w:tcW w:w="5528" w:type="dxa"/>
            <w:tcBorders>
              <w:top w:val="nil"/>
              <w:left w:val="nil"/>
              <w:bottom w:val="nil"/>
              <w:right w:val="nil"/>
            </w:tcBorders>
            <w:tcMar>
              <w:top w:w="0" w:type="dxa"/>
              <w:left w:w="62" w:type="dxa"/>
              <w:bottom w:w="0" w:type="dxa"/>
              <w:right w:w="62" w:type="dxa"/>
            </w:tcMar>
          </w:tcPr>
          <w:p w:rsidR="00000000" w:rsidRPr="0023564C" w:rsidP="0023564C">
            <w:pPr>
              <w:pStyle w:val="BodyText"/>
            </w:pPr>
            <w:r w:rsidRPr="0023564C">
              <w:t>A person who demonstrates competency in</w:t>
            </w:r>
            <w:r w:rsidRPr="0023564C">
              <w:t xml:space="preserve"> this unit must be able to provide evidence of:</w:t>
            </w:r>
          </w:p>
          <w:p w:rsidR="00000000" w:rsidRPr="0023564C" w:rsidP="0023564C">
            <w:pPr>
              <w:pStyle w:val="ListBullet"/>
            </w:pPr>
            <w:r w:rsidRPr="0023564C">
              <w:t>understanding and applying:</w:t>
            </w:r>
          </w:p>
          <w:p w:rsidR="00000000" w:rsidRPr="0023564C" w:rsidP="0023564C">
            <w:pPr>
              <w:pStyle w:val="ListBullet2"/>
            </w:pPr>
            <w:r w:rsidRPr="0023564C">
              <w:t>principles of layout</w:t>
            </w:r>
          </w:p>
          <w:p w:rsidR="00000000" w:rsidRPr="0023564C" w:rsidP="0023564C">
            <w:pPr>
              <w:pStyle w:val="ListBullet2"/>
            </w:pPr>
            <w:r w:rsidRPr="0023564C">
              <w:t>construction of alphabets</w:t>
            </w:r>
          </w:p>
          <w:p w:rsidR="00000000" w:rsidRPr="0023564C" w:rsidP="0023564C">
            <w:pPr>
              <w:pStyle w:val="ListBullet2"/>
            </w:pPr>
            <w:r w:rsidRPr="0023564C">
              <w:t>theory of letter spacing</w:t>
            </w:r>
          </w:p>
          <w:p w:rsidR="00000000" w:rsidRPr="0023564C" w:rsidP="0023564C">
            <w:pPr>
              <w:pStyle w:val="ListBullet"/>
            </w:pPr>
            <w:r w:rsidRPr="0023564C">
              <w:t>identification of dimensions, symbols, abbreviations and key features of signage</w:t>
            </w:r>
          </w:p>
          <w:p w:rsidR="00000000" w:rsidRPr="0023564C" w:rsidP="0023564C">
            <w:pPr>
              <w:pStyle w:val="ListBullet"/>
            </w:pPr>
            <w:r w:rsidRPr="0023564C">
              <w:t>identification and correct application of designed material to substrate</w:t>
            </w:r>
          </w:p>
          <w:p w:rsidR="00000000" w:rsidRPr="0023564C" w:rsidP="0023564C">
            <w:pPr>
              <w:pStyle w:val="ListBullet"/>
            </w:pPr>
            <w:r w:rsidRPr="0023564C">
              <w:t>sound and accurate techniques to reproduce pictorial to size requirements</w:t>
            </w:r>
          </w:p>
          <w:p w:rsidR="00000000" w:rsidRPr="0023564C" w:rsidP="0023564C">
            <w:pPr>
              <w:pStyle w:val="ListBullet"/>
            </w:pPr>
            <w:r w:rsidRPr="0023564C">
              <w:t>appropriate techniques to identify and record colours</w:t>
            </w:r>
          </w:p>
          <w:p w:rsidR="00000000" w:rsidRPr="0023564C" w:rsidP="0023564C">
            <w:pPr>
              <w:pStyle w:val="ListBullet"/>
            </w:pPr>
            <w:r w:rsidRPr="0023564C">
              <w:t>sound techniques to produce colour fully to boundary li</w:t>
            </w:r>
            <w:r w:rsidRPr="0023564C">
              <w:t>mits</w:t>
            </w:r>
          </w:p>
          <w:p w:rsidR="00000000" w:rsidP="0023564C">
            <w:pPr>
              <w:pStyle w:val="ListBullet"/>
              <w:rPr>
                <w:lang w:val="en-NZ"/>
              </w:rPr>
            </w:pPr>
            <w:r w:rsidRPr="0023564C">
              <w:t>completion of pictorial to design and specifications.</w:t>
            </w:r>
          </w:p>
        </w:tc>
      </w:tr>
      <w:tr w:rsidTr="006010E4">
        <w:tblPrEx>
          <w:tblW w:w="9348" w:type="dxa"/>
          <w:tblLayout w:type="fixed"/>
          <w:tblCellMar>
            <w:left w:w="62" w:type="dxa"/>
            <w:right w:w="62" w:type="dxa"/>
          </w:tblCellMar>
          <w:tblLook w:val="0000"/>
        </w:tblPrEx>
        <w:tc>
          <w:tcPr>
            <w:tcW w:w="3820"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Context of and specific resources for assessment</w:t>
            </w:r>
          </w:p>
        </w:tc>
        <w:tc>
          <w:tcPr>
            <w:tcW w:w="5528" w:type="dxa"/>
            <w:tcBorders>
              <w:top w:val="nil"/>
              <w:left w:val="nil"/>
              <w:bottom w:val="nil"/>
              <w:right w:val="nil"/>
            </w:tcBorders>
            <w:tcMar>
              <w:top w:w="0" w:type="dxa"/>
              <w:left w:w="62" w:type="dxa"/>
              <w:bottom w:w="0" w:type="dxa"/>
              <w:right w:w="62" w:type="dxa"/>
            </w:tcMar>
          </w:tcPr>
          <w:p w:rsidR="00000000" w:rsidRPr="0023564C" w:rsidP="0023564C">
            <w:pPr>
              <w:pStyle w:val="BodyText"/>
            </w:pPr>
            <w:r w:rsidRPr="0023564C">
              <w:t>This competency is to be assessed using standard and authorised work practices, safety requirements and environmental constraints.</w:t>
            </w:r>
          </w:p>
          <w:p w:rsidR="00000000" w:rsidRPr="0023564C" w:rsidP="0023564C">
            <w:pPr>
              <w:pStyle w:val="BodyText"/>
            </w:pPr>
            <w:r w:rsidRPr="0023564C">
              <w:t>Assessment of essential underpinning knowledge will usually be conducted in an off-site context.</w:t>
            </w:r>
          </w:p>
          <w:p w:rsidR="00000000" w:rsidRPr="0023564C" w:rsidP="0023564C">
            <w:pPr>
              <w:pStyle w:val="BodyText"/>
            </w:pPr>
            <w:r w:rsidRPr="0023564C">
              <w:t>Assessment is to comply with relevant regulatory or Australian standards' requirements.</w:t>
            </w:r>
          </w:p>
          <w:p w:rsidR="00000000" w:rsidRPr="0023564C" w:rsidP="0023564C">
            <w:pPr>
              <w:pStyle w:val="BodyText"/>
            </w:pPr>
            <w:r w:rsidRPr="0023564C">
              <w:t>Resource implications for assessment include:</w:t>
            </w:r>
          </w:p>
          <w:p w:rsidR="00000000" w:rsidRPr="0023564C" w:rsidP="0023564C">
            <w:pPr>
              <w:pStyle w:val="ListBullet"/>
            </w:pPr>
            <w:r w:rsidRPr="0023564C">
              <w:t>an induction procedure a</w:t>
            </w:r>
            <w:r w:rsidRPr="0023564C">
              <w:t>nd requirement</w:t>
            </w:r>
          </w:p>
          <w:p w:rsidR="00000000" w:rsidRPr="0023564C" w:rsidP="0023564C">
            <w:pPr>
              <w:pStyle w:val="ListBullet"/>
            </w:pPr>
            <w:r w:rsidRPr="0023564C">
              <w:t>realistic tasks or simulated tasks covering the mandatory task requirements</w:t>
            </w:r>
          </w:p>
          <w:p w:rsidR="00000000" w:rsidRPr="0023564C" w:rsidP="0023564C">
            <w:pPr>
              <w:pStyle w:val="ListBullet"/>
            </w:pPr>
            <w:r w:rsidRPr="0023564C">
              <w:t>relevant specifications and work instructions</w:t>
            </w:r>
          </w:p>
          <w:p w:rsidR="00000000" w:rsidRPr="0023564C" w:rsidP="0023564C">
            <w:pPr>
              <w:pStyle w:val="ListBullet"/>
            </w:pPr>
            <w:r w:rsidRPr="0023564C">
              <w:t>tools and equipment appropriate to hand rendering pictorials</w:t>
            </w:r>
          </w:p>
          <w:p w:rsidR="00000000" w:rsidRPr="0023564C" w:rsidP="0023564C">
            <w:pPr>
              <w:pStyle w:val="ListBullet"/>
            </w:pPr>
            <w:r w:rsidRPr="0023564C">
              <w:t>support materials appropriate to activity</w:t>
            </w:r>
          </w:p>
          <w:p w:rsidR="00000000" w:rsidRPr="0023564C" w:rsidP="0023564C">
            <w:pPr>
              <w:pStyle w:val="ListBullet"/>
            </w:pPr>
            <w:r w:rsidRPr="0023564C">
              <w:t>workplace instru</w:t>
            </w:r>
            <w:r w:rsidRPr="0023564C">
              <w:t>ctions relating to hand rendering pictorials</w:t>
            </w:r>
          </w:p>
          <w:p w:rsidR="00000000" w:rsidRPr="0023564C" w:rsidP="0023564C">
            <w:pPr>
              <w:pStyle w:val="ListBullet"/>
            </w:pPr>
            <w:r w:rsidRPr="0023564C">
              <w:t>material safety data sheets</w:t>
            </w:r>
          </w:p>
          <w:p w:rsidR="00000000" w:rsidRPr="0023564C" w:rsidP="0023564C">
            <w:pPr>
              <w:pStyle w:val="ListBullet"/>
            </w:pPr>
            <w:r w:rsidRPr="0023564C">
              <w:t>research resources, including industry-related systems information.</w:t>
            </w:r>
          </w:p>
          <w:p w:rsidR="00000000" w:rsidP="0023564C">
            <w:pPr>
              <w:pStyle w:val="BodyText"/>
              <w:rPr>
                <w:lang w:val="en-NZ"/>
              </w:rPr>
            </w:pPr>
            <w:r w:rsidRPr="0023564C">
              <w:t>Reasonable adjustments for people with disabilities must be made to assessment processes where required. This could</w:t>
            </w:r>
            <w:r w:rsidRPr="0023564C">
              <w:t xml:space="preserve"> include access to modified equipment and other physical resources, and the provision of appropriate assessment support. </w:t>
            </w:r>
          </w:p>
        </w:tc>
      </w:tr>
      <w:tr w:rsidTr="006010E4">
        <w:tblPrEx>
          <w:tblW w:w="9348" w:type="dxa"/>
          <w:tblLayout w:type="fixed"/>
          <w:tblCellMar>
            <w:left w:w="62" w:type="dxa"/>
            <w:right w:w="62" w:type="dxa"/>
          </w:tblCellMar>
          <w:tblLook w:val="0000"/>
        </w:tblPrEx>
        <w:tc>
          <w:tcPr>
            <w:tcW w:w="3820"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Method of assessment</w:t>
            </w:r>
          </w:p>
        </w:tc>
        <w:tc>
          <w:tcPr>
            <w:tcW w:w="5528" w:type="dxa"/>
            <w:tcBorders>
              <w:top w:val="nil"/>
              <w:left w:val="nil"/>
              <w:bottom w:val="nil"/>
              <w:right w:val="nil"/>
            </w:tcBorders>
            <w:tcMar>
              <w:top w:w="0" w:type="dxa"/>
              <w:left w:w="62" w:type="dxa"/>
              <w:bottom w:w="0" w:type="dxa"/>
              <w:right w:w="62" w:type="dxa"/>
            </w:tcMar>
          </w:tcPr>
          <w:p w:rsidR="00000000" w:rsidRPr="0023564C" w:rsidP="0023564C">
            <w:pPr>
              <w:pStyle w:val="BodyText"/>
            </w:pPr>
            <w:r w:rsidRPr="0023564C">
              <w:t>Assessment methods must:</w:t>
            </w:r>
          </w:p>
          <w:p w:rsidR="00000000" w:rsidRPr="0023564C" w:rsidP="0023564C">
            <w:pPr>
              <w:pStyle w:val="ListBullet"/>
            </w:pPr>
            <w:r w:rsidRPr="0023564C">
              <w:t xml:space="preserve">satisfy the endorsed Assessment Guidelines of the Construction, Plumbing and Services </w:t>
            </w:r>
            <w:r w:rsidRPr="0023564C">
              <w:t>Training Package</w:t>
            </w:r>
          </w:p>
          <w:p w:rsidR="00000000" w:rsidRPr="0023564C" w:rsidP="0023564C">
            <w:pPr>
              <w:pStyle w:val="ListBullet"/>
            </w:pPr>
            <w:r w:rsidRPr="0023564C">
              <w:t>include direct observation of tasks in real or simulated work conditions, with questioning to confirm the ability to consistently identify and correctly interpret the essential underpinning knowledge required for practical application</w:t>
            </w:r>
          </w:p>
          <w:p w:rsidR="00000000" w:rsidRPr="0023564C" w:rsidP="0023564C">
            <w:pPr>
              <w:pStyle w:val="ListBullet"/>
            </w:pPr>
            <w:r w:rsidRPr="0023564C">
              <w:t>rein</w:t>
            </w:r>
            <w:r w:rsidRPr="0023564C">
              <w:t>force the integration of employability skills with workplace tasks and job roles</w:t>
            </w:r>
          </w:p>
          <w:p w:rsidR="00000000" w:rsidRPr="0023564C" w:rsidP="0023564C">
            <w:pPr>
              <w:pStyle w:val="ListBullet"/>
            </w:pPr>
            <w:r w:rsidRPr="0023564C">
              <w:t>confirm that competency is verified and able to be transferred to other circumstances and environments.</w:t>
            </w:r>
          </w:p>
          <w:p w:rsidR="00000000" w:rsidRPr="0023564C" w:rsidP="0023564C">
            <w:pPr>
              <w:pStyle w:val="BodyText"/>
            </w:pPr>
            <w:r w:rsidRPr="0023564C">
              <w:t>Validity and sufficiency of evidence requires that:</w:t>
            </w:r>
          </w:p>
          <w:p w:rsidR="00000000" w:rsidRPr="0023564C" w:rsidP="0023564C">
            <w:pPr>
              <w:pStyle w:val="ListBullet"/>
            </w:pPr>
            <w:r w:rsidRPr="0023564C">
              <w:t>competency will ne</w:t>
            </w:r>
            <w:r w:rsidRPr="0023564C">
              <w:t>ed to be demonstrated over a period of time reflecting the scope of the role and the practical requirements of the workplace</w:t>
            </w:r>
          </w:p>
          <w:p w:rsidR="00000000" w:rsidRPr="0023564C" w:rsidP="0023564C">
            <w:pPr>
              <w:pStyle w:val="ListBullet"/>
            </w:pPr>
            <w:r w:rsidRPr="0023564C">
              <w:t>where the assessment is part of a structured learning experience the evidence collected must relate to a number of performances ass</w:t>
            </w:r>
            <w:r w:rsidRPr="0023564C">
              <w:t>essed at different points in time and separated by further learning and practice, with a decision on competency only taken at the point when the assessor has complete confidence in the person's demonstrated ability and applied knowledge</w:t>
            </w:r>
          </w:p>
          <w:p w:rsidR="00000000" w:rsidRPr="0023564C" w:rsidP="0023564C">
            <w:pPr>
              <w:pStyle w:val="ListBullet"/>
            </w:pPr>
            <w:r w:rsidRPr="0023564C">
              <w:t>all assessment that</w:t>
            </w:r>
            <w:r w:rsidRPr="0023564C">
              <w:t xml:space="preserve"> is part of a structured learning experience must include a combination of direct, indirect and supplementary evidence.</w:t>
            </w:r>
          </w:p>
          <w:p w:rsidR="00000000" w:rsidRPr="0023564C" w:rsidP="0023564C">
            <w:pPr>
              <w:pStyle w:val="BodyText"/>
            </w:pPr>
            <w:r w:rsidRPr="0023564C">
              <w:t xml:space="preserve">Assessment processes and techniques should as far as is practical take into account the language, literacy and numeracy capacity of the </w:t>
            </w:r>
            <w:r w:rsidRPr="0023564C">
              <w:t>candidate in relation to the competency being assessed.</w:t>
            </w:r>
          </w:p>
          <w:p w:rsidR="00000000" w:rsidRPr="0023564C" w:rsidP="0023564C">
            <w:pPr>
              <w:pStyle w:val="BodyText"/>
            </w:pPr>
            <w:r w:rsidRPr="0023564C">
              <w:t xml:space="preserve">Supplementary evidence of competency may be obtained from relevant authenticated documentation from third parties, such as existing supervisors, team leaders or specialist training staff. </w:t>
            </w:r>
          </w:p>
        </w:tc>
      </w:tr>
    </w:tbl>
    <w:p w:rsidR="006010E4" w:rsidP="0023564C">
      <w:pPr>
        <w:pStyle w:val="BodyText"/>
      </w:pPr>
    </w:p>
    <w:p w:rsidR="006010E4" w:rsidP="0023564C">
      <w:pPr>
        <w:pStyle w:val="BodyText"/>
      </w:pPr>
    </w:p>
    <w:p w:rsidR="00000000" w:rsidRPr="0023564C" w:rsidP="0023564C">
      <w:pPr>
        <w:pStyle w:val="Heading1"/>
      </w:pPr>
      <w:bookmarkStart w:id="11" w:name="O_250377"/>
      <w:bookmarkEnd w:id="11"/>
      <w:r w:rsidRPr="0023564C">
        <w:t>Range Statement</w:t>
      </w:r>
    </w:p>
    <w:tbl>
      <w:tblPr>
        <w:tblW w:w="0" w:type="auto"/>
        <w:tblLayout w:type="fixed"/>
        <w:tblCellMar>
          <w:left w:w="62" w:type="dxa"/>
          <w:right w:w="62" w:type="dxa"/>
        </w:tblCellMar>
        <w:tblLook w:val="0000"/>
      </w:tblPr>
      <w:tblGrid>
        <w:gridCol w:w="3482"/>
        <w:gridCol w:w="5040"/>
      </w:tblGrid>
      <w:tr w:rsidTr="006010E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23564C">
            <w:pPr>
              <w:pStyle w:val="BodyText"/>
              <w:rPr>
                <w:lang w:val="en-NZ"/>
              </w:rPr>
            </w:pPr>
            <w:r w:rsidRPr="0023564C">
              <w:rPr>
                <w:rStyle w:val="SpecialBold"/>
              </w:rPr>
              <w:t>RANGE STATEMENT</w:t>
            </w:r>
          </w:p>
        </w:tc>
      </w:tr>
      <w:tr w:rsidTr="006010E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23564C">
            <w:pPr>
              <w:pStyle w:val="BodyText"/>
              <w:rPr>
                <w:lang w:val="en-NZ"/>
              </w:rPr>
            </w:pPr>
            <w:r w:rsidRPr="0023564C">
              <w:t>The range statement relates to the unit of competency as a whole. It allows for different work environments and situations that may affect performance. Bold italicised wording, if used in the performance cr</w:t>
            </w:r>
            <w:r w:rsidRPr="0023564C">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6010E4">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BoldandItalics"/>
              </w:rPr>
              <w:t>Quality assurance requirements</w:t>
            </w:r>
            <w:r w:rsidRPr="0023564C">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23564C" w:rsidP="0023564C">
            <w:pPr>
              <w:pStyle w:val="ListBullet"/>
            </w:pPr>
            <w:r w:rsidRPr="0023564C">
              <w:t>attention to work specifications</w:t>
            </w:r>
          </w:p>
          <w:p w:rsidR="00000000" w:rsidRPr="0023564C" w:rsidP="0023564C">
            <w:pPr>
              <w:pStyle w:val="ListBullet"/>
            </w:pPr>
            <w:r w:rsidRPr="0023564C">
              <w:t>Australian and international standards relevant to the sign industry</w:t>
            </w:r>
          </w:p>
          <w:p w:rsidR="00000000" w:rsidRPr="0023564C" w:rsidP="0023564C">
            <w:pPr>
              <w:pStyle w:val="ListBullet"/>
            </w:pPr>
            <w:r w:rsidRPr="0023564C">
              <w:t>control of handling procedures</w:t>
            </w:r>
          </w:p>
          <w:p w:rsidR="00000000" w:rsidRPr="0023564C" w:rsidP="0023564C">
            <w:pPr>
              <w:pStyle w:val="ListBullet"/>
            </w:pPr>
            <w:r w:rsidRPr="0023564C">
              <w:t>internal company quality assurance policy and risk management strategies</w:t>
            </w:r>
          </w:p>
          <w:p w:rsidR="00000000" w:rsidRPr="0023564C" w:rsidP="0023564C">
            <w:pPr>
              <w:pStyle w:val="ListBullet"/>
            </w:pPr>
            <w:r w:rsidRPr="0023564C">
              <w:t>procedures for installing and finishing</w:t>
            </w:r>
          </w:p>
          <w:p w:rsidR="00000000" w:rsidRPr="0023564C" w:rsidP="0023564C">
            <w:pPr>
              <w:pStyle w:val="ListBullet"/>
            </w:pPr>
            <w:r w:rsidRPr="0023564C">
              <w:t>quality of materials</w:t>
            </w:r>
          </w:p>
          <w:p w:rsidR="00000000" w:rsidRPr="0023564C" w:rsidP="0023564C">
            <w:pPr>
              <w:pStyle w:val="ListBullet"/>
            </w:pPr>
            <w:r w:rsidRPr="0023564C">
              <w:t>use and maintenance of equipment</w:t>
            </w:r>
          </w:p>
          <w:p w:rsidR="00000000" w:rsidP="0023564C">
            <w:pPr>
              <w:pStyle w:val="ListBullet"/>
              <w:rPr>
                <w:lang w:val="en-NZ"/>
              </w:rPr>
            </w:pPr>
            <w:r w:rsidRPr="0023564C">
              <w:t>workplace operations and procedures.</w:t>
            </w:r>
          </w:p>
        </w:tc>
      </w:tr>
      <w:tr w:rsidTr="006010E4">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BoldandItalics"/>
              </w:rPr>
              <w:t>Safety</w:t>
            </w:r>
            <w:r w:rsidRPr="0023564C">
              <w:t xml:space="preserve"> (</w:t>
            </w:r>
            <w:r w:rsidRPr="0023564C">
              <w:rPr>
                <w:rStyle w:val="BoldandItalics"/>
              </w:rPr>
              <w:t>OHS</w:t>
            </w:r>
            <w:r w:rsidRPr="0023564C">
              <w:t>) is to be in accordance with state and territory legislation and regulations and project safety plan and may inc</w:t>
            </w:r>
            <w:r w:rsidRPr="0023564C">
              <w:t xml:space="preserve">lude: </w:t>
            </w:r>
          </w:p>
        </w:tc>
        <w:tc>
          <w:tcPr>
            <w:tcW w:w="5040" w:type="dxa"/>
            <w:tcBorders>
              <w:top w:val="nil"/>
              <w:left w:val="nil"/>
              <w:bottom w:val="nil"/>
              <w:right w:val="nil"/>
            </w:tcBorders>
            <w:tcMar>
              <w:top w:w="0" w:type="dxa"/>
              <w:left w:w="62" w:type="dxa"/>
              <w:bottom w:w="0" w:type="dxa"/>
              <w:right w:w="62" w:type="dxa"/>
            </w:tcMar>
          </w:tcPr>
          <w:p w:rsidR="00000000" w:rsidRPr="0023564C" w:rsidP="0023564C">
            <w:pPr>
              <w:pStyle w:val="ListBullet"/>
            </w:pPr>
            <w:r w:rsidRPr="0023564C">
              <w:t>emergency procedures, including extinguishing fires, organisational first aid requirements and evacuation</w:t>
            </w:r>
          </w:p>
          <w:p w:rsidR="00000000" w:rsidRPr="0023564C" w:rsidP="0023564C">
            <w:pPr>
              <w:pStyle w:val="ListBullet"/>
            </w:pPr>
            <w:r w:rsidRPr="0023564C">
              <w:t>hazard control</w:t>
            </w:r>
          </w:p>
          <w:p w:rsidR="00000000" w:rsidRPr="0023564C" w:rsidP="0023564C">
            <w:pPr>
              <w:pStyle w:val="ListBullet"/>
            </w:pPr>
            <w:r w:rsidRPr="0023564C">
              <w:t>hazardous materials and substances</w:t>
            </w:r>
          </w:p>
          <w:p w:rsidR="00000000" w:rsidRPr="0023564C" w:rsidP="0023564C">
            <w:pPr>
              <w:pStyle w:val="ListBullet"/>
            </w:pPr>
            <w:r w:rsidRPr="0023564C">
              <w:t>organisational first aid</w:t>
            </w:r>
          </w:p>
          <w:p w:rsidR="00000000" w:rsidRPr="0023564C" w:rsidP="0023564C">
            <w:pPr>
              <w:pStyle w:val="ListBullet"/>
            </w:pPr>
            <w:r w:rsidRPr="0023564C">
              <w:t>PPE prescribed under legislation, regulations and workplace policie</w:t>
            </w:r>
            <w:r w:rsidRPr="0023564C">
              <w:t>s and practices</w:t>
            </w:r>
          </w:p>
          <w:p w:rsidR="00000000" w:rsidRPr="0023564C" w:rsidP="0023564C">
            <w:pPr>
              <w:pStyle w:val="ListBullet"/>
            </w:pPr>
            <w:r w:rsidRPr="0023564C">
              <w:t>safe operating procedures, including the conduct of operational risk assessment and treatments associated with:</w:t>
            </w:r>
          </w:p>
          <w:p w:rsidR="00000000" w:rsidRPr="0023564C" w:rsidP="0023564C">
            <w:pPr>
              <w:pStyle w:val="ListBullet2"/>
            </w:pPr>
            <w:r w:rsidRPr="0023564C">
              <w:t>concealed services (water, power and gas)</w:t>
            </w:r>
          </w:p>
          <w:p w:rsidR="00000000" w:rsidRPr="0023564C" w:rsidP="0023564C">
            <w:pPr>
              <w:pStyle w:val="ListBullet2"/>
            </w:pPr>
            <w:r w:rsidRPr="0023564C">
              <w:t>lighting</w:t>
            </w:r>
          </w:p>
          <w:p w:rsidR="00000000" w:rsidRPr="0023564C" w:rsidP="0023564C">
            <w:pPr>
              <w:pStyle w:val="ListBullet2"/>
            </w:pPr>
            <w:r w:rsidRPr="0023564C">
              <w:t>restricted access barriers</w:t>
            </w:r>
          </w:p>
          <w:p w:rsidR="00000000" w:rsidRPr="0023564C" w:rsidP="0023564C">
            <w:pPr>
              <w:pStyle w:val="ListBullet2"/>
            </w:pPr>
            <w:r w:rsidRPr="0023564C">
              <w:t>traffic control</w:t>
            </w:r>
          </w:p>
          <w:p w:rsidR="00000000" w:rsidRPr="0023564C" w:rsidP="0023564C">
            <w:pPr>
              <w:pStyle w:val="ListBullet2"/>
            </w:pPr>
            <w:r w:rsidRPr="0023564C">
              <w:t>work site visitors and the public</w:t>
            </w:r>
          </w:p>
          <w:p w:rsidR="00000000" w:rsidRPr="0023564C" w:rsidP="0023564C">
            <w:pPr>
              <w:pStyle w:val="ListBullet2"/>
            </w:pPr>
            <w:r w:rsidRPr="0023564C">
              <w:t>working at heights</w:t>
            </w:r>
          </w:p>
          <w:p w:rsidR="00000000" w:rsidRPr="0023564C" w:rsidP="0023564C">
            <w:pPr>
              <w:pStyle w:val="ListBullet2"/>
            </w:pPr>
            <w:r w:rsidRPr="0023564C">
              <w:t>working in confined spaces</w:t>
            </w:r>
          </w:p>
          <w:p w:rsidR="00000000" w:rsidRPr="0023564C" w:rsidP="0023564C">
            <w:pPr>
              <w:pStyle w:val="ListBullet2"/>
            </w:pPr>
            <w:r w:rsidRPr="0023564C">
              <w:t>working in proximity to others</w:t>
            </w:r>
          </w:p>
          <w:p w:rsidR="00000000" w:rsidRPr="0023564C" w:rsidP="0023564C">
            <w:pPr>
              <w:pStyle w:val="ListBullet"/>
            </w:pPr>
            <w:r w:rsidRPr="0023564C">
              <w:t>use of firefighting equipment</w:t>
            </w:r>
          </w:p>
          <w:p w:rsidR="00000000" w:rsidRPr="0023564C" w:rsidP="0023564C">
            <w:pPr>
              <w:pStyle w:val="ListBullet"/>
            </w:pPr>
            <w:r w:rsidRPr="0023564C">
              <w:t>use of machines</w:t>
            </w:r>
          </w:p>
          <w:p w:rsidR="00000000" w:rsidRPr="0023564C" w:rsidP="0023564C">
            <w:pPr>
              <w:pStyle w:val="ListBullet"/>
            </w:pPr>
            <w:r w:rsidRPr="0023564C">
              <w:t>use of tools and equipment</w:t>
            </w:r>
          </w:p>
          <w:p w:rsidR="00000000" w:rsidP="0023564C">
            <w:pPr>
              <w:pStyle w:val="ListBullet"/>
              <w:rPr>
                <w:lang w:val="en-NZ"/>
              </w:rPr>
            </w:pPr>
            <w:r w:rsidRPr="0023564C">
              <w:t>workplace environmental requirements and safety.</w:t>
            </w:r>
          </w:p>
        </w:tc>
      </w:tr>
      <w:tr w:rsidTr="006010E4">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BoldandItalics"/>
              </w:rPr>
              <w:t>Job requirements</w:t>
            </w:r>
            <w:r w:rsidRPr="0023564C">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23564C" w:rsidP="0023564C">
            <w:pPr>
              <w:pStyle w:val="ListBullet"/>
            </w:pPr>
            <w:r w:rsidRPr="0023564C">
              <w:t>assessment of conditions and hazards</w:t>
            </w:r>
          </w:p>
          <w:p w:rsidR="00000000" w:rsidRPr="0023564C" w:rsidP="0023564C">
            <w:pPr>
              <w:pStyle w:val="ListBullet"/>
            </w:pPr>
            <w:r w:rsidRPr="0023564C">
              <w:t>determination of work requirements</w:t>
            </w:r>
          </w:p>
          <w:p w:rsidR="00000000" w:rsidRPr="0023564C" w:rsidP="0023564C">
            <w:pPr>
              <w:pStyle w:val="ListBullet"/>
            </w:pPr>
            <w:r w:rsidRPr="0023564C">
              <w:t>equipment defect identification</w:t>
            </w:r>
          </w:p>
          <w:p w:rsidR="00000000" w:rsidRPr="0023564C" w:rsidP="0023564C">
            <w:pPr>
              <w:pStyle w:val="ListBullet"/>
            </w:pPr>
            <w:r w:rsidRPr="0023564C">
              <w:t>safety plans and policies</w:t>
            </w:r>
          </w:p>
          <w:p w:rsidR="00000000" w:rsidP="0023564C">
            <w:pPr>
              <w:pStyle w:val="ListBullet"/>
              <w:rPr>
                <w:lang w:val="en-NZ"/>
              </w:rPr>
            </w:pPr>
            <w:r w:rsidRPr="0023564C">
              <w:t>work site inspection.</w:t>
            </w:r>
          </w:p>
        </w:tc>
      </w:tr>
      <w:tr w:rsidTr="006010E4">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BoldandItalics"/>
              </w:rPr>
              <w:t>Substrates</w:t>
            </w:r>
            <w:r w:rsidRPr="0023564C">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23564C" w:rsidP="0023564C">
            <w:pPr>
              <w:pStyle w:val="ListBullet"/>
            </w:pPr>
            <w:r w:rsidRPr="0023564C">
              <w:t>canvas</w:t>
            </w:r>
          </w:p>
          <w:p w:rsidR="00000000" w:rsidRPr="0023564C" w:rsidP="0023564C">
            <w:pPr>
              <w:pStyle w:val="ListBullet"/>
            </w:pPr>
            <w:r w:rsidRPr="0023564C">
              <w:t>glass</w:t>
            </w:r>
          </w:p>
          <w:p w:rsidR="00000000" w:rsidRPr="0023564C" w:rsidP="0023564C">
            <w:pPr>
              <w:pStyle w:val="ListBullet"/>
            </w:pPr>
            <w:r w:rsidRPr="0023564C">
              <w:t>metal</w:t>
            </w:r>
          </w:p>
          <w:p w:rsidR="00000000" w:rsidRPr="0023564C" w:rsidP="0023564C">
            <w:pPr>
              <w:pStyle w:val="ListBullet"/>
            </w:pPr>
            <w:r w:rsidRPr="0023564C">
              <w:t>paper</w:t>
            </w:r>
          </w:p>
          <w:p w:rsidR="00000000" w:rsidP="0023564C">
            <w:pPr>
              <w:pStyle w:val="ListBullet"/>
              <w:rPr>
                <w:lang w:val="en-NZ"/>
              </w:rPr>
            </w:pPr>
            <w:r w:rsidRPr="0023564C">
              <w:t>timber.</w:t>
            </w:r>
          </w:p>
        </w:tc>
      </w:tr>
      <w:tr w:rsidTr="006010E4">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BoldandItalics"/>
              </w:rPr>
              <w:t>Tools and equipment</w:t>
            </w:r>
            <w:r w:rsidRPr="0023564C">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23564C" w:rsidP="0023564C">
            <w:pPr>
              <w:pStyle w:val="ListBullet"/>
            </w:pPr>
            <w:r w:rsidRPr="0023564C">
              <w:t>artist brushes</w:t>
            </w:r>
          </w:p>
          <w:p w:rsidR="00000000" w:rsidRPr="0023564C" w:rsidP="0023564C">
            <w:pPr>
              <w:pStyle w:val="ListBullet"/>
            </w:pPr>
            <w:r w:rsidRPr="0023564C">
              <w:t>charcoal</w:t>
            </w:r>
          </w:p>
          <w:p w:rsidR="00000000" w:rsidRPr="0023564C" w:rsidP="0023564C">
            <w:pPr>
              <w:pStyle w:val="ListBullet"/>
            </w:pPr>
            <w:r w:rsidRPr="0023564C">
              <w:t>easel</w:t>
            </w:r>
          </w:p>
          <w:p w:rsidR="00000000" w:rsidRPr="0023564C" w:rsidP="0023564C">
            <w:pPr>
              <w:pStyle w:val="ListBullet"/>
            </w:pPr>
            <w:r w:rsidRPr="0023564C">
              <w:t>mediums</w:t>
            </w:r>
          </w:p>
          <w:p w:rsidR="00000000" w:rsidRPr="0023564C" w:rsidP="0023564C">
            <w:pPr>
              <w:pStyle w:val="ListBullet"/>
            </w:pPr>
            <w:r w:rsidRPr="0023564C">
              <w:t>oil and acrylic paints</w:t>
            </w:r>
          </w:p>
          <w:p w:rsidR="00000000" w:rsidRPr="0023564C" w:rsidP="0023564C">
            <w:pPr>
              <w:pStyle w:val="ListBullet"/>
            </w:pPr>
            <w:r w:rsidRPr="0023564C">
              <w:t>pencils</w:t>
            </w:r>
          </w:p>
          <w:p w:rsidR="00000000" w:rsidP="0023564C">
            <w:pPr>
              <w:pStyle w:val="ListBullet"/>
              <w:rPr>
                <w:lang w:val="en-NZ"/>
              </w:rPr>
            </w:pPr>
            <w:r w:rsidRPr="0023564C">
              <w:t>sketch pad.</w:t>
            </w:r>
          </w:p>
        </w:tc>
      </w:tr>
      <w:tr w:rsidTr="006010E4">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BoldandItalics"/>
              </w:rPr>
              <w:t>Relevant Australian standards</w:t>
            </w:r>
            <w:r w:rsidRPr="0023564C">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23564C" w:rsidP="0023564C">
            <w:pPr>
              <w:pStyle w:val="ListBullet"/>
            </w:pPr>
            <w:r w:rsidRPr="0023564C">
              <w:t>AS2311 General workmanship - painting</w:t>
            </w:r>
          </w:p>
          <w:p w:rsidR="00000000" w:rsidRPr="0023564C" w:rsidP="0023564C">
            <w:pPr>
              <w:pStyle w:val="ListBullet"/>
            </w:pPr>
            <w:r w:rsidRPr="0023564C">
              <w:t>regulatory requirements</w:t>
            </w:r>
          </w:p>
          <w:p w:rsidR="00000000" w:rsidRPr="0023564C" w:rsidP="0023564C">
            <w:pPr>
              <w:pStyle w:val="ListBullet"/>
            </w:pPr>
            <w:r w:rsidRPr="0023564C">
              <w:t>AS2700 Colour range - painting</w:t>
            </w:r>
          </w:p>
          <w:p w:rsidR="00000000" w:rsidRPr="0023564C" w:rsidP="0023564C">
            <w:pPr>
              <w:pStyle w:val="ListBullet"/>
            </w:pPr>
            <w:r w:rsidRPr="0023564C">
              <w:t>standard drawings and details</w:t>
            </w:r>
          </w:p>
          <w:p w:rsidR="00000000" w:rsidP="0023564C">
            <w:pPr>
              <w:pStyle w:val="ListBullet"/>
              <w:rPr>
                <w:lang w:val="en-NZ"/>
              </w:rPr>
            </w:pPr>
            <w:r w:rsidRPr="0023564C">
              <w:t>urban design manuals.</w:t>
            </w:r>
          </w:p>
        </w:tc>
      </w:tr>
      <w:tr w:rsidTr="006010E4">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BoldandItalics"/>
              </w:rPr>
              <w:t>Painting techniques</w:t>
            </w:r>
            <w:r w:rsidRPr="0023564C">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23564C" w:rsidP="0023564C">
            <w:pPr>
              <w:pStyle w:val="ListBullet"/>
            </w:pPr>
            <w:r w:rsidRPr="0023564C">
              <w:t>posterisation</w:t>
            </w:r>
          </w:p>
          <w:p w:rsidR="00000000" w:rsidRPr="0023564C" w:rsidP="0023564C">
            <w:pPr>
              <w:pStyle w:val="ListBullet"/>
            </w:pPr>
            <w:r w:rsidRPr="0023564C">
              <w:t>scumbling</w:t>
            </w:r>
          </w:p>
          <w:p w:rsidR="00000000" w:rsidRPr="0023564C" w:rsidP="0023564C">
            <w:pPr>
              <w:pStyle w:val="ListBullet"/>
            </w:pPr>
            <w:r w:rsidRPr="0023564C">
              <w:t>stippling</w:t>
            </w:r>
          </w:p>
          <w:p w:rsidR="00000000" w:rsidP="0023564C">
            <w:pPr>
              <w:pStyle w:val="ListBullet"/>
              <w:rPr>
                <w:lang w:val="en-NZ"/>
              </w:rPr>
            </w:pPr>
            <w:r w:rsidRPr="0023564C">
              <w:t>wet blend.</w:t>
            </w:r>
          </w:p>
        </w:tc>
      </w:tr>
      <w:tr w:rsidTr="006010E4">
        <w:tblPrEx>
          <w:tblW w:w="0" w:type="auto"/>
          <w:tblLayout w:type="fixed"/>
          <w:tblCellMar>
            <w:left w:w="62" w:type="dxa"/>
            <w:right w:w="62" w:type="dxa"/>
          </w:tblCellMar>
          <w:tblLook w:val="0000"/>
        </w:tblPrEx>
        <w:tc>
          <w:tcPr>
            <w:tcW w:w="3482"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BoldandItalics"/>
              </w:rPr>
              <w:t>Statutory and regulatory authority requirements</w:t>
            </w:r>
            <w:r w:rsidRPr="0023564C">
              <w:t xml:space="preserve"> include: </w:t>
            </w:r>
          </w:p>
        </w:tc>
        <w:tc>
          <w:tcPr>
            <w:tcW w:w="5040" w:type="dxa"/>
            <w:tcBorders>
              <w:top w:val="nil"/>
              <w:left w:val="nil"/>
              <w:bottom w:val="nil"/>
              <w:right w:val="nil"/>
            </w:tcBorders>
            <w:tcMar>
              <w:top w:w="0" w:type="dxa"/>
              <w:left w:w="62" w:type="dxa"/>
              <w:bottom w:w="0" w:type="dxa"/>
              <w:right w:w="62" w:type="dxa"/>
            </w:tcMar>
          </w:tcPr>
          <w:p w:rsidR="00000000" w:rsidRPr="0023564C" w:rsidP="0023564C">
            <w:pPr>
              <w:pStyle w:val="ListBullet"/>
            </w:pPr>
            <w:r w:rsidRPr="0023564C">
              <w:t>federal, state and local authorities administering applicable Acts, regulations and codes of practice and also can perta</w:t>
            </w:r>
            <w:r w:rsidRPr="0023564C">
              <w:t>in to:</w:t>
            </w:r>
          </w:p>
          <w:p w:rsidR="00000000" w:rsidRPr="0023564C" w:rsidP="0023564C">
            <w:pPr>
              <w:pStyle w:val="ListBullet2"/>
            </w:pPr>
            <w:r w:rsidRPr="0023564C">
              <w:t>removal of waste products</w:t>
            </w:r>
          </w:p>
          <w:p w:rsidR="00000000" w:rsidRPr="0023564C" w:rsidP="0023564C">
            <w:pPr>
              <w:pStyle w:val="ListBullet2"/>
            </w:pPr>
            <w:r w:rsidRPr="0023564C">
              <w:t>storage of chemicals.</w:t>
            </w:r>
          </w:p>
        </w:tc>
      </w:tr>
    </w:tbl>
    <w:p w:rsidR="006010E4" w:rsidP="0023564C">
      <w:pPr>
        <w:pStyle w:val="BodyText"/>
      </w:pPr>
    </w:p>
    <w:p w:rsidR="006010E4" w:rsidP="0023564C">
      <w:pPr>
        <w:pStyle w:val="BodyText"/>
      </w:pPr>
    </w:p>
    <w:p w:rsidR="00000000" w:rsidRPr="0023564C" w:rsidP="0023564C">
      <w:pPr>
        <w:pStyle w:val="Heading1"/>
      </w:pPr>
      <w:bookmarkStart w:id="12" w:name="O_198660"/>
      <w:bookmarkEnd w:id="12"/>
      <w:r w:rsidRPr="0023564C">
        <w:t>Unit Sector(s)</w:t>
      </w:r>
    </w:p>
    <w:tbl>
      <w:tblPr>
        <w:tblW w:w="9348" w:type="dxa"/>
        <w:tblLayout w:type="fixed"/>
        <w:tblCellMar>
          <w:left w:w="62" w:type="dxa"/>
          <w:right w:w="62" w:type="dxa"/>
        </w:tblCellMar>
        <w:tblLook w:val="0000"/>
      </w:tblPr>
      <w:tblGrid>
        <w:gridCol w:w="2583"/>
        <w:gridCol w:w="6765"/>
      </w:tblGrid>
      <w:tr w:rsidTr="006010E4">
        <w:tblPrEx>
          <w:tblW w:w="9348" w:type="dxa"/>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Unit sector</w:t>
            </w:r>
          </w:p>
        </w:tc>
        <w:tc>
          <w:tcPr>
            <w:tcW w:w="6765" w:type="dxa"/>
            <w:tcBorders>
              <w:top w:val="nil"/>
              <w:left w:val="nil"/>
              <w:bottom w:val="nil"/>
              <w:right w:val="nil"/>
            </w:tcBorders>
            <w:tcMar>
              <w:top w:w="0" w:type="dxa"/>
              <w:left w:w="62" w:type="dxa"/>
              <w:bottom w:w="0" w:type="dxa"/>
              <w:right w:w="62" w:type="dxa"/>
            </w:tcMar>
          </w:tcPr>
          <w:p w:rsidR="00000000" w:rsidRPr="0023564C" w:rsidP="0023564C">
            <w:pPr>
              <w:pStyle w:val="BodyText"/>
            </w:pPr>
            <w:r w:rsidRPr="0023564C">
              <w:t>Construction</w:t>
            </w:r>
          </w:p>
        </w:tc>
      </w:tr>
    </w:tbl>
    <w:p w:rsidR="006010E4" w:rsidP="0023564C">
      <w:pPr>
        <w:pStyle w:val="BodyText"/>
      </w:pPr>
    </w:p>
    <w:p w:rsidR="006010E4" w:rsidP="0023564C">
      <w:pPr>
        <w:pStyle w:val="BodyText"/>
      </w:pPr>
    </w:p>
    <w:p w:rsidR="00000000" w:rsidRPr="0023564C" w:rsidP="0023564C">
      <w:pPr>
        <w:pStyle w:val="Heading1"/>
      </w:pPr>
      <w:bookmarkStart w:id="13" w:name="O_198657"/>
      <w:bookmarkEnd w:id="13"/>
      <w:r w:rsidRPr="0023564C">
        <w:t>Co-requisite units</w:t>
      </w:r>
    </w:p>
    <w:tbl>
      <w:tblPr>
        <w:tblW w:w="9348" w:type="dxa"/>
        <w:tblLayout w:type="fixed"/>
        <w:tblCellMar>
          <w:left w:w="62" w:type="dxa"/>
          <w:right w:w="62" w:type="dxa"/>
        </w:tblCellMar>
        <w:tblLook w:val="0000"/>
      </w:tblPr>
      <w:tblGrid>
        <w:gridCol w:w="2583"/>
        <w:gridCol w:w="1845"/>
        <w:gridCol w:w="4920"/>
      </w:tblGrid>
      <w:tr w:rsidTr="006010E4">
        <w:tblPrEx>
          <w:tblW w:w="9348" w:type="dxa"/>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Co-requisite units</w:t>
            </w:r>
          </w:p>
        </w:tc>
        <w:tc>
          <w:tcPr>
            <w:tcW w:w="6765" w:type="dxa"/>
            <w:gridSpan w:val="2"/>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t>Nil</w:t>
            </w:r>
          </w:p>
        </w:tc>
      </w:tr>
      <w:tr w:rsidTr="006010E4">
        <w:tblPrEx>
          <w:tblW w:w="9348" w:type="dxa"/>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0"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p>
        </w:tc>
      </w:tr>
      <w:tr w:rsidTr="006010E4">
        <w:tblPrEx>
          <w:tblW w:w="9348" w:type="dxa"/>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20" w:type="dxa"/>
            <w:tcBorders>
              <w:top w:val="nil"/>
              <w:left w:val="nil"/>
              <w:bottom w:val="nil"/>
              <w:right w:val="nil"/>
            </w:tcBorders>
            <w:tcMar>
              <w:top w:w="0" w:type="dxa"/>
              <w:left w:w="62" w:type="dxa"/>
              <w:bottom w:w="0" w:type="dxa"/>
              <w:right w:w="62" w:type="dxa"/>
            </w:tcMar>
          </w:tcPr>
          <w:p w:rsidR="00000000" w:rsidRPr="0023564C" w:rsidP="0023564C">
            <w:pPr>
              <w:pStyle w:val="BodyText"/>
            </w:pPr>
          </w:p>
        </w:tc>
      </w:tr>
    </w:tbl>
    <w:p w:rsidR="006010E4" w:rsidP="0023564C">
      <w:pPr>
        <w:pStyle w:val="BodyText"/>
      </w:pPr>
    </w:p>
    <w:p w:rsidR="006010E4" w:rsidP="0023564C">
      <w:pPr>
        <w:pStyle w:val="BodyText"/>
      </w:pPr>
    </w:p>
    <w:p w:rsidR="00000000" w:rsidRPr="0023564C" w:rsidP="0023564C">
      <w:pPr>
        <w:pStyle w:val="Heading1"/>
      </w:pPr>
      <w:bookmarkStart w:id="14" w:name="O_198659"/>
      <w:bookmarkEnd w:id="14"/>
      <w:r w:rsidRPr="0023564C">
        <w:t>Functional area</w:t>
      </w:r>
    </w:p>
    <w:tbl>
      <w:tblPr>
        <w:tblW w:w="9348" w:type="dxa"/>
        <w:tblLayout w:type="fixed"/>
        <w:tblCellMar>
          <w:left w:w="62" w:type="dxa"/>
          <w:right w:w="62" w:type="dxa"/>
        </w:tblCellMar>
        <w:tblLook w:val="0000"/>
      </w:tblPr>
      <w:tblGrid>
        <w:gridCol w:w="2583"/>
        <w:gridCol w:w="6765"/>
      </w:tblGrid>
      <w:tr w:rsidTr="006010E4">
        <w:tblPrEx>
          <w:tblW w:w="9348" w:type="dxa"/>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P="0023564C">
            <w:pPr>
              <w:pStyle w:val="BodyText"/>
              <w:rPr>
                <w:lang w:val="en-NZ"/>
              </w:rPr>
            </w:pPr>
            <w:r w:rsidRPr="0023564C">
              <w:rPr>
                <w:rStyle w:val="SpecialBold"/>
              </w:rPr>
              <w:t>Functional area</w:t>
            </w:r>
          </w:p>
        </w:tc>
        <w:tc>
          <w:tcPr>
            <w:tcW w:w="6765" w:type="dxa"/>
            <w:tcBorders>
              <w:top w:val="nil"/>
              <w:left w:val="nil"/>
              <w:bottom w:val="nil"/>
              <w:right w:val="nil"/>
            </w:tcBorders>
            <w:tcMar>
              <w:top w:w="0" w:type="dxa"/>
              <w:left w:w="62" w:type="dxa"/>
              <w:bottom w:w="0" w:type="dxa"/>
              <w:right w:w="62" w:type="dxa"/>
            </w:tcMar>
          </w:tcPr>
          <w:p w:rsidR="00000000" w:rsidRPr="0023564C" w:rsidP="0023564C">
            <w:pPr>
              <w:pStyle w:val="BodyText"/>
            </w:pPr>
          </w:p>
        </w:tc>
      </w:tr>
    </w:tbl>
    <w:p w:rsidR="006010E4" w:rsidP="0023564C">
      <w:pPr>
        <w:pStyle w:val="BodyText"/>
      </w:pPr>
    </w:p>
    <w:p w:rsidR="006010E4" w:rsidP="0023564C">
      <w:pPr>
        <w:pStyle w:val="BodyText"/>
      </w:pPr>
    </w:p>
    <w:p w:rsidR="00000000" w:rsidRPr="0023564C" w:rsidP="0023564C"/>
    <w:sectPr w:rsidSect="002356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0E4" w:rsidP="00601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E4" w:rsidP="002356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010E4" w:rsidP="002356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010E4" w:rsidP="002356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10E4" w:rsidP="006010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E4" w:rsidP="0023564C">
    <w:pPr>
      <w:pStyle w:val="Header"/>
      <w:framePr w:wrap="around"/>
    </w:pPr>
    <w:r>
      <w:fldChar w:fldCharType="begin"/>
    </w:r>
    <w:r>
      <w:instrText xml:space="preserve"> TITLE   \* MERGEFORMAT </w:instrText>
    </w:r>
    <w:r>
      <w:fldChar w:fldCharType="separate"/>
    </w:r>
    <w:r>
      <w:t>CPCCSI3010A Hand render pictorials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10E4" w:rsidP="002356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7ABD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FECC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42DE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6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64C"/>
    <w:pPr>
      <w:spacing w:before="360" w:after="60"/>
      <w:outlineLvl w:val="0"/>
    </w:pPr>
    <w:rPr>
      <w:sz w:val="32"/>
    </w:rPr>
  </w:style>
  <w:style w:type="paragraph" w:styleId="Heading2">
    <w:name w:val="heading 2"/>
    <w:basedOn w:val="HeadingBase"/>
    <w:next w:val="BodyText"/>
    <w:link w:val="Heading2Char"/>
    <w:qFormat/>
    <w:rsid w:val="0023564C"/>
    <w:pPr>
      <w:keepLines/>
      <w:spacing w:before="240" w:after="120"/>
      <w:outlineLvl w:val="1"/>
    </w:pPr>
    <w:rPr>
      <w:sz w:val="28"/>
      <w:szCs w:val="40"/>
    </w:rPr>
  </w:style>
  <w:style w:type="paragraph" w:styleId="Heading3">
    <w:name w:val="heading 3"/>
    <w:basedOn w:val="HeadingBase"/>
    <w:next w:val="BodyText"/>
    <w:link w:val="Heading3Char"/>
    <w:qFormat/>
    <w:rsid w:val="0023564C"/>
    <w:pPr>
      <w:spacing w:before="180" w:after="120"/>
      <w:outlineLvl w:val="2"/>
    </w:pPr>
    <w:rPr>
      <w:spacing w:val="-10"/>
      <w:kern w:val="32"/>
    </w:rPr>
  </w:style>
  <w:style w:type="paragraph" w:styleId="Heading4">
    <w:name w:val="heading 4"/>
    <w:basedOn w:val="HeadingBase"/>
    <w:next w:val="BodyText"/>
    <w:link w:val="Heading4Char"/>
    <w:qFormat/>
    <w:rsid w:val="0023564C"/>
    <w:pPr>
      <w:spacing w:before="160" w:after="120"/>
      <w:outlineLvl w:val="3"/>
    </w:pPr>
    <w:rPr>
      <w:sz w:val="22"/>
    </w:rPr>
  </w:style>
  <w:style w:type="paragraph" w:styleId="Heading5">
    <w:name w:val="heading 5"/>
    <w:basedOn w:val="HeadingBase"/>
    <w:next w:val="Normal"/>
    <w:link w:val="Heading5Char"/>
    <w:qFormat/>
    <w:rsid w:val="0023564C"/>
    <w:pPr>
      <w:spacing w:before="80"/>
      <w:outlineLvl w:val="4"/>
    </w:pPr>
    <w:rPr>
      <w:color w:val="918585"/>
      <w:sz w:val="20"/>
    </w:rPr>
  </w:style>
  <w:style w:type="paragraph" w:styleId="Heading6">
    <w:name w:val="heading 6"/>
    <w:basedOn w:val="HeadingBase"/>
    <w:next w:val="Normal"/>
    <w:link w:val="Heading6Char"/>
    <w:qFormat/>
    <w:rsid w:val="0023564C"/>
    <w:pPr>
      <w:spacing w:before="60"/>
      <w:outlineLvl w:val="5"/>
    </w:pPr>
    <w:rPr>
      <w:color w:val="918585"/>
      <w:sz w:val="20"/>
    </w:rPr>
  </w:style>
  <w:style w:type="paragraph" w:styleId="Heading7">
    <w:name w:val="heading 7"/>
    <w:basedOn w:val="Normal"/>
    <w:next w:val="Normal"/>
    <w:link w:val="Heading7Char"/>
    <w:qFormat/>
    <w:rsid w:val="0023564C"/>
    <w:pPr>
      <w:ind w:left="720"/>
      <w:outlineLvl w:val="6"/>
    </w:pPr>
    <w:rPr>
      <w:i/>
    </w:rPr>
  </w:style>
  <w:style w:type="paragraph" w:styleId="Heading8">
    <w:name w:val="heading 8"/>
    <w:basedOn w:val="Normal"/>
    <w:next w:val="Normal"/>
    <w:link w:val="Heading8Char"/>
    <w:qFormat/>
    <w:rsid w:val="0023564C"/>
    <w:pPr>
      <w:ind w:left="720"/>
      <w:outlineLvl w:val="7"/>
    </w:pPr>
    <w:rPr>
      <w:i/>
    </w:rPr>
  </w:style>
  <w:style w:type="paragraph" w:styleId="Heading9">
    <w:name w:val="heading 9"/>
    <w:basedOn w:val="Normal"/>
    <w:next w:val="Normal"/>
    <w:link w:val="Heading9Char"/>
    <w:qFormat/>
    <w:rsid w:val="0023564C"/>
    <w:pPr>
      <w:ind w:left="720"/>
      <w:outlineLvl w:val="8"/>
    </w:pPr>
    <w:rPr>
      <w:i/>
    </w:rPr>
  </w:style>
  <w:style w:type="character" w:default="1" w:styleId="DefaultParagraphFont">
    <w:name w:val="Default Paragraph Font"/>
    <w:uiPriority w:val="1"/>
    <w:unhideWhenUsed/>
    <w:rsid w:val="002356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64C"/>
  </w:style>
  <w:style w:type="character" w:customStyle="1" w:styleId="Heading1Char">
    <w:name w:val="Heading 1 Char"/>
    <w:basedOn w:val="DefaultParagraphFont"/>
    <w:link w:val="Heading1"/>
    <w:rsid w:val="0023564C"/>
    <w:rPr>
      <w:rFonts w:ascii="Times New Roman" w:eastAsia="Times New Roman" w:hAnsi="Times New Roman" w:cs="Times New Roman"/>
      <w:b/>
      <w:sz w:val="32"/>
      <w:szCs w:val="20"/>
      <w:lang w:eastAsia="en-US"/>
    </w:rPr>
  </w:style>
  <w:style w:type="paragraph" w:styleId="BodyText">
    <w:name w:val="Body Text"/>
    <w:basedOn w:val="Normal"/>
    <w:link w:val="BodyTextChar"/>
    <w:rsid w:val="002356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64C"/>
    <w:rPr>
      <w:rFonts w:ascii="Times New Roman" w:eastAsia="Times New Roman" w:hAnsi="Times New Roman" w:cs="Times New Roman"/>
      <w:sz w:val="24"/>
      <w:lang w:val="en-US" w:eastAsia="en-US"/>
    </w:rPr>
  </w:style>
  <w:style w:type="paragraph" w:styleId="Footer">
    <w:name w:val="footer"/>
    <w:basedOn w:val="Normal"/>
    <w:link w:val="FooterChar"/>
    <w:rsid w:val="002356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64C"/>
    <w:rPr>
      <w:rFonts w:ascii="Times New Roman" w:eastAsia="Times New Roman" w:hAnsi="Times New Roman" w:cs="Times New Roman"/>
      <w:sz w:val="16"/>
      <w:lang w:val="en-US" w:eastAsia="en-US"/>
    </w:rPr>
  </w:style>
  <w:style w:type="paragraph" w:styleId="List">
    <w:name w:val="List"/>
    <w:basedOn w:val="BodyText"/>
    <w:next w:val="BodyText"/>
    <w:rsid w:val="0023564C"/>
    <w:pPr>
      <w:tabs>
        <w:tab w:val="left" w:pos="340"/>
      </w:tabs>
      <w:spacing w:before="60" w:after="60"/>
      <w:ind w:left="340" w:hanging="340"/>
    </w:pPr>
  </w:style>
  <w:style w:type="paragraph" w:styleId="ListBullet">
    <w:name w:val="List Bullet"/>
    <w:basedOn w:val="List"/>
    <w:rsid w:val="0023564C"/>
    <w:pPr>
      <w:numPr>
        <w:numId w:val="14"/>
      </w:numPr>
      <w:tabs>
        <w:tab w:val="clear" w:pos="340"/>
      </w:tabs>
      <w:spacing w:before="40" w:after="40"/>
    </w:pPr>
  </w:style>
  <w:style w:type="character" w:customStyle="1" w:styleId="SpecialBold">
    <w:name w:val="Special Bold"/>
    <w:basedOn w:val="DefaultParagraphFont"/>
    <w:rsid w:val="0023564C"/>
    <w:rPr>
      <w:b/>
      <w:spacing w:val="0"/>
    </w:rPr>
  </w:style>
  <w:style w:type="paragraph" w:styleId="ListBullet2">
    <w:name w:val="List Bullet 2"/>
    <w:basedOn w:val="List2"/>
    <w:rsid w:val="0023564C"/>
    <w:pPr>
      <w:numPr>
        <w:numId w:val="15"/>
      </w:numPr>
      <w:tabs>
        <w:tab w:val="clear" w:pos="680"/>
      </w:tabs>
    </w:pPr>
  </w:style>
  <w:style w:type="paragraph" w:styleId="Header">
    <w:name w:val="header"/>
    <w:basedOn w:val="Normal"/>
    <w:link w:val="HeaderChar"/>
    <w:rsid w:val="002356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64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564C"/>
    <w:pPr>
      <w:spacing w:before="240" w:after="120"/>
      <w:outlineLvl w:val="0"/>
    </w:pPr>
    <w:rPr>
      <w:rFonts w:ascii="Times New Roman" w:hAnsi="Times New Roman"/>
      <w:b/>
      <w:sz w:val="28"/>
    </w:rPr>
  </w:style>
  <w:style w:type="paragraph" w:customStyle="1" w:styleId="AllowPageBreak">
    <w:name w:val="AllowPageBreak"/>
    <w:rsid w:val="0023564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564C"/>
    <w:pPr>
      <w:tabs>
        <w:tab w:val="left" w:pos="680"/>
      </w:tabs>
      <w:spacing w:before="60" w:after="60"/>
      <w:ind w:left="680" w:hanging="340"/>
    </w:pPr>
  </w:style>
  <w:style w:type="paragraph" w:styleId="ListBullet3">
    <w:name w:val="List Bullet 3"/>
    <w:basedOn w:val="List3"/>
    <w:rsid w:val="0023564C"/>
    <w:pPr>
      <w:numPr>
        <w:numId w:val="3"/>
      </w:numPr>
      <w:tabs>
        <w:tab w:val="clear" w:pos="1021"/>
      </w:tabs>
      <w:ind w:left="1037" w:hanging="357"/>
    </w:pPr>
  </w:style>
  <w:style w:type="character" w:customStyle="1" w:styleId="BoldandItalics">
    <w:name w:val="Bold and Italics"/>
    <w:qFormat/>
    <w:rsid w:val="0023564C"/>
    <w:rPr>
      <w:b/>
      <w:i/>
      <w:u w:val="none"/>
    </w:rPr>
  </w:style>
  <w:style w:type="character" w:customStyle="1" w:styleId="Heading2Char">
    <w:name w:val="Heading 2 Char"/>
    <w:basedOn w:val="DefaultParagraphFont"/>
    <w:link w:val="Heading2"/>
    <w:rsid w:val="002356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6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6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6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6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6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6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64C"/>
    <w:rPr>
      <w:rFonts w:ascii="Courier New" w:eastAsia="Times New Roman" w:hAnsi="Courier New" w:cs="Times New Roman"/>
      <w:i/>
      <w:szCs w:val="20"/>
      <w:lang w:val="en-US" w:eastAsia="en-US"/>
    </w:rPr>
  </w:style>
  <w:style w:type="paragraph" w:customStyle="1" w:styleId="HeadingBase">
    <w:name w:val="Heading Base"/>
    <w:rsid w:val="002356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64C"/>
    <w:pPr>
      <w:tabs>
        <w:tab w:val="right" w:leader="dot" w:pos="9072"/>
      </w:tabs>
      <w:ind w:left="567"/>
    </w:pPr>
    <w:rPr>
      <w:szCs w:val="22"/>
    </w:rPr>
  </w:style>
  <w:style w:type="paragraph" w:customStyle="1" w:styleId="TOCBase">
    <w:name w:val="TOC Base"/>
    <w:rsid w:val="002356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64C"/>
    <w:pPr>
      <w:tabs>
        <w:tab w:val="right" w:leader="dot" w:pos="9072"/>
      </w:tabs>
      <w:spacing w:before="40" w:after="40"/>
      <w:ind w:left="284"/>
    </w:pPr>
    <w:rPr>
      <w:rFonts w:ascii="Times New Roman" w:hAnsi="Times New Roman"/>
    </w:rPr>
  </w:style>
  <w:style w:type="paragraph" w:styleId="TOC1">
    <w:name w:val="toc 1"/>
    <w:basedOn w:val="TOCBase"/>
    <w:next w:val="Normal"/>
    <w:rsid w:val="002356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64C"/>
    <w:pPr>
      <w:spacing w:before="5040"/>
      <w:jc w:val="center"/>
    </w:pPr>
    <w:rPr>
      <w:sz w:val="48"/>
      <w:szCs w:val="72"/>
      <w:lang w:val="en-US"/>
    </w:rPr>
  </w:style>
  <w:style w:type="character" w:customStyle="1" w:styleId="TitleChar">
    <w:name w:val="Title Char"/>
    <w:basedOn w:val="DefaultParagraphFont"/>
    <w:link w:val="Title"/>
    <w:rsid w:val="002356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64C"/>
    <w:pPr>
      <w:tabs>
        <w:tab w:val="left" w:pos="3600"/>
        <w:tab w:val="left" w:pos="3958"/>
      </w:tabs>
    </w:pPr>
  </w:style>
  <w:style w:type="paragraph" w:customStyle="1" w:styleId="Note">
    <w:name w:val="Note"/>
    <w:basedOn w:val="BodyText"/>
    <w:rsid w:val="002356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64C"/>
    <w:pPr>
      <w:framePr w:wrap="auto" w:hAnchor="text" w:y="6049"/>
    </w:pPr>
    <w:rPr>
      <w:color w:val="000000"/>
      <w:sz w:val="40"/>
    </w:rPr>
  </w:style>
  <w:style w:type="paragraph" w:customStyle="1" w:styleId="TOCTitle">
    <w:name w:val="TOCTitle"/>
    <w:basedOn w:val="Heading1"/>
    <w:rsid w:val="0023564C"/>
    <w:pPr>
      <w:spacing w:after="240"/>
      <w:jc w:val="center"/>
      <w:outlineLvl w:val="9"/>
    </w:pPr>
    <w:rPr>
      <w:caps/>
    </w:rPr>
  </w:style>
  <w:style w:type="paragraph" w:customStyle="1" w:styleId="Version">
    <w:name w:val="Version"/>
    <w:rsid w:val="002356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564C"/>
    <w:pPr>
      <w:keepNext w:val="0"/>
      <w:tabs>
        <w:tab w:val="right" w:pos="4176"/>
      </w:tabs>
      <w:ind w:left="198" w:hanging="198"/>
    </w:pPr>
    <w:rPr>
      <w:rFonts w:ascii="Garamond" w:hAnsi="Garamond"/>
    </w:rPr>
  </w:style>
  <w:style w:type="paragraph" w:styleId="IndexHeading">
    <w:name w:val="index heading"/>
    <w:basedOn w:val="Normal"/>
    <w:next w:val="Index1"/>
    <w:semiHidden/>
    <w:rsid w:val="0023564C"/>
    <w:pPr>
      <w:spacing w:before="120" w:after="120"/>
    </w:pPr>
    <w:rPr>
      <w:rFonts w:ascii="Arial" w:hAnsi="Arial"/>
      <w:b/>
      <w:color w:val="918585"/>
      <w:sz w:val="24"/>
    </w:rPr>
  </w:style>
  <w:style w:type="paragraph" w:customStyle="1" w:styleId="Chapter">
    <w:name w:val="Chapter"/>
    <w:basedOn w:val="Normal"/>
    <w:rsid w:val="0023564C"/>
    <w:pPr>
      <w:spacing w:before="240"/>
    </w:pPr>
    <w:rPr>
      <w:rFonts w:ascii="Times New Roman" w:hAnsi="Times New Roman"/>
      <w:smallCaps/>
      <w:spacing w:val="80"/>
      <w:sz w:val="28"/>
    </w:rPr>
  </w:style>
  <w:style w:type="paragraph" w:customStyle="1" w:styleId="InChapter">
    <w:name w:val="InChapter"/>
    <w:basedOn w:val="Heading3"/>
    <w:rsid w:val="0023564C"/>
    <w:pPr>
      <w:spacing w:after="240"/>
      <w:outlineLvl w:val="9"/>
    </w:pPr>
    <w:rPr>
      <w:noProof/>
    </w:rPr>
  </w:style>
  <w:style w:type="paragraph" w:styleId="Index2">
    <w:name w:val="index 2"/>
    <w:basedOn w:val="Normal"/>
    <w:next w:val="Normal"/>
    <w:semiHidden/>
    <w:rsid w:val="0023564C"/>
    <w:pPr>
      <w:tabs>
        <w:tab w:val="right" w:pos="4176"/>
      </w:tabs>
      <w:ind w:left="568" w:hanging="284"/>
    </w:pPr>
    <w:rPr>
      <w:rFonts w:ascii="Garamond" w:hAnsi="Garamond"/>
    </w:rPr>
  </w:style>
  <w:style w:type="paragraph" w:customStyle="1" w:styleId="Byline">
    <w:name w:val="Byline"/>
    <w:rsid w:val="002356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64C"/>
    <w:pPr>
      <w:tabs>
        <w:tab w:val="clear" w:pos="3600"/>
        <w:tab w:val="clear" w:pos="3958"/>
      </w:tabs>
      <w:jc w:val="right"/>
    </w:pPr>
  </w:style>
  <w:style w:type="character" w:styleId="Emphasis">
    <w:name w:val="Emphasis"/>
    <w:basedOn w:val="DefaultParagraphFont"/>
    <w:qFormat/>
    <w:rsid w:val="0023564C"/>
    <w:rPr>
      <w:i/>
    </w:rPr>
  </w:style>
  <w:style w:type="paragraph" w:styleId="Caption">
    <w:name w:val="caption"/>
    <w:basedOn w:val="BodyText"/>
    <w:next w:val="Normal"/>
    <w:qFormat/>
    <w:rsid w:val="0023564C"/>
    <w:pPr>
      <w:framePr w:w="2268" w:hSpace="181" w:vSpace="181" w:wrap="around" w:vAnchor="text" w:hAnchor="page" w:x="1135" w:y="285" w:anchorLock="1"/>
    </w:pPr>
    <w:rPr>
      <w:i/>
    </w:rPr>
  </w:style>
  <w:style w:type="paragraph" w:customStyle="1" w:styleId="MiniTOCTitle">
    <w:name w:val="MiniTOCTitle"/>
    <w:basedOn w:val="Heading4"/>
    <w:rsid w:val="0023564C"/>
    <w:pPr>
      <w:spacing w:before="240"/>
      <w:outlineLvl w:val="9"/>
    </w:pPr>
    <w:rPr>
      <w:noProof/>
      <w:sz w:val="24"/>
    </w:rPr>
  </w:style>
  <w:style w:type="paragraph" w:customStyle="1" w:styleId="MiniTOCItem">
    <w:name w:val="MiniTOCItem"/>
    <w:basedOn w:val="ListBullet"/>
    <w:rsid w:val="0023564C"/>
    <w:pPr>
      <w:numPr>
        <w:numId w:val="0"/>
      </w:numPr>
      <w:tabs>
        <w:tab w:val="right" w:leader="dot" w:pos="6521"/>
      </w:tabs>
      <w:spacing w:before="0" w:after="0"/>
    </w:pPr>
  </w:style>
  <w:style w:type="paragraph" w:customStyle="1" w:styleId="TOFTitle">
    <w:name w:val="TOFTitle"/>
    <w:basedOn w:val="TOCTitle"/>
    <w:rsid w:val="0023564C"/>
  </w:style>
  <w:style w:type="paragraph" w:styleId="TableofFigures">
    <w:name w:val="table of figures"/>
    <w:basedOn w:val="Normal"/>
    <w:next w:val="Normal"/>
    <w:semiHidden/>
    <w:rsid w:val="0023564C"/>
    <w:pPr>
      <w:tabs>
        <w:tab w:val="right" w:leader="dot" w:pos="9072"/>
      </w:tabs>
      <w:ind w:left="970" w:hanging="403"/>
    </w:pPr>
    <w:rPr>
      <w:rFonts w:ascii="Times New Roman" w:hAnsi="Times New Roman"/>
      <w:b/>
    </w:rPr>
  </w:style>
  <w:style w:type="paragraph" w:styleId="ListNumber">
    <w:name w:val="List Number"/>
    <w:basedOn w:val="List"/>
    <w:rsid w:val="0023564C"/>
    <w:pPr>
      <w:numPr>
        <w:numId w:val="12"/>
      </w:numPr>
    </w:pPr>
  </w:style>
  <w:style w:type="character" w:customStyle="1" w:styleId="WingdingSymbols">
    <w:name w:val="Wingding Symbols"/>
    <w:rsid w:val="0023564C"/>
    <w:rPr>
      <w:rFonts w:ascii="Wingdings" w:hAnsi="Wingdings"/>
    </w:rPr>
  </w:style>
  <w:style w:type="paragraph" w:customStyle="1" w:styleId="TableHeading">
    <w:name w:val="Table Heading"/>
    <w:basedOn w:val="HeadingBase"/>
    <w:rsid w:val="0023564C"/>
    <w:pPr>
      <w:keepLines/>
      <w:pBdr>
        <w:bottom w:val="single" w:sz="6" w:space="1" w:color="918585"/>
      </w:pBdr>
      <w:spacing w:before="240"/>
    </w:pPr>
  </w:style>
  <w:style w:type="character" w:customStyle="1" w:styleId="HotSpot">
    <w:name w:val="HotSpot"/>
    <w:rsid w:val="0023564C"/>
    <w:rPr>
      <w:color w:val="0033CC"/>
      <w:u w:val="none"/>
    </w:rPr>
  </w:style>
  <w:style w:type="paragraph" w:customStyle="1" w:styleId="BodyTextRight">
    <w:name w:val="Body Text Right"/>
    <w:basedOn w:val="BodyText"/>
    <w:rsid w:val="0023564C"/>
    <w:pPr>
      <w:spacing w:before="0" w:after="0"/>
      <w:jc w:val="right"/>
    </w:pPr>
  </w:style>
  <w:style w:type="paragraph" w:styleId="Index3">
    <w:name w:val="index 3"/>
    <w:basedOn w:val="ListNumber2"/>
    <w:next w:val="Normal"/>
    <w:semiHidden/>
    <w:rsid w:val="0023564C"/>
    <w:pPr>
      <w:numPr>
        <w:numId w:val="0"/>
      </w:numPr>
      <w:tabs>
        <w:tab w:val="right" w:leader="dot" w:pos="4176"/>
      </w:tabs>
    </w:pPr>
  </w:style>
  <w:style w:type="paragraph" w:styleId="ListNumber2">
    <w:name w:val="List Number 2"/>
    <w:basedOn w:val="List2"/>
    <w:rsid w:val="0023564C"/>
    <w:pPr>
      <w:numPr>
        <w:numId w:val="11"/>
      </w:numPr>
      <w:tabs>
        <w:tab w:val="clear" w:pos="1060"/>
      </w:tabs>
    </w:pPr>
  </w:style>
  <w:style w:type="paragraph" w:customStyle="1" w:styleId="MarginNote">
    <w:name w:val="Margin Note"/>
    <w:basedOn w:val="BodyText"/>
    <w:rsid w:val="002356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6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6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64C"/>
    <w:rPr>
      <w:sz w:val="32"/>
    </w:rPr>
  </w:style>
  <w:style w:type="paragraph" w:customStyle="1" w:styleId="HeadingProcedure">
    <w:name w:val="Heading Procedure"/>
    <w:basedOn w:val="HeadingBase"/>
    <w:next w:val="Normal"/>
    <w:rsid w:val="0023564C"/>
    <w:pPr>
      <w:tabs>
        <w:tab w:val="left" w:pos="0"/>
      </w:tabs>
      <w:spacing w:before="120" w:after="60"/>
    </w:pPr>
    <w:rPr>
      <w:i/>
      <w:color w:val="918585"/>
      <w:sz w:val="22"/>
    </w:rPr>
  </w:style>
  <w:style w:type="paragraph" w:customStyle="1" w:styleId="TableBodyText">
    <w:name w:val="Table Body Text"/>
    <w:basedOn w:val="BodyText"/>
    <w:rsid w:val="0023564C"/>
    <w:pPr>
      <w:spacing w:before="60" w:after="60"/>
    </w:pPr>
  </w:style>
  <w:style w:type="paragraph" w:styleId="ListContinue">
    <w:name w:val="List Continue"/>
    <w:basedOn w:val="List"/>
    <w:rsid w:val="0023564C"/>
    <w:pPr>
      <w:ind w:firstLine="0"/>
    </w:pPr>
  </w:style>
  <w:style w:type="paragraph" w:customStyle="1" w:styleId="ListNote">
    <w:name w:val="List Note"/>
    <w:basedOn w:val="List"/>
    <w:rsid w:val="0023564C"/>
    <w:pPr>
      <w:pBdr>
        <w:top w:val="single" w:sz="6" w:space="2" w:color="918585"/>
        <w:bottom w:val="single" w:sz="6" w:space="2" w:color="918585"/>
      </w:pBdr>
      <w:tabs>
        <w:tab w:val="left" w:pos="1021"/>
      </w:tabs>
      <w:ind w:firstLine="0"/>
    </w:pPr>
  </w:style>
  <w:style w:type="paragraph" w:customStyle="1" w:styleId="Warning">
    <w:name w:val="Warning"/>
    <w:basedOn w:val="BodyText"/>
    <w:rsid w:val="0023564C"/>
    <w:pPr>
      <w:shd w:val="clear" w:color="auto" w:fill="D9D9D9"/>
      <w:tabs>
        <w:tab w:val="left" w:pos="992"/>
      </w:tabs>
      <w:ind w:left="119" w:right="119"/>
    </w:pPr>
    <w:rPr>
      <w:sz w:val="20"/>
    </w:rPr>
  </w:style>
  <w:style w:type="paragraph" w:customStyle="1" w:styleId="MarginIcons">
    <w:name w:val="Margin Icons"/>
    <w:basedOn w:val="BodyText"/>
    <w:rsid w:val="002356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64C"/>
    <w:rPr>
      <w:rFonts w:ascii="Courier New" w:hAnsi="Courier New"/>
    </w:rPr>
  </w:style>
  <w:style w:type="paragraph" w:customStyle="1" w:styleId="NoteBullet">
    <w:name w:val="Note Bullet"/>
    <w:basedOn w:val="Note"/>
    <w:rsid w:val="0023564C"/>
    <w:pPr>
      <w:tabs>
        <w:tab w:val="clear" w:pos="680"/>
      </w:tabs>
      <w:spacing w:before="60" w:after="60"/>
    </w:pPr>
  </w:style>
  <w:style w:type="paragraph" w:customStyle="1" w:styleId="SubHeading2">
    <w:name w:val="SubHeading2"/>
    <w:basedOn w:val="HeadingBase"/>
    <w:rsid w:val="0023564C"/>
    <w:pPr>
      <w:spacing w:before="240" w:after="60"/>
    </w:pPr>
    <w:rPr>
      <w:sz w:val="20"/>
    </w:rPr>
  </w:style>
  <w:style w:type="paragraph" w:customStyle="1" w:styleId="SubHeading1">
    <w:name w:val="SubHeading1"/>
    <w:basedOn w:val="HeadingBase"/>
    <w:rsid w:val="0023564C"/>
    <w:pPr>
      <w:spacing w:before="240" w:after="60"/>
    </w:pPr>
    <w:rPr>
      <w:color w:val="918585"/>
      <w:sz w:val="22"/>
    </w:rPr>
  </w:style>
  <w:style w:type="paragraph" w:customStyle="1" w:styleId="SideHeading">
    <w:name w:val="Side Heading"/>
    <w:basedOn w:val="HeadingBase"/>
    <w:rsid w:val="002356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64C"/>
    <w:pPr>
      <w:numPr>
        <w:numId w:val="13"/>
      </w:numPr>
    </w:pPr>
  </w:style>
  <w:style w:type="paragraph" w:styleId="PlainText">
    <w:name w:val="Plain Text"/>
    <w:basedOn w:val="Normal"/>
    <w:link w:val="PlainTextChar"/>
    <w:rsid w:val="0023564C"/>
    <w:rPr>
      <w:sz w:val="20"/>
    </w:rPr>
  </w:style>
  <w:style w:type="character" w:customStyle="1" w:styleId="PlainTextChar">
    <w:name w:val="Plain Text Char"/>
    <w:basedOn w:val="DefaultParagraphFont"/>
    <w:link w:val="PlainText"/>
    <w:rsid w:val="0023564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564C"/>
    <w:rPr>
      <w:b/>
      <w:smallCaps/>
    </w:rPr>
  </w:style>
  <w:style w:type="paragraph" w:customStyle="1" w:styleId="TableListNumber">
    <w:name w:val="Table List Number"/>
    <w:basedOn w:val="ListNumber"/>
    <w:rsid w:val="0023564C"/>
    <w:pPr>
      <w:numPr>
        <w:numId w:val="0"/>
      </w:numPr>
    </w:pPr>
  </w:style>
  <w:style w:type="paragraph" w:styleId="TOC4">
    <w:name w:val="toc 4"/>
    <w:basedOn w:val="TOCBase"/>
    <w:next w:val="Normal"/>
    <w:semiHidden/>
    <w:rsid w:val="0023564C"/>
    <w:pPr>
      <w:tabs>
        <w:tab w:val="right" w:leader="dot" w:pos="9071"/>
      </w:tabs>
      <w:ind w:left="1701"/>
    </w:pPr>
  </w:style>
  <w:style w:type="paragraph" w:customStyle="1" w:styleId="ListAlpha">
    <w:name w:val="List Alpha"/>
    <w:basedOn w:val="List"/>
    <w:rsid w:val="0023564C"/>
    <w:pPr>
      <w:numPr>
        <w:numId w:val="10"/>
      </w:numPr>
    </w:pPr>
  </w:style>
  <w:style w:type="paragraph" w:customStyle="1" w:styleId="ListAlpha2">
    <w:name w:val="List Alpha 2"/>
    <w:basedOn w:val="List2"/>
    <w:rsid w:val="0023564C"/>
    <w:pPr>
      <w:numPr>
        <w:numId w:val="9"/>
      </w:numPr>
    </w:pPr>
  </w:style>
  <w:style w:type="paragraph" w:styleId="List3">
    <w:name w:val="List 3"/>
    <w:basedOn w:val="BodyText"/>
    <w:rsid w:val="0023564C"/>
    <w:pPr>
      <w:tabs>
        <w:tab w:val="left" w:pos="1021"/>
      </w:tabs>
      <w:spacing w:before="60" w:after="60"/>
      <w:ind w:left="1020" w:hanging="340"/>
    </w:pPr>
  </w:style>
  <w:style w:type="paragraph" w:styleId="List4">
    <w:name w:val="List 4"/>
    <w:basedOn w:val="BodyText"/>
    <w:rsid w:val="0023564C"/>
    <w:pPr>
      <w:tabs>
        <w:tab w:val="left" w:pos="1361"/>
      </w:tabs>
      <w:spacing w:before="60" w:after="60"/>
      <w:ind w:left="1361" w:hanging="340"/>
    </w:pPr>
  </w:style>
  <w:style w:type="paragraph" w:styleId="List5">
    <w:name w:val="List 5"/>
    <w:basedOn w:val="BodyText"/>
    <w:rsid w:val="0023564C"/>
    <w:pPr>
      <w:tabs>
        <w:tab w:val="left" w:pos="1701"/>
      </w:tabs>
      <w:spacing w:before="60" w:after="60"/>
      <w:ind w:left="1701" w:hanging="340"/>
    </w:pPr>
  </w:style>
  <w:style w:type="paragraph" w:styleId="ListBullet4">
    <w:name w:val="List Bullet 4"/>
    <w:basedOn w:val="List4"/>
    <w:rsid w:val="0023564C"/>
    <w:pPr>
      <w:numPr>
        <w:numId w:val="4"/>
      </w:numPr>
    </w:pPr>
  </w:style>
  <w:style w:type="paragraph" w:styleId="ListBullet5">
    <w:name w:val="List Bullet 5"/>
    <w:basedOn w:val="List5"/>
    <w:rsid w:val="0023564C"/>
    <w:pPr>
      <w:numPr>
        <w:numId w:val="5"/>
      </w:numPr>
    </w:pPr>
  </w:style>
  <w:style w:type="paragraph" w:styleId="ListContinue2">
    <w:name w:val="List Continue 2"/>
    <w:basedOn w:val="List2"/>
    <w:rsid w:val="0023564C"/>
    <w:pPr>
      <w:ind w:firstLine="0"/>
    </w:pPr>
  </w:style>
  <w:style w:type="paragraph" w:styleId="ListContinue3">
    <w:name w:val="List Continue 3"/>
    <w:basedOn w:val="List3"/>
    <w:rsid w:val="0023564C"/>
    <w:pPr>
      <w:ind w:left="1021" w:firstLine="0"/>
    </w:pPr>
  </w:style>
  <w:style w:type="paragraph" w:styleId="ListContinue4">
    <w:name w:val="List Continue 4"/>
    <w:basedOn w:val="List4"/>
    <w:rsid w:val="0023564C"/>
    <w:pPr>
      <w:ind w:firstLine="0"/>
    </w:pPr>
  </w:style>
  <w:style w:type="paragraph" w:styleId="ListContinue5">
    <w:name w:val="List Continue 5"/>
    <w:basedOn w:val="List5"/>
    <w:rsid w:val="0023564C"/>
    <w:pPr>
      <w:ind w:firstLine="0"/>
    </w:pPr>
  </w:style>
  <w:style w:type="paragraph" w:styleId="ListNumber3">
    <w:name w:val="List Number 3"/>
    <w:basedOn w:val="List3"/>
    <w:rsid w:val="0023564C"/>
    <w:pPr>
      <w:numPr>
        <w:numId w:val="6"/>
      </w:numPr>
    </w:pPr>
  </w:style>
  <w:style w:type="paragraph" w:styleId="ListNumber4">
    <w:name w:val="List Number 4"/>
    <w:basedOn w:val="List4"/>
    <w:rsid w:val="0023564C"/>
    <w:pPr>
      <w:numPr>
        <w:numId w:val="7"/>
      </w:numPr>
    </w:pPr>
  </w:style>
  <w:style w:type="paragraph" w:styleId="ListNumber5">
    <w:name w:val="List Number 5"/>
    <w:basedOn w:val="List5"/>
    <w:rsid w:val="0023564C"/>
    <w:pPr>
      <w:numPr>
        <w:numId w:val="8"/>
      </w:numPr>
    </w:pPr>
  </w:style>
  <w:style w:type="paragraph" w:styleId="BlockText">
    <w:name w:val="Block Text"/>
    <w:basedOn w:val="Normal"/>
    <w:rsid w:val="0023564C"/>
    <w:pPr>
      <w:spacing w:after="120"/>
      <w:ind w:left="1440" w:right="1440"/>
    </w:pPr>
  </w:style>
  <w:style w:type="character" w:customStyle="1" w:styleId="Subscript">
    <w:name w:val="Subscript"/>
    <w:basedOn w:val="DefaultParagraphFont"/>
    <w:rsid w:val="0023564C"/>
    <w:rPr>
      <w:sz w:val="16"/>
      <w:vertAlign w:val="subscript"/>
    </w:rPr>
  </w:style>
  <w:style w:type="character" w:customStyle="1" w:styleId="Superscript">
    <w:name w:val="Superscript"/>
    <w:basedOn w:val="DefaultParagraphFont"/>
    <w:rsid w:val="0023564C"/>
    <w:rPr>
      <w:sz w:val="16"/>
      <w:vertAlign w:val="superscript"/>
    </w:rPr>
  </w:style>
  <w:style w:type="character" w:customStyle="1" w:styleId="Symbols">
    <w:name w:val="Symbols"/>
    <w:basedOn w:val="DefaultParagraphFont"/>
    <w:rsid w:val="0023564C"/>
    <w:rPr>
      <w:rFonts w:ascii="Symbol" w:hAnsi="Symbol"/>
    </w:rPr>
  </w:style>
  <w:style w:type="character" w:customStyle="1" w:styleId="MenuOptions">
    <w:name w:val="Menu Options"/>
    <w:basedOn w:val="DefaultParagraphFont"/>
    <w:rsid w:val="0023564C"/>
    <w:rPr>
      <w:rFonts w:ascii="Arial Narrow" w:hAnsi="Arial Narrow"/>
      <w:smallCaps/>
    </w:rPr>
  </w:style>
  <w:style w:type="character" w:customStyle="1" w:styleId="Buttons">
    <w:name w:val="Buttons"/>
    <w:basedOn w:val="DefaultParagraphFont"/>
    <w:rsid w:val="0023564C"/>
    <w:rPr>
      <w:b/>
    </w:rPr>
  </w:style>
  <w:style w:type="character" w:customStyle="1" w:styleId="Underlined">
    <w:name w:val="Underlined"/>
    <w:basedOn w:val="DefaultParagraphFont"/>
    <w:rsid w:val="0023564C"/>
    <w:rPr>
      <w:u w:val="single"/>
    </w:rPr>
  </w:style>
  <w:style w:type="paragraph" w:customStyle="1" w:styleId="TableBodyTextRight">
    <w:name w:val="Table Body Text Right"/>
    <w:basedOn w:val="TableBodyText"/>
    <w:rsid w:val="0023564C"/>
    <w:pPr>
      <w:widowControl w:val="0"/>
      <w:autoSpaceDE w:val="0"/>
      <w:autoSpaceDN w:val="0"/>
      <w:adjustRightInd w:val="0"/>
      <w:jc w:val="right"/>
    </w:pPr>
    <w:rPr>
      <w:rFonts w:cs="Arial"/>
      <w:szCs w:val="18"/>
    </w:rPr>
  </w:style>
  <w:style w:type="paragraph" w:customStyle="1" w:styleId="CopyrightText">
    <w:name w:val="Copyright Text"/>
    <w:basedOn w:val="BodyText"/>
    <w:rsid w:val="0023564C"/>
    <w:rPr>
      <w:sz w:val="18"/>
    </w:rPr>
  </w:style>
  <w:style w:type="paragraph" w:customStyle="1" w:styleId="BodySmallRight">
    <w:name w:val="Body Small Right"/>
    <w:basedOn w:val="BodyTextRight"/>
    <w:rsid w:val="0023564C"/>
    <w:rPr>
      <w:sz w:val="18"/>
      <w:szCs w:val="18"/>
    </w:rPr>
  </w:style>
  <w:style w:type="paragraph" w:customStyle="1" w:styleId="MarginEdition">
    <w:name w:val="Margin Edition"/>
    <w:basedOn w:val="MarginNote"/>
    <w:rsid w:val="0023564C"/>
    <w:pPr>
      <w:spacing w:before="0" w:after="0"/>
    </w:pPr>
    <w:rPr>
      <w:rFonts w:ascii="Times New Roman" w:hAnsi="Times New Roman"/>
      <w:color w:val="999999"/>
    </w:rPr>
  </w:style>
  <w:style w:type="paragraph" w:customStyle="1" w:styleId="Spacer">
    <w:name w:val="Spacer"/>
    <w:basedOn w:val="Normal"/>
    <w:rsid w:val="0023564C"/>
    <w:rPr>
      <w:sz w:val="2"/>
      <w:szCs w:val="2"/>
    </w:rPr>
  </w:style>
  <w:style w:type="character" w:customStyle="1" w:styleId="Small">
    <w:name w:val="Small"/>
    <w:basedOn w:val="DefaultParagraphFont"/>
    <w:rsid w:val="0023564C"/>
    <w:rPr>
      <w:sz w:val="16"/>
    </w:rPr>
  </w:style>
  <w:style w:type="paragraph" w:customStyle="1" w:styleId="WideTable">
    <w:name w:val="Wide Table"/>
    <w:basedOn w:val="Normal"/>
    <w:rsid w:val="0023564C"/>
    <w:pPr>
      <w:ind w:left="-1418"/>
    </w:pPr>
    <w:rPr>
      <w:sz w:val="2"/>
      <w:szCs w:val="2"/>
    </w:rPr>
  </w:style>
  <w:style w:type="character" w:styleId="PageNumber">
    <w:name w:val="page number"/>
    <w:basedOn w:val="DefaultParagraphFont"/>
    <w:rsid w:val="0023564C"/>
  </w:style>
  <w:style w:type="paragraph" w:styleId="Quote">
    <w:name w:val="Quote"/>
    <w:basedOn w:val="Heading1"/>
    <w:link w:val="QuoteChar"/>
    <w:qFormat/>
    <w:rsid w:val="0023564C"/>
    <w:rPr>
      <w:b w:val="0"/>
      <w:sz w:val="72"/>
      <w:szCs w:val="72"/>
      <w:lang w:val="en-NZ"/>
    </w:rPr>
  </w:style>
  <w:style w:type="character" w:customStyle="1" w:styleId="QuoteChar">
    <w:name w:val="Quote Char"/>
    <w:basedOn w:val="DefaultParagraphFont"/>
    <w:link w:val="Quote"/>
    <w:rsid w:val="002356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64C"/>
    <w:pPr>
      <w:pageBreakBefore/>
    </w:pPr>
  </w:style>
  <w:style w:type="paragraph" w:customStyle="1" w:styleId="Border">
    <w:name w:val="Border"/>
    <w:basedOn w:val="Normal"/>
    <w:qFormat/>
    <w:rsid w:val="002356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64C"/>
    <w:rPr>
      <w:b/>
      <w:bCs/>
      <w:i/>
      <w:iCs/>
      <w:color w:val="auto"/>
    </w:rPr>
  </w:style>
  <w:style w:type="paragraph" w:styleId="IntenseQuote">
    <w:name w:val="Intense Quote"/>
    <w:basedOn w:val="Normal"/>
    <w:next w:val="Normal"/>
    <w:link w:val="IntenseQuoteChar"/>
    <w:uiPriority w:val="30"/>
    <w:qFormat/>
    <w:rsid w:val="002356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64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564C"/>
    <w:rPr>
      <w:smallCaps/>
      <w:color w:val="auto"/>
      <w:u w:val="single"/>
    </w:rPr>
  </w:style>
  <w:style w:type="character" w:styleId="IntenseReference">
    <w:name w:val="Intense Reference"/>
    <w:basedOn w:val="DefaultParagraphFont"/>
    <w:uiPriority w:val="32"/>
    <w:qFormat/>
    <w:rsid w:val="0023564C"/>
    <w:rPr>
      <w:b/>
      <w:bCs/>
      <w:smallCaps/>
      <w:color w:val="auto"/>
      <w:spacing w:val="5"/>
      <w:u w:val="single"/>
    </w:rPr>
  </w:style>
  <w:style w:type="paragraph" w:customStyle="1" w:styleId="2ColumnHeading">
    <w:name w:val="2Column Heading"/>
    <w:basedOn w:val="BodyText"/>
    <w:qFormat/>
    <w:rsid w:val="0023564C"/>
    <w:pPr>
      <w:spacing w:after="60"/>
      <w:ind w:left="-2268"/>
    </w:pPr>
    <w:rPr>
      <w:b/>
    </w:rPr>
  </w:style>
  <w:style w:type="paragraph" w:customStyle="1" w:styleId="Heading1TOC">
    <w:name w:val="Heading1 TOC"/>
    <w:basedOn w:val="Normal"/>
    <w:qFormat/>
    <w:rsid w:val="0023564C"/>
    <w:pPr>
      <w:spacing w:before="240" w:after="120"/>
    </w:pPr>
    <w:rPr>
      <w:rFonts w:ascii="Times New Roman" w:hAnsi="Times New Roman"/>
      <w:b/>
      <w:sz w:val="32"/>
    </w:rPr>
  </w:style>
  <w:style w:type="paragraph" w:customStyle="1" w:styleId="Heading2TOC">
    <w:name w:val="Heading2 TOC"/>
    <w:basedOn w:val="Normal"/>
    <w:qFormat/>
    <w:rsid w:val="0023564C"/>
    <w:pPr>
      <w:spacing w:before="240" w:after="60"/>
    </w:pPr>
    <w:rPr>
      <w:rFonts w:ascii="Times New Roman" w:hAnsi="Times New Roman"/>
      <w:b/>
      <w:sz w:val="28"/>
    </w:rPr>
  </w:style>
  <w:style w:type="character" w:customStyle="1" w:styleId="Underline">
    <w:name w:val="Underline"/>
    <w:basedOn w:val="DefaultParagraphFont"/>
    <w:qFormat/>
    <w:rsid w:val="0023564C"/>
    <w:rPr>
      <w:u w:val="single"/>
    </w:rPr>
  </w:style>
  <w:style w:type="paragraph" w:styleId="BalloonText">
    <w:name w:val="Balloon Text"/>
    <w:basedOn w:val="Normal"/>
    <w:link w:val="BalloonTextChar"/>
    <w:rsid w:val="0023564C"/>
    <w:rPr>
      <w:rFonts w:ascii="Tahoma" w:hAnsi="Tahoma" w:cs="Tahoma"/>
      <w:sz w:val="16"/>
      <w:szCs w:val="16"/>
    </w:rPr>
  </w:style>
  <w:style w:type="character" w:customStyle="1" w:styleId="BalloonTextChar">
    <w:name w:val="Balloon Text Char"/>
    <w:basedOn w:val="DefaultParagraphFont"/>
    <w:link w:val="BalloonText"/>
    <w:rsid w:val="002356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6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64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1780</Words>
  <Characters>11490</Characters>
  <Application>Microsoft Office Word</Application>
  <DocSecurity>0</DocSecurity>
  <Lines>398</Lines>
  <Paragraphs>219</Paragraphs>
  <ScaleCrop>false</ScaleCrop>
  <Company>Author-it Software Corporation Ltd.</Company>
  <LinksUpToDate>false</LinksUpToDate>
  <CharactersWithSpaces>13190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CPCCSI3010A Hand render pictorials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2012-05-26T05:37:00Z</dcterms:created>
  <dcterms:modified xsi:type="dcterms:W3CDTF">2012-05-26T05:37:00Z</dcterms:modified>
</cp:coreProperties>
</file>