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63F" w:rsidP="00A6263F">
      <w:pPr>
        <w:pStyle w:val="Title"/>
      </w:pPr>
      <w:r>
        <w:fldChar w:fldCharType="begin"/>
      </w:r>
      <w:r>
        <w:instrText xml:space="preserve"> TITLE   \* MERGEFORMAT </w:instrText>
      </w:r>
      <w:r>
        <w:fldChar w:fldCharType="separate"/>
      </w:r>
      <w:r>
        <w:t>CPCCSI2007A Apply fasteners and fixings</w:t>
      </w:r>
      <w:r>
        <w:fldChar w:fldCharType="end"/>
      </w:r>
    </w:p>
    <w:p w:rsidR="00A6263F" w:rsidP="00A6263F">
      <w:pPr>
        <w:pStyle w:val="Version"/>
        <w:sectPr w:rsidSect="005B78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8F4" w:rsidP="005B78F4">
      <w:pPr>
        <w:pStyle w:val="SuperHeading"/>
      </w:pPr>
      <w:r w:rsidRPr="005B78F4">
        <w:t>CPCCSI2007A Apply fasteners and fixings</w:t>
      </w:r>
    </w:p>
    <w:p w:rsidR="00000000" w:rsidRPr="005B78F4" w:rsidP="005B78F4">
      <w:pPr>
        <w:pStyle w:val="Heading1"/>
      </w:pPr>
      <w:bookmarkStart w:id="1" w:name="O_269687"/>
      <w:bookmarkEnd w:id="1"/>
      <w:r w:rsidRPr="005B78F4">
        <w:t>Modification History</w:t>
      </w:r>
    </w:p>
    <w:p w:rsidR="00000000" w:rsidRPr="005B78F4" w:rsidP="005B78F4">
      <w:pPr>
        <w:pStyle w:val="BodyText"/>
      </w:pPr>
      <w:r w:rsidRPr="005B78F4">
        <w:t>Not Applicable</w:t>
      </w:r>
    </w:p>
    <w:p w:rsidR="00000000" w:rsidRPr="005B78F4" w:rsidP="005B78F4">
      <w:pPr>
        <w:pStyle w:val="AllowPageBreak"/>
      </w:pPr>
    </w:p>
    <w:p w:rsidR="00000000" w:rsidRPr="005B78F4" w:rsidP="005B78F4">
      <w:pPr>
        <w:pStyle w:val="Heading1"/>
      </w:pPr>
      <w:bookmarkStart w:id="2" w:name="O_198584"/>
      <w:bookmarkEnd w:id="2"/>
      <w:r w:rsidRPr="005B78F4">
        <w:t>Unit Descriptor</w:t>
      </w:r>
    </w:p>
    <w:tbl>
      <w:tblPr>
        <w:tblW w:w="0" w:type="auto"/>
        <w:tblLayout w:type="fixed"/>
        <w:tblCellMar>
          <w:left w:w="62" w:type="dxa"/>
          <w:right w:w="62" w:type="dxa"/>
        </w:tblCellMar>
        <w:tblLook w:val="0000"/>
      </w:tblPr>
      <w:tblGrid>
        <w:gridCol w:w="2611"/>
        <w:gridCol w:w="5911"/>
      </w:tblGrid>
      <w:tr w:rsidTr="00A6263F">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Unit descriptor</w:t>
            </w:r>
          </w:p>
        </w:tc>
        <w:tc>
          <w:tcPr>
            <w:tcW w:w="5911" w:type="dxa"/>
            <w:tcBorders>
              <w:top w:val="nil"/>
              <w:left w:val="nil"/>
              <w:bottom w:val="nil"/>
              <w:right w:val="nil"/>
            </w:tcBorders>
            <w:tcMar>
              <w:top w:w="0" w:type="dxa"/>
              <w:left w:w="62" w:type="dxa"/>
              <w:bottom w:w="0" w:type="dxa"/>
              <w:right w:w="62" w:type="dxa"/>
            </w:tcMar>
          </w:tcPr>
          <w:p w:rsidR="00000000" w:rsidRPr="005B78F4" w:rsidP="005B78F4">
            <w:pPr>
              <w:pStyle w:val="BodyText"/>
            </w:pPr>
            <w:r w:rsidRPr="005B78F4">
              <w:t>This unit of competency specifies the outcomes required to apply proprietary fasteners and fixings in a range o</w:t>
            </w:r>
            <w:r w:rsidRPr="005B78F4">
              <w:t>f fastening activities undertaken with a range of common construction materials.</w:t>
            </w:r>
          </w:p>
        </w:tc>
      </w:tr>
    </w:tbl>
    <w:p w:rsidR="00A6263F" w:rsidP="005B78F4">
      <w:pPr>
        <w:pStyle w:val="BodyText"/>
      </w:pPr>
    </w:p>
    <w:p w:rsidR="00A6263F" w:rsidP="005B78F4">
      <w:pPr>
        <w:pStyle w:val="BodyText"/>
      </w:pPr>
    </w:p>
    <w:p w:rsidR="00000000" w:rsidRPr="005B78F4" w:rsidP="005B78F4">
      <w:pPr>
        <w:pStyle w:val="Heading1"/>
      </w:pPr>
      <w:bookmarkStart w:id="3" w:name="O_198588"/>
      <w:bookmarkEnd w:id="3"/>
      <w:r w:rsidRPr="005B78F4">
        <w:t>Application of the Unit</w:t>
      </w:r>
    </w:p>
    <w:tbl>
      <w:tblPr>
        <w:tblW w:w="0" w:type="auto"/>
        <w:tblLayout w:type="fixed"/>
        <w:tblCellMar>
          <w:left w:w="62" w:type="dxa"/>
          <w:right w:w="62" w:type="dxa"/>
        </w:tblCellMar>
        <w:tblLook w:val="0000"/>
      </w:tblPr>
      <w:tblGrid>
        <w:gridCol w:w="2676"/>
        <w:gridCol w:w="5846"/>
      </w:tblGrid>
      <w:tr w:rsidTr="00A6263F">
        <w:tblPrEx>
          <w:tblW w:w="0" w:type="auto"/>
          <w:tblLayout w:type="fixed"/>
          <w:tblCellMar>
            <w:left w:w="62" w:type="dxa"/>
            <w:right w:w="62" w:type="dxa"/>
          </w:tblCellMar>
          <w:tblLook w:val="0000"/>
        </w:tblPrEx>
        <w:trPr>
          <w:tblHeader/>
        </w:trPr>
        <w:tc>
          <w:tcPr>
            <w:tcW w:w="2676"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Application of the unit</w:t>
            </w:r>
          </w:p>
        </w:tc>
        <w:tc>
          <w:tcPr>
            <w:tcW w:w="5846" w:type="dxa"/>
            <w:tcBorders>
              <w:top w:val="nil"/>
              <w:left w:val="nil"/>
              <w:bottom w:val="nil"/>
              <w:right w:val="nil"/>
            </w:tcBorders>
            <w:tcMar>
              <w:top w:w="0" w:type="dxa"/>
              <w:left w:w="62" w:type="dxa"/>
              <w:bottom w:w="0" w:type="dxa"/>
              <w:right w:w="62" w:type="dxa"/>
            </w:tcMar>
          </w:tcPr>
          <w:p w:rsidR="00000000" w:rsidRPr="005B78F4" w:rsidP="005B78F4">
            <w:pPr>
              <w:pStyle w:val="BodyText"/>
            </w:pPr>
            <w:r w:rsidRPr="005B78F4">
              <w:t xml:space="preserve">This unit of competency supports the achievement of skills and knowledge covers to identify and use light gauge fasteners and fixings. </w:t>
            </w:r>
          </w:p>
        </w:tc>
      </w:tr>
    </w:tbl>
    <w:p w:rsidR="00A6263F" w:rsidP="005B78F4">
      <w:pPr>
        <w:pStyle w:val="BodyText"/>
      </w:pPr>
    </w:p>
    <w:p w:rsidR="00A6263F" w:rsidP="005B78F4">
      <w:pPr>
        <w:pStyle w:val="BodyText"/>
      </w:pPr>
    </w:p>
    <w:p w:rsidR="00000000" w:rsidRPr="005B78F4" w:rsidP="005B78F4">
      <w:pPr>
        <w:pStyle w:val="Heading1"/>
      </w:pPr>
      <w:bookmarkStart w:id="4" w:name="O_277947"/>
      <w:bookmarkEnd w:id="4"/>
      <w:r w:rsidRPr="005B78F4">
        <w:t>Licensing/Regulatory Information</w:t>
      </w:r>
    </w:p>
    <w:p w:rsidR="00000000" w:rsidRPr="005B78F4" w:rsidP="005B78F4">
      <w:pPr>
        <w:pStyle w:val="BodyText"/>
      </w:pPr>
      <w:r w:rsidRPr="005B78F4">
        <w:t>Not Applicable</w:t>
      </w:r>
    </w:p>
    <w:p w:rsidR="00000000" w:rsidRPr="005B78F4" w:rsidP="005B78F4">
      <w:pPr>
        <w:pStyle w:val="AllowPageBreak"/>
      </w:pPr>
    </w:p>
    <w:p w:rsidR="00000000" w:rsidRPr="005B78F4" w:rsidP="005B78F4">
      <w:pPr>
        <w:pStyle w:val="Heading1"/>
      </w:pPr>
      <w:bookmarkStart w:id="5" w:name="O_198586"/>
      <w:bookmarkEnd w:id="5"/>
      <w:r w:rsidRPr="005B78F4">
        <w:t>Pre-Requisites</w:t>
      </w:r>
    </w:p>
    <w:tbl>
      <w:tblPr>
        <w:tblW w:w="0" w:type="auto"/>
        <w:tblLayout w:type="fixed"/>
        <w:tblCellMar>
          <w:left w:w="62" w:type="dxa"/>
          <w:right w:w="62" w:type="dxa"/>
        </w:tblCellMar>
        <w:tblLook w:val="0000"/>
      </w:tblPr>
      <w:tblGrid>
        <w:gridCol w:w="2600"/>
        <w:gridCol w:w="2527"/>
        <w:gridCol w:w="3395"/>
      </w:tblGrid>
      <w:tr w:rsidTr="00A6263F">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Prerequisite units</w:t>
            </w:r>
          </w:p>
        </w:tc>
        <w:tc>
          <w:tcPr>
            <w:tcW w:w="5922" w:type="dxa"/>
            <w:gridSpan w:val="2"/>
            <w:tcBorders>
              <w:top w:val="nil"/>
              <w:left w:val="nil"/>
              <w:bottom w:val="nil"/>
              <w:right w:val="nil"/>
            </w:tcBorders>
            <w:tcMar>
              <w:top w:w="0" w:type="dxa"/>
              <w:left w:w="62" w:type="dxa"/>
              <w:bottom w:w="0" w:type="dxa"/>
              <w:right w:w="62" w:type="dxa"/>
            </w:tcMar>
          </w:tcPr>
          <w:p w:rsidR="00000000" w:rsidP="005B78F4">
            <w:pPr>
              <w:pStyle w:val="BodyText"/>
              <w:rPr>
                <w:lang w:val="en-NZ"/>
              </w:rPr>
            </w:pPr>
          </w:p>
        </w:tc>
      </w:tr>
      <w:tr w:rsidTr="00A6263F">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t>CPCCOHS2001A</w:t>
            </w:r>
          </w:p>
        </w:tc>
        <w:tc>
          <w:tcPr>
            <w:tcW w:w="3395"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t>Apply OHS requirements, policies and procedures in the construction industry</w:t>
            </w:r>
          </w:p>
        </w:tc>
      </w:tr>
      <w:tr w:rsidTr="00A6263F">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95" w:type="dxa"/>
            <w:tcBorders>
              <w:top w:val="nil"/>
              <w:left w:val="nil"/>
              <w:bottom w:val="nil"/>
              <w:right w:val="nil"/>
            </w:tcBorders>
            <w:tcMar>
              <w:top w:w="0" w:type="dxa"/>
              <w:left w:w="62" w:type="dxa"/>
              <w:bottom w:w="0" w:type="dxa"/>
              <w:right w:w="62" w:type="dxa"/>
            </w:tcMar>
          </w:tcPr>
          <w:p w:rsidR="00000000" w:rsidRPr="005B78F4" w:rsidP="005B78F4">
            <w:pPr>
              <w:pStyle w:val="BodyText"/>
            </w:pPr>
          </w:p>
        </w:tc>
      </w:tr>
    </w:tbl>
    <w:p w:rsidR="00A6263F" w:rsidP="005B78F4">
      <w:pPr>
        <w:pStyle w:val="BodyText"/>
      </w:pPr>
    </w:p>
    <w:p w:rsidR="00A6263F" w:rsidP="005B78F4">
      <w:pPr>
        <w:pStyle w:val="BodyText"/>
      </w:pPr>
    </w:p>
    <w:p w:rsidR="00000000" w:rsidRPr="005B78F4" w:rsidP="005B78F4">
      <w:pPr>
        <w:pStyle w:val="Heading1"/>
      </w:pPr>
      <w:bookmarkStart w:id="6" w:name="O_198585"/>
      <w:bookmarkEnd w:id="6"/>
      <w:r w:rsidRPr="005B78F4">
        <w:t>Employability Skills Information</w:t>
      </w:r>
    </w:p>
    <w:tbl>
      <w:tblPr>
        <w:tblW w:w="0" w:type="auto"/>
        <w:tblLayout w:type="fixed"/>
        <w:tblCellMar>
          <w:left w:w="62" w:type="dxa"/>
          <w:right w:w="62" w:type="dxa"/>
        </w:tblCellMar>
        <w:tblLook w:val="0000"/>
      </w:tblPr>
      <w:tblGrid>
        <w:gridCol w:w="2709"/>
        <w:gridCol w:w="5813"/>
      </w:tblGrid>
      <w:tr w:rsidTr="00A6263F">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Employability skills</w:t>
            </w:r>
          </w:p>
        </w:tc>
        <w:tc>
          <w:tcPr>
            <w:tcW w:w="5813" w:type="dxa"/>
            <w:tcBorders>
              <w:top w:val="nil"/>
              <w:left w:val="nil"/>
              <w:bottom w:val="nil"/>
              <w:right w:val="nil"/>
            </w:tcBorders>
            <w:tcMar>
              <w:top w:w="0" w:type="dxa"/>
              <w:left w:w="62" w:type="dxa"/>
              <w:bottom w:w="0" w:type="dxa"/>
              <w:right w:w="62" w:type="dxa"/>
            </w:tcMar>
          </w:tcPr>
          <w:p w:rsidR="00000000" w:rsidRPr="005B78F4" w:rsidP="005B78F4">
            <w:pPr>
              <w:pStyle w:val="BodyText"/>
            </w:pPr>
            <w:r w:rsidRPr="005B78F4">
              <w:t>This unit contains employability skills.</w:t>
            </w:r>
          </w:p>
        </w:tc>
      </w:tr>
    </w:tbl>
    <w:p w:rsidR="00A6263F" w:rsidP="005B78F4">
      <w:pPr>
        <w:pStyle w:val="BodyText"/>
      </w:pPr>
    </w:p>
    <w:p w:rsidR="00A6263F" w:rsidP="005B78F4">
      <w:pPr>
        <w:pStyle w:val="BodyText"/>
      </w:pPr>
    </w:p>
    <w:p w:rsidR="00000000" w:rsidRPr="005B78F4" w:rsidP="005B78F4">
      <w:pPr>
        <w:pStyle w:val="Heading1"/>
      </w:pPr>
      <w:bookmarkStart w:id="7" w:name="O_287733"/>
      <w:bookmarkEnd w:id="7"/>
      <w:r w:rsidRPr="005B78F4">
        <w:t>Elements and Performance Criteria Pre-Content</w:t>
      </w:r>
    </w:p>
    <w:tbl>
      <w:tblPr>
        <w:tblW w:w="0" w:type="auto"/>
        <w:tblLayout w:type="fixed"/>
        <w:tblCellMar>
          <w:left w:w="62" w:type="dxa"/>
          <w:right w:w="62" w:type="dxa"/>
        </w:tblCellMar>
        <w:tblLook w:val="0000"/>
      </w:tblPr>
      <w:tblGrid>
        <w:gridCol w:w="2567"/>
        <w:gridCol w:w="5955"/>
      </w:tblGrid>
      <w:tr w:rsidTr="00A6263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B78F4">
            <w:pPr>
              <w:pStyle w:val="BodyText"/>
              <w:rPr>
                <w:lang w:val="en-NZ"/>
              </w:rPr>
            </w:pPr>
            <w:r w:rsidRPr="005B78F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B78F4" w:rsidP="005B78F4">
            <w:pPr>
              <w:pStyle w:val="BodyText"/>
            </w:pPr>
            <w:r w:rsidRPr="005B78F4">
              <w:t>Performance criteria describe the performance needed to demonstrate achievement of the element. Where bold italicised text is used, further info</w:t>
            </w:r>
            <w:r w:rsidRPr="005B78F4">
              <w:t>rmation is detailed in the required skills and knowledge section and the range statement. Assessment of performance is to be consistent with the evidence guide.</w:t>
            </w:r>
          </w:p>
        </w:tc>
      </w:tr>
    </w:tbl>
    <w:p w:rsidR="00000000" w:rsidRPr="005B78F4" w:rsidP="005B78F4">
      <w:pPr>
        <w:pStyle w:val="BodyText"/>
      </w:pPr>
    </w:p>
    <w:p w:rsidR="00000000" w:rsidRPr="005B78F4" w:rsidP="005B78F4">
      <w:pPr>
        <w:pStyle w:val="AllowPageBreak"/>
      </w:pPr>
    </w:p>
    <w:p w:rsidR="00000000" w:rsidRPr="005B78F4" w:rsidP="005B78F4">
      <w:pPr>
        <w:pStyle w:val="Heading1"/>
      </w:pPr>
      <w:bookmarkStart w:id="8" w:name="O_234400"/>
      <w:bookmarkEnd w:id="8"/>
      <w:r w:rsidRPr="005B78F4">
        <w:t>Elements and Performance Criteria</w:t>
      </w:r>
    </w:p>
    <w:tbl>
      <w:tblPr>
        <w:tblW w:w="0" w:type="auto"/>
        <w:tblLayout w:type="fixed"/>
        <w:tblCellMar>
          <w:left w:w="62" w:type="dxa"/>
          <w:right w:w="62" w:type="dxa"/>
        </w:tblCellMar>
        <w:tblLook w:val="0000"/>
      </w:tblPr>
      <w:tblGrid>
        <w:gridCol w:w="2567"/>
        <w:gridCol w:w="5955"/>
      </w:tblGrid>
      <w:tr w:rsidTr="00A6263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B78F4" w:rsidP="005B78F4">
            <w:pPr>
              <w:pStyle w:val="BodyText"/>
            </w:pPr>
            <w:r w:rsidRPr="005B78F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B78F4">
            <w:pPr>
              <w:pStyle w:val="BodyText"/>
              <w:rPr>
                <w:lang w:val="en-NZ"/>
              </w:rPr>
            </w:pPr>
            <w:r w:rsidRPr="005B78F4">
              <w:rPr>
                <w:rStyle w:val="SpecialBold"/>
              </w:rPr>
              <w:t>PERFORMANCE CRITERIA</w:t>
            </w:r>
          </w:p>
        </w:tc>
      </w:tr>
      <w:tr w:rsidTr="00A6263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B78F4">
            <w:pPr>
              <w:pStyle w:val="List"/>
              <w:rPr>
                <w:lang w:val="en-NZ"/>
              </w:rPr>
            </w:pPr>
            <w:r w:rsidRPr="005B78F4">
              <w:t>1.</w:t>
            </w:r>
            <w:r w:rsidRPr="005B78F4">
              <w:tab/>
            </w:r>
            <w:r w:rsidRPr="005B78F4">
              <w:t>Plan and prepare work.</w:t>
            </w:r>
          </w:p>
        </w:tc>
        <w:tc>
          <w:tcPr>
            <w:tcW w:w="5955" w:type="dxa"/>
            <w:tcBorders>
              <w:top w:val="nil"/>
              <w:left w:val="nil"/>
              <w:bottom w:val="nil"/>
              <w:right w:val="nil"/>
            </w:tcBorders>
            <w:tcMar>
              <w:top w:w="0" w:type="dxa"/>
              <w:left w:w="62" w:type="dxa"/>
              <w:bottom w:w="0" w:type="dxa"/>
              <w:right w:w="62" w:type="dxa"/>
            </w:tcMar>
          </w:tcPr>
          <w:p w:rsidR="00000000" w:rsidRPr="005B78F4" w:rsidP="005B78F4">
            <w:pPr>
              <w:pStyle w:val="List2"/>
            </w:pPr>
            <w:r w:rsidRPr="005B78F4">
              <w:t>1.1.</w:t>
            </w:r>
            <w:r w:rsidRPr="005B78F4">
              <w:tab/>
            </w:r>
            <w:r w:rsidRPr="005B78F4">
              <w:rPr>
                <w:rStyle w:val="BoldandItalics"/>
              </w:rPr>
              <w:t>Quality assurance requirements</w:t>
            </w:r>
            <w:r w:rsidRPr="005B78F4">
              <w:t xml:space="preserve"> of signage operations are recognised and adhered to. </w:t>
            </w:r>
          </w:p>
          <w:p w:rsidR="00000000" w:rsidRPr="005B78F4" w:rsidP="005B78F4">
            <w:pPr>
              <w:pStyle w:val="List2"/>
            </w:pPr>
            <w:r w:rsidRPr="005B78F4">
              <w:t>1.2.</w:t>
            </w:r>
            <w:r w:rsidRPr="005B78F4">
              <w:tab/>
            </w:r>
            <w:r w:rsidRPr="005B78F4">
              <w:rPr>
                <w:rStyle w:val="BoldandItalics"/>
              </w:rPr>
              <w:t>Safety</w:t>
            </w:r>
            <w:r w:rsidRPr="005B78F4">
              <w:t xml:space="preserve"> (</w:t>
            </w:r>
            <w:r w:rsidRPr="005B78F4">
              <w:rPr>
                <w:rStyle w:val="BoldandItalics"/>
              </w:rPr>
              <w:t>OHS</w:t>
            </w:r>
            <w:r w:rsidRPr="005B78F4">
              <w:t xml:space="preserve">) requirements are in accordance with application tasks and workplace operations recognised and adhered to. </w:t>
            </w:r>
          </w:p>
          <w:p w:rsidR="00000000" w:rsidRPr="005B78F4" w:rsidP="005B78F4">
            <w:pPr>
              <w:pStyle w:val="List2"/>
            </w:pPr>
            <w:r w:rsidRPr="005B78F4">
              <w:t>1.3.</w:t>
            </w:r>
            <w:r w:rsidRPr="005B78F4">
              <w:tab/>
            </w:r>
            <w:r w:rsidRPr="005B78F4">
              <w:rPr>
                <w:rStyle w:val="BoldandItalics"/>
              </w:rPr>
              <w:t>Job requireme</w:t>
            </w:r>
            <w:r w:rsidRPr="005B78F4">
              <w:rPr>
                <w:rStyle w:val="BoldandItalics"/>
              </w:rPr>
              <w:t>nts</w:t>
            </w:r>
            <w:r w:rsidRPr="005B78F4">
              <w:t xml:space="preserve"> are identified from drawings, specifications, instructions and client briefs. </w:t>
            </w:r>
          </w:p>
          <w:p w:rsidR="00000000" w:rsidRPr="005B78F4" w:rsidP="005B78F4">
            <w:pPr>
              <w:pStyle w:val="List2"/>
            </w:pPr>
            <w:r w:rsidRPr="005B78F4">
              <w:t>1.4.</w:t>
            </w:r>
            <w:r w:rsidRPr="005B78F4">
              <w:tab/>
              <w:t>Specifications, drawings and instructions interpreted and job requirements and sequence, determined.</w:t>
            </w:r>
          </w:p>
          <w:p w:rsidR="00000000" w:rsidRPr="005B78F4" w:rsidP="005B78F4">
            <w:pPr>
              <w:pStyle w:val="List2"/>
            </w:pPr>
            <w:r w:rsidRPr="005B78F4">
              <w:t>1.5.</w:t>
            </w:r>
            <w:r w:rsidRPr="005B78F4">
              <w:tab/>
            </w:r>
            <w:r w:rsidRPr="005B78F4">
              <w:rPr>
                <w:rStyle w:val="BoldandItalics"/>
              </w:rPr>
              <w:t>Tools and equipment</w:t>
            </w:r>
            <w:r w:rsidRPr="005B78F4">
              <w:t xml:space="preserve"> and materials are selected to carry out ta</w:t>
            </w:r>
            <w:r w:rsidRPr="005B78F4">
              <w:t xml:space="preserve">sks consistent with job requirements. </w:t>
            </w:r>
          </w:p>
          <w:p w:rsidR="00000000" w:rsidRPr="005B78F4" w:rsidP="005B78F4">
            <w:pPr>
              <w:pStyle w:val="List2"/>
            </w:pPr>
            <w:r w:rsidRPr="005B78F4">
              <w:t>1.6.</w:t>
            </w:r>
            <w:r w:rsidRPr="005B78F4">
              <w:tab/>
            </w:r>
            <w:r w:rsidRPr="005B78F4">
              <w:rPr>
                <w:rStyle w:val="BoldandItalics"/>
              </w:rPr>
              <w:t>Substrates</w:t>
            </w:r>
            <w:r w:rsidRPr="005B78F4">
              <w:t xml:space="preserve"> are identified and prepared in accordance with planned material application. </w:t>
            </w:r>
          </w:p>
          <w:p w:rsidR="00000000" w:rsidP="005B78F4">
            <w:pPr>
              <w:pStyle w:val="List2"/>
              <w:rPr>
                <w:lang w:val="en-NZ"/>
              </w:rPr>
            </w:pPr>
            <w:r w:rsidRPr="005B78F4">
              <w:t>1.7.</w:t>
            </w:r>
            <w:r w:rsidRPr="005B78F4">
              <w:tab/>
              <w:t>Material safety data sheets (MSDS) are referred to as required.</w:t>
            </w:r>
          </w:p>
        </w:tc>
      </w:tr>
      <w:tr w:rsidTr="00A6263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B78F4">
            <w:pPr>
              <w:pStyle w:val="List"/>
              <w:rPr>
                <w:lang w:val="en-NZ"/>
              </w:rPr>
            </w:pPr>
            <w:r w:rsidRPr="005B78F4">
              <w:t>2.</w:t>
            </w:r>
            <w:r w:rsidRPr="005B78F4">
              <w:tab/>
            </w:r>
            <w:r w:rsidRPr="005B78F4">
              <w:t>Assess substrate and material to be fastened or fixed and apply fasteners and fixings.</w:t>
            </w:r>
          </w:p>
        </w:tc>
        <w:tc>
          <w:tcPr>
            <w:tcW w:w="5955" w:type="dxa"/>
            <w:tcBorders>
              <w:top w:val="nil"/>
              <w:left w:val="nil"/>
              <w:bottom w:val="nil"/>
              <w:right w:val="nil"/>
            </w:tcBorders>
            <w:tcMar>
              <w:top w:w="0" w:type="dxa"/>
              <w:left w:w="62" w:type="dxa"/>
              <w:bottom w:w="0" w:type="dxa"/>
              <w:right w:w="62" w:type="dxa"/>
            </w:tcMar>
          </w:tcPr>
          <w:p w:rsidR="00000000" w:rsidRPr="005B78F4" w:rsidP="005B78F4">
            <w:pPr>
              <w:pStyle w:val="List2"/>
            </w:pPr>
            <w:r w:rsidRPr="005B78F4">
              <w:t>2.1.</w:t>
            </w:r>
            <w:r w:rsidRPr="005B78F4">
              <w:tab/>
              <w:t>Substrate is assessed for its compatibility with fasteners and fixings proposed to fix sign.</w:t>
            </w:r>
          </w:p>
          <w:p w:rsidR="00000000" w:rsidRPr="005B78F4" w:rsidP="005B78F4">
            <w:pPr>
              <w:pStyle w:val="List2"/>
            </w:pPr>
            <w:r w:rsidRPr="005B78F4">
              <w:t>2.2.</w:t>
            </w:r>
            <w:r w:rsidRPr="005B78F4">
              <w:tab/>
              <w:t>Material is assessed for its compatibility with proposed fasteners</w:t>
            </w:r>
            <w:r w:rsidRPr="005B78F4">
              <w:t xml:space="preserve"> and fixings to be used.</w:t>
            </w:r>
          </w:p>
          <w:p w:rsidR="00000000" w:rsidRPr="005B78F4" w:rsidP="005B78F4">
            <w:pPr>
              <w:pStyle w:val="List2"/>
            </w:pPr>
            <w:r w:rsidRPr="005B78F4">
              <w:t>2.3.</w:t>
            </w:r>
            <w:r w:rsidRPr="005B78F4">
              <w:tab/>
              <w:t>Purpose of materials to be fastened or fixed is identified and assessed for tolerances.</w:t>
            </w:r>
          </w:p>
          <w:p w:rsidR="00000000" w:rsidP="005B78F4">
            <w:pPr>
              <w:pStyle w:val="List2"/>
              <w:rPr>
                <w:lang w:val="en-NZ"/>
              </w:rPr>
            </w:pPr>
            <w:r w:rsidRPr="005B78F4">
              <w:t>2.4.</w:t>
            </w:r>
            <w:r w:rsidRPr="005B78F4">
              <w:tab/>
            </w:r>
            <w:r w:rsidRPr="005B78F4">
              <w:rPr>
                <w:rStyle w:val="BoldandItalics"/>
              </w:rPr>
              <w:t>Fasteners and fixings</w:t>
            </w:r>
            <w:r w:rsidRPr="005B78F4">
              <w:t xml:space="preserve"> are applied according to manufacturer specifications. </w:t>
            </w:r>
          </w:p>
        </w:tc>
      </w:tr>
      <w:tr w:rsidTr="00A6263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B78F4">
            <w:pPr>
              <w:pStyle w:val="List"/>
              <w:rPr>
                <w:lang w:val="en-NZ"/>
              </w:rPr>
            </w:pPr>
            <w:r w:rsidRPr="005B78F4">
              <w:t>3.</w:t>
            </w:r>
            <w:r w:rsidRPr="005B78F4">
              <w:tab/>
              <w:t>Clean up finished sign.</w:t>
            </w:r>
          </w:p>
        </w:tc>
        <w:tc>
          <w:tcPr>
            <w:tcW w:w="5955" w:type="dxa"/>
            <w:tcBorders>
              <w:top w:val="nil"/>
              <w:left w:val="nil"/>
              <w:bottom w:val="nil"/>
              <w:right w:val="nil"/>
            </w:tcBorders>
            <w:tcMar>
              <w:top w:w="0" w:type="dxa"/>
              <w:left w:w="62" w:type="dxa"/>
              <w:bottom w:w="0" w:type="dxa"/>
              <w:right w:w="62" w:type="dxa"/>
            </w:tcMar>
          </w:tcPr>
          <w:p w:rsidR="00000000" w:rsidRPr="005B78F4" w:rsidP="005B78F4">
            <w:pPr>
              <w:pStyle w:val="List2"/>
            </w:pPr>
            <w:r w:rsidRPr="005B78F4">
              <w:t>3.1.</w:t>
            </w:r>
            <w:r w:rsidRPr="005B78F4">
              <w:tab/>
              <w:t>Sign and surrounding su</w:t>
            </w:r>
            <w:r w:rsidRPr="005B78F4">
              <w:t xml:space="preserve">rface environment/area are cleaned and waste materials are removed in accordance with </w:t>
            </w:r>
            <w:r w:rsidRPr="005B78F4">
              <w:rPr>
                <w:rStyle w:val="BoldandItalics"/>
              </w:rPr>
              <w:t>statutory and regulatory authority requirements</w:t>
            </w:r>
            <w:r w:rsidRPr="005B78F4">
              <w:t xml:space="preserve">. </w:t>
            </w:r>
          </w:p>
          <w:p w:rsidR="00000000" w:rsidRPr="005B78F4" w:rsidP="005B78F4">
            <w:pPr>
              <w:pStyle w:val="List2"/>
            </w:pPr>
            <w:r w:rsidRPr="005B78F4">
              <w:t>3.2.</w:t>
            </w:r>
            <w:r w:rsidRPr="005B78F4">
              <w:tab/>
              <w:t>Tools and equipment, including personal protective equipment, are cleaned, maintained and stored.</w:t>
            </w:r>
          </w:p>
        </w:tc>
      </w:tr>
    </w:tbl>
    <w:p w:rsidR="00A6263F" w:rsidP="005B78F4">
      <w:pPr>
        <w:pStyle w:val="BodyText"/>
      </w:pPr>
    </w:p>
    <w:p w:rsidR="00A6263F" w:rsidP="005B78F4">
      <w:pPr>
        <w:pStyle w:val="BodyText"/>
      </w:pPr>
    </w:p>
    <w:p w:rsidR="00000000" w:rsidRPr="005B78F4" w:rsidP="005B78F4">
      <w:pPr>
        <w:pStyle w:val="Heading1"/>
      </w:pPr>
      <w:bookmarkStart w:id="9" w:name="O_258350"/>
      <w:bookmarkEnd w:id="9"/>
      <w:r w:rsidRPr="005B78F4">
        <w:t>Required Skills and Knowledge</w:t>
      </w:r>
    </w:p>
    <w:tbl>
      <w:tblPr>
        <w:tblW w:w="0" w:type="auto"/>
        <w:tblLayout w:type="fixed"/>
        <w:tblCellMar>
          <w:left w:w="62" w:type="dxa"/>
          <w:right w:w="62" w:type="dxa"/>
        </w:tblCellMar>
        <w:tblLook w:val="0000"/>
      </w:tblPr>
      <w:tblGrid>
        <w:gridCol w:w="8522"/>
      </w:tblGrid>
      <w:tr w:rsidTr="00A6263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REQUIRED SKILLS AND KNOWLEDGE</w:t>
            </w:r>
          </w:p>
        </w:tc>
      </w:tr>
      <w:tr w:rsidTr="00A626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t>This section describes the skills and knowledge required for this unit.</w:t>
            </w:r>
          </w:p>
        </w:tc>
      </w:tr>
      <w:tr w:rsidTr="00A626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Required skills</w:t>
            </w:r>
          </w:p>
        </w:tc>
      </w:tr>
      <w:tr w:rsidTr="00A626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78F4" w:rsidP="005B78F4">
            <w:pPr>
              <w:pStyle w:val="BodyText"/>
            </w:pPr>
            <w:r w:rsidRPr="005B78F4">
              <w:t>Required skills for this unit are:</w:t>
            </w:r>
          </w:p>
          <w:p w:rsidR="00000000" w:rsidRPr="005B78F4" w:rsidP="005B78F4">
            <w:pPr>
              <w:pStyle w:val="ListBullet"/>
            </w:pPr>
            <w:r w:rsidRPr="005B78F4">
              <w:t>ability to correctly access and use substrate and materials</w:t>
            </w:r>
          </w:p>
          <w:p w:rsidR="00000000" w:rsidRPr="005B78F4" w:rsidP="005B78F4">
            <w:pPr>
              <w:pStyle w:val="ListBullet"/>
            </w:pPr>
            <w:r w:rsidRPr="005B78F4">
              <w:t>ability to recognise procedures, respond to change and contribute to workplace responsibilities, such as current work site environmental and sustainability frameworks or management systems</w:t>
            </w:r>
          </w:p>
          <w:p w:rsidR="00000000" w:rsidRPr="005B78F4" w:rsidP="005B78F4">
            <w:pPr>
              <w:pStyle w:val="ListBullet"/>
            </w:pPr>
            <w:r w:rsidRPr="005B78F4">
              <w:t>ability</w:t>
            </w:r>
            <w:r w:rsidRPr="005B78F4">
              <w:t xml:space="preserve"> to transfer measurements accurately from drawings to surfaces</w:t>
            </w:r>
          </w:p>
          <w:p w:rsidR="00000000" w:rsidRPr="005B78F4" w:rsidP="005B78F4">
            <w:pPr>
              <w:pStyle w:val="ListBullet"/>
            </w:pPr>
            <w:r w:rsidRPr="005B78F4">
              <w:t>communication skills to:</w:t>
            </w:r>
          </w:p>
          <w:p w:rsidR="00000000" w:rsidRPr="005B78F4" w:rsidP="005B78F4">
            <w:pPr>
              <w:pStyle w:val="ListBullet2"/>
            </w:pPr>
            <w:r w:rsidRPr="005B78F4">
              <w:t>determine requirements</w:t>
            </w:r>
          </w:p>
          <w:p w:rsidR="00000000" w:rsidRPr="005B78F4" w:rsidP="005B78F4">
            <w:pPr>
              <w:pStyle w:val="ListBullet2"/>
            </w:pPr>
            <w:r w:rsidRPr="005B78F4">
              <w:t>enable clear and direct communication, using questioning to identify and confirm requirements, share information, listen and understand</w:t>
            </w:r>
          </w:p>
          <w:p w:rsidR="00000000" w:rsidRPr="005B78F4" w:rsidP="005B78F4">
            <w:pPr>
              <w:pStyle w:val="ListBullet2"/>
            </w:pPr>
            <w:r w:rsidRPr="005B78F4">
              <w:t>follow instructions</w:t>
            </w:r>
          </w:p>
          <w:p w:rsidR="00000000" w:rsidRPr="005B78F4" w:rsidP="005B78F4">
            <w:pPr>
              <w:pStyle w:val="ListBullet2"/>
            </w:pPr>
            <w:r w:rsidRPr="005B78F4">
              <w:t>read and interpret drawings, specifications and documentation from a variety of sources</w:t>
            </w:r>
          </w:p>
          <w:p w:rsidR="00000000" w:rsidRPr="005B78F4" w:rsidP="005B78F4">
            <w:pPr>
              <w:pStyle w:val="ListBullet2"/>
            </w:pPr>
            <w:r w:rsidRPr="005B78F4">
              <w:t>report faults</w:t>
            </w:r>
          </w:p>
          <w:p w:rsidR="00000000" w:rsidRPr="005B78F4" w:rsidP="005B78F4">
            <w:pPr>
              <w:pStyle w:val="ListBullet2"/>
            </w:pPr>
            <w:r w:rsidRPr="005B78F4">
              <w:t>use and interpret non-verbal communication</w:t>
            </w:r>
          </w:p>
          <w:p w:rsidR="00000000" w:rsidRPr="005B78F4" w:rsidP="005B78F4">
            <w:pPr>
              <w:pStyle w:val="ListBullet2"/>
            </w:pPr>
            <w:r w:rsidRPr="005B78F4">
              <w:t>use language and concepts appropriate to cultural differences</w:t>
            </w:r>
          </w:p>
          <w:p w:rsidR="00000000" w:rsidRPr="005B78F4" w:rsidP="005B78F4">
            <w:pPr>
              <w:pStyle w:val="ListBullet"/>
            </w:pPr>
            <w:r w:rsidRPr="005B78F4">
              <w:t xml:space="preserve">innovation skills to select </w:t>
            </w:r>
            <w:r w:rsidRPr="005B78F4">
              <w:t>appropriate tools and equipment, respond to workplace challenges and put ideas into action</w:t>
            </w:r>
          </w:p>
          <w:p w:rsidR="00000000" w:rsidRPr="005B78F4" w:rsidP="005B78F4">
            <w:pPr>
              <w:pStyle w:val="ListBullet"/>
            </w:pPr>
            <w:r w:rsidRPr="005B78F4">
              <w:t>organisational skills, including the ability to plan and set out work</w:t>
            </w:r>
          </w:p>
          <w:p w:rsidR="00000000" w:rsidRPr="005B78F4" w:rsidP="005B78F4">
            <w:pPr>
              <w:pStyle w:val="ListBullet"/>
            </w:pPr>
            <w:r w:rsidRPr="005B78F4">
              <w:t>problem solving skills to recognise, and take action to rectify, minor faults and problems</w:t>
            </w:r>
          </w:p>
          <w:p w:rsidR="00000000" w:rsidP="005B78F4">
            <w:pPr>
              <w:pStyle w:val="ListBullet"/>
              <w:rPr>
                <w:lang w:val="en-NZ"/>
              </w:rPr>
            </w:pPr>
            <w:r w:rsidRPr="005B78F4">
              <w:t>team</w:t>
            </w:r>
            <w:r w:rsidRPr="005B78F4">
              <w:t>work skills to be able to coordinate with others, action tasks and relate to people from a range of social, cultural, ethnic backgrounds and with varying physical and mental abilities.</w:t>
            </w:r>
          </w:p>
        </w:tc>
      </w:tr>
      <w:tr w:rsidTr="00A626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Required knowledge</w:t>
            </w:r>
          </w:p>
        </w:tc>
      </w:tr>
      <w:tr w:rsidTr="00A626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78F4" w:rsidP="005B78F4">
            <w:pPr>
              <w:pStyle w:val="BodyText"/>
            </w:pPr>
            <w:r w:rsidRPr="005B78F4">
              <w:t>Required knowledge for this unit is:</w:t>
            </w:r>
          </w:p>
          <w:p w:rsidR="00000000" w:rsidRPr="005B78F4" w:rsidP="005B78F4">
            <w:pPr>
              <w:pStyle w:val="ListBullet"/>
            </w:pPr>
            <w:r w:rsidRPr="005B78F4">
              <w:t xml:space="preserve">job safety analysis (JSA) and safe work method statements </w:t>
            </w:r>
          </w:p>
          <w:p w:rsidR="00000000" w:rsidRPr="005B78F4" w:rsidP="005B78F4">
            <w:pPr>
              <w:pStyle w:val="ListBullet"/>
            </w:pPr>
            <w:r w:rsidRPr="005B78F4">
              <w:t>bonding ability of mechanical and chemical fasteners and fixings</w:t>
            </w:r>
          </w:p>
          <w:p w:rsidR="00000000" w:rsidRPr="005B78F4" w:rsidP="005B78F4">
            <w:pPr>
              <w:pStyle w:val="ListBullet"/>
            </w:pPr>
            <w:r w:rsidRPr="005B78F4">
              <w:t>effect of mechanical and chemical products on substrates</w:t>
            </w:r>
          </w:p>
          <w:p w:rsidR="00000000" w:rsidRPr="005B78F4" w:rsidP="005B78F4">
            <w:pPr>
              <w:pStyle w:val="ListBullet"/>
            </w:pPr>
            <w:r w:rsidRPr="005B78F4">
              <w:t>load bearing specifications for a range of fastener and fixing measurements</w:t>
            </w:r>
            <w:r w:rsidRPr="005B78F4">
              <w:t xml:space="preserve"> and calculations related to material quantities</w:t>
            </w:r>
          </w:p>
          <w:p w:rsidR="00000000" w:rsidRPr="005B78F4" w:rsidP="005B78F4">
            <w:pPr>
              <w:pStyle w:val="ListBullet"/>
            </w:pPr>
            <w:r w:rsidRPr="005B78F4">
              <w:t>MSDS</w:t>
            </w:r>
          </w:p>
          <w:p w:rsidR="00000000" w:rsidRPr="005B78F4" w:rsidP="005B78F4">
            <w:pPr>
              <w:pStyle w:val="ListBullet"/>
            </w:pPr>
            <w:r w:rsidRPr="005B78F4">
              <w:t>relevant Australian and New Zealand standards, and:</w:t>
            </w:r>
          </w:p>
          <w:p w:rsidR="00000000" w:rsidRPr="005B78F4" w:rsidP="005B78F4">
            <w:pPr>
              <w:pStyle w:val="ListBullet2"/>
            </w:pPr>
            <w:r w:rsidRPr="005B78F4">
              <w:t>manufacturer specifications</w:t>
            </w:r>
          </w:p>
          <w:p w:rsidR="00000000" w:rsidRPr="005B78F4" w:rsidP="005B78F4">
            <w:pPr>
              <w:pStyle w:val="ListBullet2"/>
            </w:pPr>
            <w:r w:rsidRPr="005B78F4">
              <w:t>OHS requirements</w:t>
            </w:r>
          </w:p>
          <w:p w:rsidR="00000000" w:rsidRPr="005B78F4" w:rsidP="005B78F4">
            <w:pPr>
              <w:pStyle w:val="ListBullet2"/>
            </w:pPr>
            <w:r w:rsidRPr="005B78F4">
              <w:t>other applicable codes or standard operating procedures relevant to the sector</w:t>
            </w:r>
          </w:p>
          <w:p w:rsidR="00000000" w:rsidRPr="005B78F4" w:rsidP="005B78F4">
            <w:pPr>
              <w:pStyle w:val="ListBullet"/>
            </w:pPr>
            <w:r w:rsidRPr="005B78F4">
              <w:t>statutory and regulatory authority requirements, particularly those relating to:</w:t>
            </w:r>
          </w:p>
          <w:p w:rsidR="00000000" w:rsidRPr="005B78F4" w:rsidP="005B78F4">
            <w:pPr>
              <w:pStyle w:val="ListBullet2"/>
            </w:pPr>
            <w:r w:rsidRPr="005B78F4">
              <w:t>removal of waste products</w:t>
            </w:r>
          </w:p>
          <w:p w:rsidR="00000000" w:rsidRPr="005B78F4" w:rsidP="005B78F4">
            <w:pPr>
              <w:pStyle w:val="ListBullet2"/>
            </w:pPr>
            <w:r w:rsidRPr="005B78F4">
              <w:t>storage of chemicals and materials</w:t>
            </w:r>
          </w:p>
          <w:p w:rsidR="00000000" w:rsidRPr="005B78F4" w:rsidP="005B78F4">
            <w:pPr>
              <w:pStyle w:val="ListBullet"/>
            </w:pPr>
            <w:r w:rsidRPr="005B78F4">
              <w:t>types and uses of tools and equipment relevant to fasteners and fixings.</w:t>
            </w:r>
          </w:p>
        </w:tc>
      </w:tr>
    </w:tbl>
    <w:p w:rsidR="00A6263F" w:rsidP="005B78F4">
      <w:pPr>
        <w:pStyle w:val="BodyText"/>
      </w:pPr>
    </w:p>
    <w:p w:rsidR="00A6263F" w:rsidP="005B78F4">
      <w:pPr>
        <w:pStyle w:val="BodyText"/>
      </w:pPr>
    </w:p>
    <w:p w:rsidR="00000000" w:rsidRPr="005B78F4" w:rsidP="005B78F4">
      <w:pPr>
        <w:pStyle w:val="AllowPageBreak"/>
      </w:pPr>
    </w:p>
    <w:p w:rsidR="00000000" w:rsidRPr="005B78F4" w:rsidP="005B78F4">
      <w:pPr>
        <w:pStyle w:val="Heading1"/>
      </w:pPr>
      <w:bookmarkStart w:id="10" w:name="O_242384"/>
      <w:bookmarkEnd w:id="10"/>
      <w:r w:rsidRPr="005B78F4">
        <w:t>Evidence Guide</w:t>
      </w:r>
    </w:p>
    <w:tbl>
      <w:tblPr>
        <w:tblW w:w="0" w:type="auto"/>
        <w:tblLayout w:type="fixed"/>
        <w:tblCellMar>
          <w:left w:w="62" w:type="dxa"/>
          <w:right w:w="62" w:type="dxa"/>
        </w:tblCellMar>
        <w:tblLook w:val="0000"/>
      </w:tblPr>
      <w:tblGrid>
        <w:gridCol w:w="3513"/>
        <w:gridCol w:w="5009"/>
      </w:tblGrid>
      <w:tr w:rsidTr="00A6263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B78F4">
            <w:pPr>
              <w:pStyle w:val="BodyText"/>
              <w:rPr>
                <w:lang w:val="en-NZ"/>
              </w:rPr>
            </w:pPr>
            <w:r w:rsidRPr="005B78F4">
              <w:rPr>
                <w:rStyle w:val="SpecialBold"/>
              </w:rPr>
              <w:t>EVIDENCE GUIDE</w:t>
            </w:r>
          </w:p>
        </w:tc>
      </w:tr>
      <w:tr w:rsidTr="00A6263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B78F4">
            <w:pPr>
              <w:pStyle w:val="BodyText"/>
              <w:rPr>
                <w:lang w:val="en-NZ"/>
              </w:rPr>
            </w:pPr>
            <w:r w:rsidRPr="005B78F4">
              <w:t>The evidence guide provides advice on assessment and must be read in conjunction with the performance criteria, required skills and knowledge, range statement and the Assessment Guidelines for the Training Package.</w:t>
            </w:r>
          </w:p>
        </w:tc>
      </w:tr>
      <w:tr w:rsidTr="00A6263F">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t>This unit of competency could be assessed in the workplace or a close simulation of the workplace environment, provided that simulated or project-based assessment techniques fully replicate construction workplace conditions, material</w:t>
            </w:r>
            <w:r w:rsidRPr="005B78F4">
              <w:t xml:space="preserve">s, activities, responsibilities and procedures. </w:t>
            </w:r>
          </w:p>
        </w:tc>
      </w:tr>
      <w:tr w:rsidTr="00A6263F">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5B78F4" w:rsidP="005B78F4">
            <w:pPr>
              <w:pStyle w:val="BodyText"/>
            </w:pPr>
            <w:r w:rsidRPr="005B78F4">
              <w:t>A person who demonstrates competency in this unit must be able to provide evidence of:</w:t>
            </w:r>
          </w:p>
          <w:p w:rsidR="00000000" w:rsidRPr="005B78F4" w:rsidP="005B78F4">
            <w:pPr>
              <w:pStyle w:val="ListBullet"/>
            </w:pPr>
            <w:r w:rsidRPr="005B78F4">
              <w:t>recognising the correct f</w:t>
            </w:r>
            <w:r w:rsidRPr="005B78F4">
              <w:t>astening and fixing method for particular substrates</w:t>
            </w:r>
          </w:p>
          <w:p w:rsidR="00000000" w:rsidP="005B78F4">
            <w:pPr>
              <w:pStyle w:val="ListBullet"/>
              <w:rPr>
                <w:lang w:val="en-NZ"/>
              </w:rPr>
            </w:pPr>
            <w:r w:rsidRPr="005B78F4">
              <w:t>using the appropriate fastener or fixing for safe and secure fastening.</w:t>
            </w:r>
          </w:p>
        </w:tc>
      </w:tr>
      <w:tr w:rsidTr="00A6263F">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5B78F4" w:rsidP="005B78F4">
            <w:pPr>
              <w:pStyle w:val="BodyText"/>
            </w:pPr>
            <w:r w:rsidRPr="005B78F4">
              <w:t>This comp</w:t>
            </w:r>
            <w:r w:rsidRPr="005B78F4">
              <w:t>etency is to be assessed using standard and authorised work practices, safety requirements and environmental constraints.</w:t>
            </w:r>
          </w:p>
          <w:p w:rsidR="00000000" w:rsidRPr="005B78F4" w:rsidP="005B78F4">
            <w:pPr>
              <w:pStyle w:val="BodyText"/>
            </w:pPr>
            <w:r w:rsidRPr="005B78F4">
              <w:t>Assessment of essential underpinning knowledge will usually be conducted in an off-site context.</w:t>
            </w:r>
          </w:p>
          <w:p w:rsidR="00000000" w:rsidRPr="005B78F4" w:rsidP="005B78F4">
            <w:pPr>
              <w:pStyle w:val="BodyText"/>
            </w:pPr>
            <w:r w:rsidRPr="005B78F4">
              <w:t>Assessment is to comply with relevant</w:t>
            </w:r>
            <w:r w:rsidRPr="005B78F4">
              <w:t xml:space="preserve"> regulatory or Australian standards' requirements.</w:t>
            </w:r>
          </w:p>
          <w:p w:rsidR="00000000" w:rsidRPr="005B78F4" w:rsidP="005B78F4">
            <w:pPr>
              <w:pStyle w:val="BodyText"/>
            </w:pPr>
            <w:r w:rsidRPr="005B78F4">
              <w:t>Resource implications for assessment include:</w:t>
            </w:r>
          </w:p>
          <w:p w:rsidR="00000000" w:rsidRPr="005B78F4" w:rsidP="005B78F4">
            <w:pPr>
              <w:pStyle w:val="ListBullet"/>
            </w:pPr>
            <w:r w:rsidRPr="005B78F4">
              <w:t>an induction procedure and requirement</w:t>
            </w:r>
          </w:p>
          <w:p w:rsidR="00000000" w:rsidRPr="005B78F4" w:rsidP="005B78F4">
            <w:pPr>
              <w:pStyle w:val="ListBullet"/>
            </w:pPr>
            <w:r w:rsidRPr="005B78F4">
              <w:t>realistic tasks or simulated tasks covering the mandatory task requirements</w:t>
            </w:r>
          </w:p>
          <w:p w:rsidR="00000000" w:rsidRPr="005B78F4" w:rsidP="005B78F4">
            <w:pPr>
              <w:pStyle w:val="ListBullet"/>
            </w:pPr>
            <w:r w:rsidRPr="005B78F4">
              <w:t>relevant specifications and work instructio</w:t>
            </w:r>
            <w:r w:rsidRPr="005B78F4">
              <w:t>ns</w:t>
            </w:r>
          </w:p>
          <w:p w:rsidR="00000000" w:rsidRPr="005B78F4" w:rsidP="005B78F4">
            <w:pPr>
              <w:pStyle w:val="ListBullet"/>
            </w:pPr>
            <w:r w:rsidRPr="005B78F4">
              <w:t>tools and equipment appropriate to apply fasteners and fixings</w:t>
            </w:r>
          </w:p>
          <w:p w:rsidR="00000000" w:rsidRPr="005B78F4" w:rsidP="005B78F4">
            <w:pPr>
              <w:pStyle w:val="ListBullet"/>
            </w:pPr>
            <w:r w:rsidRPr="005B78F4">
              <w:t>support materials appropriate to activity</w:t>
            </w:r>
          </w:p>
          <w:p w:rsidR="00000000" w:rsidRPr="005B78F4" w:rsidP="005B78F4">
            <w:pPr>
              <w:pStyle w:val="ListBullet"/>
            </w:pPr>
            <w:r w:rsidRPr="005B78F4">
              <w:t>workplace instructions relating to applying fasteners and fixings</w:t>
            </w:r>
          </w:p>
          <w:p w:rsidR="00000000" w:rsidRPr="005B78F4" w:rsidP="005B78F4">
            <w:pPr>
              <w:pStyle w:val="ListBullet"/>
            </w:pPr>
            <w:r w:rsidRPr="005B78F4">
              <w:t>material safety data sheets</w:t>
            </w:r>
          </w:p>
          <w:p w:rsidR="00000000" w:rsidRPr="005B78F4" w:rsidP="005B78F4">
            <w:pPr>
              <w:pStyle w:val="ListBullet"/>
            </w:pPr>
            <w:r w:rsidRPr="005B78F4">
              <w:t>research resources, including industry-related systems</w:t>
            </w:r>
            <w:r w:rsidRPr="005B78F4">
              <w:t xml:space="preserve"> information.</w:t>
            </w:r>
          </w:p>
          <w:p w:rsidR="00000000" w:rsidP="005B78F4">
            <w:pPr>
              <w:pStyle w:val="BodyText"/>
              <w:rPr>
                <w:lang w:val="en-NZ"/>
              </w:rPr>
            </w:pPr>
            <w:r w:rsidRPr="005B78F4">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A6263F">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5B78F4" w:rsidP="005B78F4">
            <w:pPr>
              <w:pStyle w:val="BodyText"/>
            </w:pPr>
            <w:r w:rsidRPr="005B78F4">
              <w:t>Assessment methods must:</w:t>
            </w:r>
          </w:p>
          <w:p w:rsidR="00000000" w:rsidRPr="005B78F4" w:rsidP="005B78F4">
            <w:pPr>
              <w:pStyle w:val="ListBullet"/>
            </w:pPr>
            <w:r w:rsidRPr="005B78F4">
              <w:t>satisfy the endorsed Assessment Guidelines of the Construction, Plumbing and Services Training Package</w:t>
            </w:r>
          </w:p>
          <w:p w:rsidR="00000000" w:rsidRPr="005B78F4" w:rsidP="005B78F4">
            <w:pPr>
              <w:pStyle w:val="ListBullet"/>
            </w:pPr>
            <w:r w:rsidRPr="005B78F4">
              <w:t>include direct observation of tasks in real or simulated work c</w:t>
            </w:r>
            <w:r w:rsidRPr="005B78F4">
              <w:t>onditions, with questioning to confirm the ability to consistently identify and correctly interpret the essential underpinning knowledge required for practical application</w:t>
            </w:r>
          </w:p>
          <w:p w:rsidR="00000000" w:rsidRPr="005B78F4" w:rsidP="005B78F4">
            <w:pPr>
              <w:pStyle w:val="ListBullet"/>
            </w:pPr>
            <w:r w:rsidRPr="005B78F4">
              <w:t>reinforce the integration of employability skills with workplace tasks and job roles</w:t>
            </w:r>
          </w:p>
          <w:p w:rsidR="00000000" w:rsidRPr="005B78F4" w:rsidP="005B78F4">
            <w:pPr>
              <w:pStyle w:val="ListBullet"/>
            </w:pPr>
            <w:r w:rsidRPr="005B78F4">
              <w:t>confirm that competency is verified and able to be transferred to other circumstances and environments.</w:t>
            </w:r>
          </w:p>
          <w:p w:rsidR="00000000" w:rsidRPr="005B78F4" w:rsidP="005B78F4">
            <w:pPr>
              <w:pStyle w:val="BodyText"/>
            </w:pPr>
            <w:r w:rsidRPr="005B78F4">
              <w:t>Validity and sufficiency of evidence requires that:</w:t>
            </w:r>
          </w:p>
          <w:p w:rsidR="00000000" w:rsidRPr="005B78F4" w:rsidP="005B78F4">
            <w:pPr>
              <w:pStyle w:val="ListBullet"/>
            </w:pPr>
            <w:r w:rsidRPr="005B78F4">
              <w:t>competency will need to be demonstrated over a period of time reflecting the scope of the role and</w:t>
            </w:r>
            <w:r w:rsidRPr="005B78F4">
              <w:t xml:space="preserve"> the practical requirements of the workplace</w:t>
            </w:r>
          </w:p>
          <w:p w:rsidR="00000000" w:rsidRPr="005B78F4" w:rsidP="005B78F4">
            <w:pPr>
              <w:pStyle w:val="ListBullet"/>
            </w:pPr>
            <w:r w:rsidRPr="005B78F4">
              <w:t>where the assessment is part of a structured learning experience the evidence collected must relate to a number of performances assessed at different points in time and separated by further learning and practice</w:t>
            </w:r>
            <w:r w:rsidRPr="005B78F4">
              <w:t>, with a decision on competency only taken at the point when the assessor has complete confidence in the person's demonstrated ability and applied knowledge</w:t>
            </w:r>
          </w:p>
          <w:p w:rsidR="00000000" w:rsidRPr="005B78F4" w:rsidP="005B78F4">
            <w:pPr>
              <w:pStyle w:val="ListBullet"/>
            </w:pPr>
            <w:r w:rsidRPr="005B78F4">
              <w:t>all assessment that is part of a structured learning experience must include a combination of direc</w:t>
            </w:r>
            <w:r w:rsidRPr="005B78F4">
              <w:t>t, indirect and supplementary evidence.</w:t>
            </w:r>
          </w:p>
          <w:p w:rsidR="00000000" w:rsidRPr="005B78F4" w:rsidP="005B78F4">
            <w:pPr>
              <w:pStyle w:val="BodyText"/>
            </w:pPr>
            <w:r w:rsidRPr="005B78F4">
              <w:t>Assessment processes and techniques should as far as is practical take into account the language, literacy and numeracy capacity of the candidate in relation to the competency being assessed.</w:t>
            </w:r>
          </w:p>
          <w:p w:rsidR="00000000" w:rsidRPr="005B78F4" w:rsidP="005B78F4">
            <w:pPr>
              <w:pStyle w:val="BodyText"/>
            </w:pPr>
            <w:r w:rsidRPr="005B78F4">
              <w:t>Supplementary evidence o</w:t>
            </w:r>
            <w:r w:rsidRPr="005B78F4">
              <w:t xml:space="preserve">f competency may be obtained from relevant authenticated documentation from third parties, such as existing supervisors, team leaders or specialist training staff. </w:t>
            </w:r>
          </w:p>
        </w:tc>
      </w:tr>
    </w:tbl>
    <w:p w:rsidR="00A6263F" w:rsidP="005B78F4">
      <w:pPr>
        <w:pStyle w:val="BodyText"/>
      </w:pPr>
    </w:p>
    <w:p w:rsidR="00A6263F" w:rsidP="005B78F4">
      <w:pPr>
        <w:pStyle w:val="BodyText"/>
      </w:pPr>
    </w:p>
    <w:p w:rsidR="00000000" w:rsidRPr="005B78F4" w:rsidP="005B78F4">
      <w:pPr>
        <w:pStyle w:val="Heading1"/>
      </w:pPr>
      <w:bookmarkStart w:id="11" w:name="O_250367"/>
      <w:bookmarkEnd w:id="11"/>
      <w:r w:rsidRPr="005B78F4">
        <w:t>Range Statement</w:t>
      </w:r>
    </w:p>
    <w:tbl>
      <w:tblPr>
        <w:tblW w:w="0" w:type="auto"/>
        <w:tblLayout w:type="fixed"/>
        <w:tblCellMar>
          <w:left w:w="62" w:type="dxa"/>
          <w:right w:w="62" w:type="dxa"/>
        </w:tblCellMar>
        <w:tblLook w:val="0000"/>
      </w:tblPr>
      <w:tblGrid>
        <w:gridCol w:w="3474"/>
        <w:gridCol w:w="5048"/>
      </w:tblGrid>
      <w:tr w:rsidTr="00A6263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B78F4">
            <w:pPr>
              <w:pStyle w:val="BodyText"/>
              <w:rPr>
                <w:lang w:val="en-NZ"/>
              </w:rPr>
            </w:pPr>
            <w:r w:rsidRPr="005B78F4">
              <w:rPr>
                <w:rStyle w:val="SpecialBold"/>
              </w:rPr>
              <w:t>RANGE STATEMENT</w:t>
            </w:r>
          </w:p>
        </w:tc>
      </w:tr>
      <w:tr w:rsidTr="00A6263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B78F4">
            <w:pPr>
              <w:pStyle w:val="BodyText"/>
              <w:rPr>
                <w:lang w:val="en-NZ"/>
              </w:rPr>
            </w:pPr>
            <w:r w:rsidRPr="005B78F4">
              <w:t>The range statement relates to the unit of competency as a whole. It allows for different work environments and situations that may affect performance. Bold italicised wording, if used in the performance criteria, is detailed below. Essential operating con</w:t>
            </w:r>
            <w:r w:rsidRPr="005B78F4">
              <w:t>ditions that may be present with training and assessment (depending on the work situation, needs of the candidate, accessibility of the item, and local industry and regional contexts) may also be included.</w:t>
            </w:r>
          </w:p>
        </w:tc>
      </w:tr>
      <w:tr w:rsidTr="00A6263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5B78F4">
            <w:pPr>
              <w:pStyle w:val="List2"/>
              <w:rPr>
                <w:lang w:val="en-NZ"/>
              </w:rPr>
            </w:pPr>
            <w:r w:rsidRPr="005B78F4">
              <w:t>1.1.</w:t>
            </w:r>
            <w:r w:rsidRPr="005B78F4">
              <w:tab/>
            </w:r>
            <w:r w:rsidRPr="005B78F4">
              <w:rPr>
                <w:rStyle w:val="BoldandItalics"/>
              </w:rPr>
              <w:t>Quality assurance requirements</w:t>
            </w:r>
            <w:r w:rsidRPr="005B78F4">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5B78F4" w:rsidP="005B78F4">
            <w:pPr>
              <w:pStyle w:val="ListBullet"/>
            </w:pPr>
            <w:r w:rsidRPr="005B78F4">
              <w:t>attention to work specifications</w:t>
            </w:r>
          </w:p>
          <w:p w:rsidR="00000000" w:rsidRPr="005B78F4" w:rsidP="005B78F4">
            <w:pPr>
              <w:pStyle w:val="ListBullet"/>
            </w:pPr>
            <w:r w:rsidRPr="005B78F4">
              <w:t>Australian and international standards relevant to the sign industry</w:t>
            </w:r>
          </w:p>
          <w:p w:rsidR="00000000" w:rsidRPr="005B78F4" w:rsidP="005B78F4">
            <w:pPr>
              <w:pStyle w:val="ListBullet"/>
            </w:pPr>
            <w:r w:rsidRPr="005B78F4">
              <w:t>control of handling procedures</w:t>
            </w:r>
          </w:p>
          <w:p w:rsidR="00000000" w:rsidRPr="005B78F4" w:rsidP="005B78F4">
            <w:pPr>
              <w:pStyle w:val="ListBullet"/>
            </w:pPr>
            <w:r w:rsidRPr="005B78F4">
              <w:t>internal company quality assurance policy and risk management strategies</w:t>
            </w:r>
          </w:p>
          <w:p w:rsidR="00000000" w:rsidRPr="005B78F4" w:rsidP="005B78F4">
            <w:pPr>
              <w:pStyle w:val="ListBullet"/>
            </w:pPr>
            <w:r w:rsidRPr="005B78F4">
              <w:t>procedures for installing and finishing</w:t>
            </w:r>
          </w:p>
          <w:p w:rsidR="00000000" w:rsidRPr="005B78F4" w:rsidP="005B78F4">
            <w:pPr>
              <w:pStyle w:val="ListBullet"/>
            </w:pPr>
            <w:r w:rsidRPr="005B78F4">
              <w:t>quality of</w:t>
            </w:r>
            <w:r w:rsidRPr="005B78F4">
              <w:t xml:space="preserve"> materials</w:t>
            </w:r>
          </w:p>
          <w:p w:rsidR="00000000" w:rsidRPr="005B78F4" w:rsidP="005B78F4">
            <w:pPr>
              <w:pStyle w:val="ListBullet"/>
            </w:pPr>
            <w:r w:rsidRPr="005B78F4">
              <w:t>use and maintenance of equipment</w:t>
            </w:r>
          </w:p>
          <w:p w:rsidR="00000000" w:rsidP="005B78F4">
            <w:pPr>
              <w:pStyle w:val="ListBullet"/>
              <w:rPr>
                <w:lang w:val="en-NZ"/>
              </w:rPr>
            </w:pPr>
            <w:r w:rsidRPr="005B78F4">
              <w:t>workplace operations and procedures.</w:t>
            </w:r>
          </w:p>
        </w:tc>
      </w:tr>
      <w:tr w:rsidTr="00A6263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5B78F4">
            <w:pPr>
              <w:pStyle w:val="List2"/>
              <w:rPr>
                <w:lang w:val="en-NZ"/>
              </w:rPr>
            </w:pPr>
            <w:r w:rsidRPr="005B78F4">
              <w:t>1.2.</w:t>
            </w:r>
            <w:r w:rsidRPr="005B78F4">
              <w:tab/>
            </w:r>
            <w:r w:rsidRPr="005B78F4">
              <w:rPr>
                <w:rStyle w:val="BoldandItalics"/>
              </w:rPr>
              <w:t>Safety</w:t>
            </w:r>
            <w:r w:rsidRPr="005B78F4">
              <w:t xml:space="preserve"> (</w:t>
            </w:r>
            <w:r w:rsidRPr="005B78F4">
              <w:rPr>
                <w:rStyle w:val="BoldandItalics"/>
              </w:rPr>
              <w:t>OHS</w:t>
            </w:r>
            <w:r w:rsidRPr="005B78F4">
              <w:t xml:space="preserve">) is to be in accordance with state and territory legislation and regulations and project safety plan and may include: </w:t>
            </w:r>
          </w:p>
        </w:tc>
        <w:tc>
          <w:tcPr>
            <w:tcW w:w="5048" w:type="dxa"/>
            <w:tcBorders>
              <w:top w:val="nil"/>
              <w:left w:val="nil"/>
              <w:bottom w:val="nil"/>
              <w:right w:val="nil"/>
            </w:tcBorders>
            <w:tcMar>
              <w:top w:w="0" w:type="dxa"/>
              <w:left w:w="62" w:type="dxa"/>
              <w:bottom w:w="0" w:type="dxa"/>
              <w:right w:w="62" w:type="dxa"/>
            </w:tcMar>
          </w:tcPr>
          <w:p w:rsidR="00000000" w:rsidRPr="005B78F4" w:rsidP="005B78F4">
            <w:pPr>
              <w:pStyle w:val="ListBullet"/>
            </w:pPr>
            <w:r w:rsidRPr="005B78F4">
              <w:t>emergency procedures, including extinguishing fires, organisational first aid requirements and evacuation</w:t>
            </w:r>
          </w:p>
          <w:p w:rsidR="00000000" w:rsidRPr="005B78F4" w:rsidP="005B78F4">
            <w:pPr>
              <w:pStyle w:val="ListBullet"/>
            </w:pPr>
            <w:r w:rsidRPr="005B78F4">
              <w:t>hazard control</w:t>
            </w:r>
          </w:p>
          <w:p w:rsidR="00000000" w:rsidRPr="005B78F4" w:rsidP="005B78F4">
            <w:pPr>
              <w:pStyle w:val="ListBullet"/>
            </w:pPr>
            <w:r w:rsidRPr="005B78F4">
              <w:t>hazardous materials and substances</w:t>
            </w:r>
          </w:p>
          <w:p w:rsidR="00000000" w:rsidRPr="005B78F4" w:rsidP="005B78F4">
            <w:pPr>
              <w:pStyle w:val="ListBullet"/>
            </w:pPr>
            <w:r w:rsidRPr="005B78F4">
              <w:t>organisational first aid</w:t>
            </w:r>
          </w:p>
          <w:p w:rsidR="00000000" w:rsidRPr="005B78F4" w:rsidP="005B78F4">
            <w:pPr>
              <w:pStyle w:val="ListBullet"/>
            </w:pPr>
            <w:r w:rsidRPr="005B78F4">
              <w:t>PPE prescribed under legislation, regulations and workplace policies and pr</w:t>
            </w:r>
            <w:r w:rsidRPr="005B78F4">
              <w:t>actices</w:t>
            </w:r>
          </w:p>
          <w:p w:rsidR="00000000" w:rsidRPr="005B78F4" w:rsidP="005B78F4">
            <w:pPr>
              <w:pStyle w:val="ListBullet"/>
            </w:pPr>
            <w:r w:rsidRPr="005B78F4">
              <w:t>safe operating procedures, including the conduct of operational risk assessment and treatments associated with:</w:t>
            </w:r>
          </w:p>
          <w:p w:rsidR="00000000" w:rsidRPr="005B78F4" w:rsidP="005B78F4">
            <w:pPr>
              <w:pStyle w:val="ListBullet2"/>
            </w:pPr>
            <w:r w:rsidRPr="005B78F4">
              <w:t>concealed services (water, power and gas)</w:t>
            </w:r>
          </w:p>
          <w:p w:rsidR="00000000" w:rsidRPr="005B78F4" w:rsidP="005B78F4">
            <w:pPr>
              <w:pStyle w:val="ListBullet2"/>
            </w:pPr>
            <w:r w:rsidRPr="005B78F4">
              <w:t>lighting</w:t>
            </w:r>
          </w:p>
          <w:p w:rsidR="00000000" w:rsidRPr="005B78F4" w:rsidP="005B78F4">
            <w:pPr>
              <w:pStyle w:val="ListBullet2"/>
            </w:pPr>
            <w:r w:rsidRPr="005B78F4">
              <w:t>restricted access barriers</w:t>
            </w:r>
          </w:p>
          <w:p w:rsidR="00000000" w:rsidRPr="005B78F4" w:rsidP="005B78F4">
            <w:pPr>
              <w:pStyle w:val="ListBullet2"/>
            </w:pPr>
            <w:r w:rsidRPr="005B78F4">
              <w:t>traffic control</w:t>
            </w:r>
          </w:p>
          <w:p w:rsidR="00000000" w:rsidRPr="005B78F4" w:rsidP="005B78F4">
            <w:pPr>
              <w:pStyle w:val="ListBullet2"/>
            </w:pPr>
            <w:r w:rsidRPr="005B78F4">
              <w:t>work site visitors and the public</w:t>
            </w:r>
          </w:p>
          <w:p w:rsidR="00000000" w:rsidRPr="005B78F4" w:rsidP="005B78F4">
            <w:pPr>
              <w:pStyle w:val="ListBullet2"/>
            </w:pPr>
            <w:r w:rsidRPr="005B78F4">
              <w:t>working in confined spaces</w:t>
            </w:r>
          </w:p>
          <w:p w:rsidR="00000000" w:rsidRPr="005B78F4" w:rsidP="005B78F4">
            <w:pPr>
              <w:pStyle w:val="ListBullet2"/>
            </w:pPr>
            <w:r w:rsidRPr="005B78F4">
              <w:t>working in proximity to others</w:t>
            </w:r>
          </w:p>
          <w:p w:rsidR="00000000" w:rsidRPr="005B78F4" w:rsidP="005B78F4">
            <w:pPr>
              <w:pStyle w:val="ListBullet"/>
            </w:pPr>
            <w:r w:rsidRPr="005B78F4">
              <w:t>use of firefighting equipment</w:t>
            </w:r>
          </w:p>
          <w:p w:rsidR="00000000" w:rsidRPr="005B78F4" w:rsidP="005B78F4">
            <w:pPr>
              <w:pStyle w:val="ListBullet"/>
            </w:pPr>
            <w:r w:rsidRPr="005B78F4">
              <w:t>use of machines</w:t>
            </w:r>
          </w:p>
          <w:p w:rsidR="00000000" w:rsidRPr="005B78F4" w:rsidP="005B78F4">
            <w:pPr>
              <w:pStyle w:val="ListBullet"/>
            </w:pPr>
            <w:r w:rsidRPr="005B78F4">
              <w:t>use of tools and equipment</w:t>
            </w:r>
          </w:p>
          <w:p w:rsidR="00000000" w:rsidP="005B78F4">
            <w:pPr>
              <w:pStyle w:val="ListBullet"/>
              <w:rPr>
                <w:lang w:val="en-NZ"/>
              </w:rPr>
            </w:pPr>
            <w:r w:rsidRPr="005B78F4">
              <w:t>workplace environmental requirements and safety.</w:t>
            </w:r>
          </w:p>
        </w:tc>
      </w:tr>
      <w:tr w:rsidTr="00A6263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5B78F4">
            <w:pPr>
              <w:pStyle w:val="List2"/>
              <w:rPr>
                <w:lang w:val="en-NZ"/>
              </w:rPr>
            </w:pPr>
            <w:r w:rsidRPr="005B78F4">
              <w:t>1.3.</w:t>
            </w:r>
            <w:r w:rsidRPr="005B78F4">
              <w:tab/>
            </w:r>
            <w:r w:rsidRPr="005B78F4">
              <w:rPr>
                <w:rStyle w:val="BoldandItalics"/>
              </w:rPr>
              <w:t>Job requirements</w:t>
            </w:r>
            <w:r w:rsidRPr="005B78F4">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5B78F4" w:rsidP="005B78F4">
            <w:pPr>
              <w:pStyle w:val="ListBullet"/>
            </w:pPr>
            <w:r w:rsidRPr="005B78F4">
              <w:t>assessment of conditions and hazards</w:t>
            </w:r>
          </w:p>
          <w:p w:rsidR="00000000" w:rsidRPr="005B78F4" w:rsidP="005B78F4">
            <w:pPr>
              <w:pStyle w:val="ListBullet"/>
            </w:pPr>
            <w:r w:rsidRPr="005B78F4">
              <w:t>determination of work requirements</w:t>
            </w:r>
          </w:p>
          <w:p w:rsidR="00000000" w:rsidRPr="005B78F4" w:rsidP="005B78F4">
            <w:pPr>
              <w:pStyle w:val="ListBullet"/>
            </w:pPr>
            <w:r w:rsidRPr="005B78F4">
              <w:t>equipment defect identification</w:t>
            </w:r>
          </w:p>
          <w:p w:rsidR="00000000" w:rsidRPr="005B78F4" w:rsidP="005B78F4">
            <w:pPr>
              <w:pStyle w:val="ListBullet"/>
            </w:pPr>
            <w:r w:rsidRPr="005B78F4">
              <w:t>safety plans and policies</w:t>
            </w:r>
          </w:p>
          <w:p w:rsidR="00000000" w:rsidP="005B78F4">
            <w:pPr>
              <w:pStyle w:val="ListBullet"/>
              <w:rPr>
                <w:lang w:val="en-NZ"/>
              </w:rPr>
            </w:pPr>
            <w:r w:rsidRPr="005B78F4">
              <w:t>work site inspection.</w:t>
            </w:r>
          </w:p>
        </w:tc>
      </w:tr>
      <w:tr w:rsidTr="00A6263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5B78F4">
            <w:pPr>
              <w:pStyle w:val="List2"/>
              <w:rPr>
                <w:lang w:val="en-NZ"/>
              </w:rPr>
            </w:pPr>
            <w:r w:rsidRPr="005B78F4">
              <w:t>1.4.</w:t>
            </w:r>
            <w:r w:rsidRPr="005B78F4">
              <w:tab/>
            </w:r>
            <w:r w:rsidRPr="005B78F4">
              <w:rPr>
                <w:rStyle w:val="BoldandItalics"/>
              </w:rPr>
              <w:t>Tools and equipment</w:t>
            </w:r>
            <w:r w:rsidRPr="005B78F4">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5B78F4" w:rsidP="005B78F4">
            <w:pPr>
              <w:pStyle w:val="ListBullet"/>
            </w:pPr>
            <w:r w:rsidRPr="005B78F4">
              <w:t>drafting equipment</w:t>
            </w:r>
          </w:p>
          <w:p w:rsidR="00000000" w:rsidRPr="005B78F4" w:rsidP="005B78F4">
            <w:pPr>
              <w:pStyle w:val="ListBullet"/>
            </w:pPr>
            <w:r w:rsidRPr="005B78F4">
              <w:t>drills</w:t>
            </w:r>
          </w:p>
          <w:p w:rsidR="00000000" w:rsidRPr="005B78F4" w:rsidP="005B78F4">
            <w:pPr>
              <w:pStyle w:val="ListBullet"/>
            </w:pPr>
            <w:r w:rsidRPr="005B78F4">
              <w:t>ladders</w:t>
            </w:r>
          </w:p>
          <w:p w:rsidR="00000000" w:rsidRPr="005B78F4" w:rsidP="005B78F4">
            <w:pPr>
              <w:pStyle w:val="ListBullet"/>
            </w:pPr>
            <w:r w:rsidRPr="005B78F4">
              <w:t>measuring tapes and rules</w:t>
            </w:r>
          </w:p>
          <w:p w:rsidR="00000000" w:rsidRPr="005B78F4" w:rsidP="005B78F4">
            <w:pPr>
              <w:pStyle w:val="ListBullet"/>
            </w:pPr>
            <w:r w:rsidRPr="005B78F4">
              <w:t>planks</w:t>
            </w:r>
          </w:p>
          <w:p w:rsidR="00000000" w:rsidRPr="005B78F4" w:rsidP="005B78F4">
            <w:pPr>
              <w:pStyle w:val="ListBullet"/>
            </w:pPr>
            <w:r w:rsidRPr="005B78F4">
              <w:t>pop rivets</w:t>
            </w:r>
          </w:p>
          <w:p w:rsidR="00000000" w:rsidRPr="005B78F4" w:rsidP="005B78F4">
            <w:pPr>
              <w:pStyle w:val="ListBullet"/>
            </w:pPr>
            <w:r w:rsidRPr="005B78F4">
              <w:t>scaffolding</w:t>
            </w:r>
          </w:p>
          <w:p w:rsidR="00000000" w:rsidRPr="005B78F4" w:rsidP="005B78F4">
            <w:pPr>
              <w:pStyle w:val="ListBullet"/>
            </w:pPr>
            <w:r w:rsidRPr="005B78F4">
              <w:t>screwdrivers</w:t>
            </w:r>
          </w:p>
          <w:p w:rsidR="00000000" w:rsidP="005B78F4">
            <w:pPr>
              <w:pStyle w:val="ListBullet"/>
              <w:rPr>
                <w:lang w:val="en-NZ"/>
              </w:rPr>
            </w:pPr>
            <w:r w:rsidRPr="005B78F4">
              <w:t>straight edges.</w:t>
            </w:r>
          </w:p>
        </w:tc>
      </w:tr>
      <w:tr w:rsidTr="00A6263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5B78F4">
            <w:pPr>
              <w:pStyle w:val="List2"/>
              <w:rPr>
                <w:lang w:val="en-NZ"/>
              </w:rPr>
            </w:pPr>
            <w:r w:rsidRPr="005B78F4">
              <w:t>1.5.</w:t>
            </w:r>
            <w:r w:rsidRPr="005B78F4">
              <w:tab/>
            </w:r>
            <w:r w:rsidRPr="005B78F4">
              <w:rPr>
                <w:rStyle w:val="BoldandItalics"/>
              </w:rPr>
              <w:t>Substrates</w:t>
            </w:r>
            <w:r w:rsidRPr="005B78F4">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5B78F4" w:rsidP="005B78F4">
            <w:pPr>
              <w:pStyle w:val="ListBullet"/>
            </w:pPr>
            <w:r w:rsidRPr="005B78F4">
              <w:t>acrylic</w:t>
            </w:r>
          </w:p>
          <w:p w:rsidR="00000000" w:rsidRPr="005B78F4" w:rsidP="005B78F4">
            <w:pPr>
              <w:pStyle w:val="ListBullet"/>
            </w:pPr>
            <w:r w:rsidRPr="005B78F4">
              <w:t>corflute</w:t>
            </w:r>
          </w:p>
          <w:p w:rsidR="00000000" w:rsidRPr="005B78F4" w:rsidP="005B78F4">
            <w:pPr>
              <w:pStyle w:val="ListBullet"/>
            </w:pPr>
            <w:r w:rsidRPr="005B78F4">
              <w:t>glass</w:t>
            </w:r>
          </w:p>
          <w:p w:rsidR="00000000" w:rsidRPr="005B78F4" w:rsidP="005B78F4">
            <w:pPr>
              <w:pStyle w:val="ListBullet"/>
            </w:pPr>
            <w:r w:rsidRPr="005B78F4">
              <w:t>masonry</w:t>
            </w:r>
          </w:p>
          <w:p w:rsidR="00000000" w:rsidRPr="005B78F4" w:rsidP="005B78F4">
            <w:pPr>
              <w:pStyle w:val="ListBullet"/>
            </w:pPr>
            <w:r w:rsidRPr="005B78F4">
              <w:t>metal</w:t>
            </w:r>
          </w:p>
          <w:p w:rsidR="00000000" w:rsidRPr="005B78F4" w:rsidP="005B78F4">
            <w:pPr>
              <w:pStyle w:val="ListBullet"/>
            </w:pPr>
            <w:r w:rsidRPr="005B78F4">
              <w:t>plasterboard</w:t>
            </w:r>
          </w:p>
          <w:p w:rsidR="00000000" w:rsidP="005B78F4">
            <w:pPr>
              <w:pStyle w:val="ListBullet"/>
              <w:rPr>
                <w:lang w:val="en-NZ"/>
              </w:rPr>
            </w:pPr>
            <w:r w:rsidRPr="005B78F4">
              <w:t>timber.</w:t>
            </w:r>
          </w:p>
        </w:tc>
      </w:tr>
      <w:tr w:rsidTr="00A6263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5B78F4">
            <w:pPr>
              <w:pStyle w:val="List2"/>
              <w:rPr>
                <w:lang w:val="en-NZ"/>
              </w:rPr>
            </w:pPr>
            <w:r w:rsidRPr="005B78F4">
              <w:t>1.6.</w:t>
            </w:r>
            <w:r w:rsidRPr="005B78F4">
              <w:tab/>
            </w:r>
            <w:r w:rsidRPr="005B78F4">
              <w:rPr>
                <w:rStyle w:val="BoldandItalics"/>
              </w:rPr>
              <w:t>Fasteners and fixings</w:t>
            </w:r>
            <w:r w:rsidRPr="005B78F4">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5B78F4" w:rsidP="005B78F4">
            <w:pPr>
              <w:pStyle w:val="ListBullet"/>
            </w:pPr>
            <w:r w:rsidRPr="005B78F4">
              <w:t>chemical fasteners, including:</w:t>
            </w:r>
          </w:p>
          <w:p w:rsidR="00000000" w:rsidRPr="005B78F4" w:rsidP="005B78F4">
            <w:pPr>
              <w:pStyle w:val="ListBullet2"/>
            </w:pPr>
            <w:r w:rsidRPr="005B78F4">
              <w:t>construction adhesive</w:t>
            </w:r>
          </w:p>
          <w:p w:rsidR="00000000" w:rsidRPr="005B78F4" w:rsidP="005B78F4">
            <w:pPr>
              <w:pStyle w:val="ListBullet2"/>
            </w:pPr>
            <w:r w:rsidRPr="005B78F4">
              <w:t>injection systems</w:t>
            </w:r>
          </w:p>
          <w:p w:rsidR="00000000" w:rsidRPr="005B78F4" w:rsidP="005B78F4">
            <w:pPr>
              <w:pStyle w:val="ListBullet2"/>
            </w:pPr>
            <w:r w:rsidRPr="005B78F4">
              <w:t>spin capsules</w:t>
            </w:r>
          </w:p>
          <w:p w:rsidR="00000000" w:rsidRPr="005B78F4" w:rsidP="005B78F4">
            <w:pPr>
              <w:pStyle w:val="ListBullet2"/>
            </w:pPr>
            <w:r w:rsidRPr="005B78F4">
              <w:t xml:space="preserve">hammer-in capsules </w:t>
            </w:r>
          </w:p>
          <w:p w:rsidR="00000000" w:rsidRPr="005B78F4" w:rsidP="005B78F4">
            <w:pPr>
              <w:pStyle w:val="ListBullet"/>
            </w:pPr>
            <w:r w:rsidRPr="005B78F4">
              <w:t>light duty anchors, including:</w:t>
            </w:r>
          </w:p>
          <w:p w:rsidR="00000000" w:rsidRPr="005B78F4" w:rsidP="005B78F4">
            <w:pPr>
              <w:pStyle w:val="ListBullet2"/>
            </w:pPr>
            <w:r w:rsidRPr="005B78F4">
              <w:t xml:space="preserve">electrical clips </w:t>
            </w:r>
          </w:p>
          <w:p w:rsidR="00000000" w:rsidRPr="005B78F4" w:rsidP="005B78F4">
            <w:pPr>
              <w:pStyle w:val="ListBullet2"/>
            </w:pPr>
            <w:r w:rsidRPr="005B78F4">
              <w:t xml:space="preserve">nylon anchors </w:t>
            </w:r>
          </w:p>
          <w:p w:rsidR="00000000" w:rsidRPr="005B78F4" w:rsidP="005B78F4">
            <w:pPr>
              <w:pStyle w:val="ListBullet2"/>
            </w:pPr>
            <w:r w:rsidRPr="005B78F4">
              <w:t>hollow wall anchors</w:t>
            </w:r>
          </w:p>
          <w:p w:rsidR="00000000" w:rsidRPr="005B78F4" w:rsidP="005B78F4">
            <w:pPr>
              <w:pStyle w:val="ListBullet2"/>
            </w:pPr>
            <w:r w:rsidRPr="005B78F4">
              <w:t xml:space="preserve">plastic toggles </w:t>
            </w:r>
          </w:p>
          <w:p w:rsidR="00000000" w:rsidRPr="005B78F4" w:rsidP="005B78F4">
            <w:pPr>
              <w:pStyle w:val="ListBullet2"/>
            </w:pPr>
            <w:r w:rsidRPr="005B78F4">
              <w:t>metal toggles</w:t>
            </w:r>
          </w:p>
          <w:p w:rsidR="00000000" w:rsidRPr="005B78F4" w:rsidP="005B78F4">
            <w:pPr>
              <w:pStyle w:val="ListBullet2"/>
            </w:pPr>
            <w:r w:rsidRPr="005B78F4">
              <w:t xml:space="preserve">multi-clips </w:t>
            </w:r>
          </w:p>
          <w:p w:rsidR="00000000" w:rsidRPr="005B78F4" w:rsidP="005B78F4">
            <w:pPr>
              <w:pStyle w:val="ListBullet"/>
            </w:pPr>
            <w:r w:rsidRPr="005B78F4">
              <w:t>medium duty anchors, including:</w:t>
            </w:r>
          </w:p>
          <w:p w:rsidR="00000000" w:rsidRPr="005B78F4" w:rsidP="005B78F4">
            <w:pPr>
              <w:pStyle w:val="ListBullet2"/>
            </w:pPr>
            <w:r w:rsidRPr="005B78F4">
              <w:t xml:space="preserve">lug anchors </w:t>
            </w:r>
          </w:p>
          <w:p w:rsidR="00000000" w:rsidRPr="005B78F4" w:rsidP="005B78F4">
            <w:pPr>
              <w:pStyle w:val="ListBullet2"/>
            </w:pPr>
            <w:r w:rsidRPr="005B78F4">
              <w:t xml:space="preserve">steel ferrule expanding bolts </w:t>
            </w:r>
          </w:p>
          <w:p w:rsidR="00000000" w:rsidRPr="005B78F4" w:rsidP="005B78F4">
            <w:pPr>
              <w:pStyle w:val="ListBullet"/>
            </w:pPr>
            <w:r w:rsidRPr="005B78F4">
              <w:t>screws, including:</w:t>
            </w:r>
          </w:p>
          <w:p w:rsidR="00000000" w:rsidRPr="005B78F4" w:rsidP="005B78F4">
            <w:pPr>
              <w:pStyle w:val="ListBullet2"/>
            </w:pPr>
            <w:r w:rsidRPr="005B78F4">
              <w:t xml:space="preserve">metal screws </w:t>
            </w:r>
          </w:p>
          <w:p w:rsidR="00000000" w:rsidRPr="005B78F4" w:rsidP="005B78F4">
            <w:pPr>
              <w:pStyle w:val="ListBullet2"/>
            </w:pPr>
            <w:r w:rsidRPr="005B78F4">
              <w:t xml:space="preserve">chipboard screws </w:t>
            </w:r>
          </w:p>
          <w:p w:rsidR="00000000" w:rsidP="005B78F4">
            <w:pPr>
              <w:pStyle w:val="ListBullet2"/>
              <w:rPr>
                <w:lang w:val="en-NZ"/>
              </w:rPr>
            </w:pPr>
            <w:r w:rsidRPr="005B78F4">
              <w:t>plasterboard screws.</w:t>
            </w:r>
          </w:p>
        </w:tc>
      </w:tr>
      <w:tr w:rsidTr="00A6263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5B78F4">
            <w:pPr>
              <w:pStyle w:val="List2"/>
              <w:rPr>
                <w:lang w:val="en-NZ"/>
              </w:rPr>
            </w:pPr>
            <w:r w:rsidRPr="005B78F4">
              <w:t>1.7.</w:t>
            </w:r>
            <w:r w:rsidRPr="005B78F4">
              <w:tab/>
            </w:r>
            <w:r w:rsidRPr="005B78F4">
              <w:rPr>
                <w:rStyle w:val="BoldandItalics"/>
              </w:rPr>
              <w:t>Statutory and regulatory authority requirements</w:t>
            </w:r>
            <w:r w:rsidRPr="005B78F4">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5B78F4" w:rsidP="005B78F4">
            <w:pPr>
              <w:pStyle w:val="ListBullet"/>
            </w:pPr>
            <w:r w:rsidRPr="005B78F4">
              <w:t>federal, state and local authorities administering applicable Acts, regulations and codes of practice and also can pertain to:</w:t>
            </w:r>
          </w:p>
          <w:p w:rsidR="00000000" w:rsidRPr="005B78F4" w:rsidP="005B78F4">
            <w:pPr>
              <w:pStyle w:val="ListBullet2"/>
            </w:pPr>
            <w:r w:rsidRPr="005B78F4">
              <w:t>removal of waste products</w:t>
            </w:r>
          </w:p>
          <w:p w:rsidR="00000000" w:rsidRPr="005B78F4" w:rsidP="005B78F4">
            <w:pPr>
              <w:pStyle w:val="ListBullet2"/>
            </w:pPr>
            <w:r w:rsidRPr="005B78F4">
              <w:t>storage of chemicals.</w:t>
            </w:r>
          </w:p>
        </w:tc>
      </w:tr>
    </w:tbl>
    <w:p w:rsidR="00A6263F" w:rsidP="005B78F4">
      <w:pPr>
        <w:pStyle w:val="BodyText"/>
      </w:pPr>
    </w:p>
    <w:p w:rsidR="00A6263F" w:rsidP="005B78F4">
      <w:pPr>
        <w:pStyle w:val="BodyText"/>
      </w:pPr>
    </w:p>
    <w:p w:rsidR="00000000" w:rsidRPr="005B78F4" w:rsidP="005B78F4">
      <w:pPr>
        <w:pStyle w:val="Heading1"/>
      </w:pPr>
      <w:bookmarkStart w:id="12" w:name="O_198590"/>
      <w:bookmarkEnd w:id="12"/>
      <w:r w:rsidRPr="005B78F4">
        <w:t>Unit Sector(s)</w:t>
      </w:r>
    </w:p>
    <w:tbl>
      <w:tblPr>
        <w:tblW w:w="0" w:type="auto"/>
        <w:tblLayout w:type="fixed"/>
        <w:tblCellMar>
          <w:left w:w="62" w:type="dxa"/>
          <w:right w:w="62" w:type="dxa"/>
        </w:tblCellMar>
        <w:tblLook w:val="0000"/>
      </w:tblPr>
      <w:tblGrid>
        <w:gridCol w:w="2574"/>
        <w:gridCol w:w="5948"/>
      </w:tblGrid>
      <w:tr w:rsidTr="00A6263F">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Unit sector</w:t>
            </w:r>
          </w:p>
        </w:tc>
        <w:tc>
          <w:tcPr>
            <w:tcW w:w="5948" w:type="dxa"/>
            <w:tcBorders>
              <w:top w:val="nil"/>
              <w:left w:val="nil"/>
              <w:bottom w:val="nil"/>
              <w:right w:val="nil"/>
            </w:tcBorders>
            <w:tcMar>
              <w:top w:w="0" w:type="dxa"/>
              <w:left w:w="62" w:type="dxa"/>
              <w:bottom w:w="0" w:type="dxa"/>
              <w:right w:w="62" w:type="dxa"/>
            </w:tcMar>
          </w:tcPr>
          <w:p w:rsidR="00000000" w:rsidRPr="005B78F4" w:rsidP="005B78F4">
            <w:pPr>
              <w:pStyle w:val="BodyText"/>
            </w:pPr>
            <w:r w:rsidRPr="005B78F4">
              <w:t>Construction</w:t>
            </w:r>
          </w:p>
        </w:tc>
      </w:tr>
    </w:tbl>
    <w:p w:rsidR="00A6263F" w:rsidP="005B78F4">
      <w:pPr>
        <w:pStyle w:val="BodyText"/>
      </w:pPr>
    </w:p>
    <w:p w:rsidR="00A6263F" w:rsidP="005B78F4">
      <w:pPr>
        <w:pStyle w:val="BodyText"/>
      </w:pPr>
    </w:p>
    <w:p w:rsidR="00000000" w:rsidRPr="005B78F4" w:rsidP="005B78F4">
      <w:pPr>
        <w:pStyle w:val="Heading1"/>
      </w:pPr>
      <w:bookmarkStart w:id="13" w:name="O_198587"/>
      <w:bookmarkEnd w:id="13"/>
      <w:r w:rsidRPr="005B78F4">
        <w:t>Co-requisite units</w:t>
      </w:r>
    </w:p>
    <w:tbl>
      <w:tblPr>
        <w:tblW w:w="0" w:type="auto"/>
        <w:tblLayout w:type="fixed"/>
        <w:tblCellMar>
          <w:left w:w="62" w:type="dxa"/>
          <w:right w:w="62" w:type="dxa"/>
        </w:tblCellMar>
        <w:tblLook w:val="0000"/>
      </w:tblPr>
      <w:tblGrid>
        <w:gridCol w:w="2583"/>
        <w:gridCol w:w="1669"/>
        <w:gridCol w:w="4270"/>
      </w:tblGrid>
      <w:tr w:rsidTr="00A6263F">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Co-requisite units</w:t>
            </w:r>
          </w:p>
        </w:tc>
        <w:tc>
          <w:tcPr>
            <w:tcW w:w="5939" w:type="dxa"/>
            <w:gridSpan w:val="2"/>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t>Nil</w:t>
            </w:r>
          </w:p>
        </w:tc>
      </w:tr>
      <w:tr w:rsidTr="00A6263F">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p>
        </w:tc>
      </w:tr>
      <w:tr w:rsidTr="00A6263F">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RPr="005B78F4" w:rsidP="005B78F4">
            <w:pPr>
              <w:pStyle w:val="BodyText"/>
            </w:pPr>
          </w:p>
        </w:tc>
      </w:tr>
    </w:tbl>
    <w:p w:rsidR="00A6263F" w:rsidP="005B78F4">
      <w:pPr>
        <w:pStyle w:val="BodyText"/>
      </w:pPr>
    </w:p>
    <w:p w:rsidR="00A6263F" w:rsidP="005B78F4">
      <w:pPr>
        <w:pStyle w:val="BodyText"/>
      </w:pPr>
    </w:p>
    <w:p w:rsidR="00000000" w:rsidRPr="005B78F4" w:rsidP="005B78F4">
      <w:pPr>
        <w:pStyle w:val="Heading1"/>
      </w:pPr>
      <w:bookmarkStart w:id="14" w:name="O_198589"/>
      <w:bookmarkEnd w:id="14"/>
      <w:r w:rsidRPr="005B78F4">
        <w:t>Functional area</w:t>
      </w:r>
    </w:p>
    <w:tbl>
      <w:tblPr>
        <w:tblW w:w="0" w:type="auto"/>
        <w:tblLayout w:type="fixed"/>
        <w:tblCellMar>
          <w:left w:w="62" w:type="dxa"/>
          <w:right w:w="62" w:type="dxa"/>
        </w:tblCellMar>
        <w:tblLook w:val="0000"/>
      </w:tblPr>
      <w:tblGrid>
        <w:gridCol w:w="2674"/>
        <w:gridCol w:w="5848"/>
      </w:tblGrid>
      <w:tr w:rsidTr="00A6263F">
        <w:tblPrEx>
          <w:tblW w:w="0" w:type="auto"/>
          <w:tblLayout w:type="fixed"/>
          <w:tblCellMar>
            <w:left w:w="62" w:type="dxa"/>
            <w:right w:w="62" w:type="dxa"/>
          </w:tblCellMar>
          <w:tblLook w:val="0000"/>
        </w:tblPrEx>
        <w:trPr>
          <w:tblHeader/>
        </w:trPr>
        <w:tc>
          <w:tcPr>
            <w:tcW w:w="2674" w:type="dxa"/>
            <w:tcBorders>
              <w:top w:val="nil"/>
              <w:left w:val="nil"/>
              <w:bottom w:val="nil"/>
              <w:right w:val="nil"/>
            </w:tcBorders>
            <w:tcMar>
              <w:top w:w="0" w:type="dxa"/>
              <w:left w:w="62" w:type="dxa"/>
              <w:bottom w:w="0" w:type="dxa"/>
              <w:right w:w="62" w:type="dxa"/>
            </w:tcMar>
          </w:tcPr>
          <w:p w:rsidR="00000000" w:rsidP="005B78F4">
            <w:pPr>
              <w:pStyle w:val="BodyText"/>
              <w:rPr>
                <w:lang w:val="en-NZ"/>
              </w:rPr>
            </w:pPr>
            <w:r w:rsidRPr="005B78F4">
              <w:rPr>
                <w:rStyle w:val="SpecialBold"/>
              </w:rPr>
              <w:t>Functional area</w:t>
            </w:r>
          </w:p>
        </w:tc>
        <w:tc>
          <w:tcPr>
            <w:tcW w:w="5848" w:type="dxa"/>
            <w:tcBorders>
              <w:top w:val="nil"/>
              <w:left w:val="nil"/>
              <w:bottom w:val="nil"/>
              <w:right w:val="nil"/>
            </w:tcBorders>
            <w:tcMar>
              <w:top w:w="0" w:type="dxa"/>
              <w:left w:w="62" w:type="dxa"/>
              <w:bottom w:w="0" w:type="dxa"/>
              <w:right w:w="62" w:type="dxa"/>
            </w:tcMar>
          </w:tcPr>
          <w:p w:rsidR="00000000" w:rsidRPr="005B78F4" w:rsidP="005B78F4">
            <w:pPr>
              <w:pStyle w:val="BodyText"/>
            </w:pPr>
          </w:p>
        </w:tc>
      </w:tr>
    </w:tbl>
    <w:p w:rsidR="00A6263F" w:rsidP="005B78F4">
      <w:pPr>
        <w:pStyle w:val="BodyText"/>
      </w:pPr>
    </w:p>
    <w:p w:rsidR="00A6263F" w:rsidP="005B78F4">
      <w:pPr>
        <w:pStyle w:val="BodyText"/>
      </w:pPr>
    </w:p>
    <w:p w:rsidR="00000000" w:rsidRPr="005B78F4" w:rsidP="005B78F4"/>
    <w:sectPr w:rsidSect="005B78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63F" w:rsidP="00A62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3F" w:rsidP="005B7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6263F" w:rsidP="005B78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6263F" w:rsidP="005B78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63F" w:rsidP="00A626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63F" w:rsidP="005B78F4">
    <w:pPr>
      <w:pStyle w:val="Header"/>
      <w:framePr w:wrap="around"/>
    </w:pPr>
    <w:r>
      <w:fldChar w:fldCharType="begin"/>
    </w:r>
    <w:r>
      <w:instrText xml:space="preserve"> TITLE   \* MERGEFORMAT </w:instrText>
    </w:r>
    <w:r>
      <w:fldChar w:fldCharType="separate"/>
    </w:r>
    <w:r>
      <w:t>CPCCSI2007A Apply fasteners and fixings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263F" w:rsidP="005B78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86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29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18F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8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78F4"/>
    <w:pPr>
      <w:spacing w:before="360" w:after="60"/>
      <w:outlineLvl w:val="0"/>
    </w:pPr>
    <w:rPr>
      <w:sz w:val="32"/>
    </w:rPr>
  </w:style>
  <w:style w:type="paragraph" w:styleId="Heading2">
    <w:name w:val="heading 2"/>
    <w:basedOn w:val="HeadingBase"/>
    <w:next w:val="BodyText"/>
    <w:link w:val="Heading2Char"/>
    <w:qFormat/>
    <w:rsid w:val="005B78F4"/>
    <w:pPr>
      <w:keepLines/>
      <w:spacing w:before="240" w:after="120"/>
      <w:outlineLvl w:val="1"/>
    </w:pPr>
    <w:rPr>
      <w:sz w:val="28"/>
      <w:szCs w:val="40"/>
    </w:rPr>
  </w:style>
  <w:style w:type="paragraph" w:styleId="Heading3">
    <w:name w:val="heading 3"/>
    <w:basedOn w:val="HeadingBase"/>
    <w:next w:val="BodyText"/>
    <w:link w:val="Heading3Char"/>
    <w:qFormat/>
    <w:rsid w:val="005B78F4"/>
    <w:pPr>
      <w:spacing w:before="180" w:after="120"/>
      <w:outlineLvl w:val="2"/>
    </w:pPr>
    <w:rPr>
      <w:spacing w:val="-10"/>
      <w:kern w:val="32"/>
    </w:rPr>
  </w:style>
  <w:style w:type="paragraph" w:styleId="Heading4">
    <w:name w:val="heading 4"/>
    <w:basedOn w:val="HeadingBase"/>
    <w:next w:val="BodyText"/>
    <w:link w:val="Heading4Char"/>
    <w:qFormat/>
    <w:rsid w:val="005B78F4"/>
    <w:pPr>
      <w:spacing w:before="160" w:after="120"/>
      <w:outlineLvl w:val="3"/>
    </w:pPr>
    <w:rPr>
      <w:sz w:val="22"/>
    </w:rPr>
  </w:style>
  <w:style w:type="paragraph" w:styleId="Heading5">
    <w:name w:val="heading 5"/>
    <w:basedOn w:val="HeadingBase"/>
    <w:next w:val="Normal"/>
    <w:link w:val="Heading5Char"/>
    <w:qFormat/>
    <w:rsid w:val="005B78F4"/>
    <w:pPr>
      <w:spacing w:before="80"/>
      <w:outlineLvl w:val="4"/>
    </w:pPr>
    <w:rPr>
      <w:color w:val="918585"/>
      <w:sz w:val="20"/>
    </w:rPr>
  </w:style>
  <w:style w:type="paragraph" w:styleId="Heading6">
    <w:name w:val="heading 6"/>
    <w:basedOn w:val="HeadingBase"/>
    <w:next w:val="Normal"/>
    <w:link w:val="Heading6Char"/>
    <w:qFormat/>
    <w:rsid w:val="005B78F4"/>
    <w:pPr>
      <w:spacing w:before="60"/>
      <w:outlineLvl w:val="5"/>
    </w:pPr>
    <w:rPr>
      <w:color w:val="918585"/>
      <w:sz w:val="20"/>
    </w:rPr>
  </w:style>
  <w:style w:type="paragraph" w:styleId="Heading7">
    <w:name w:val="heading 7"/>
    <w:basedOn w:val="Normal"/>
    <w:next w:val="Normal"/>
    <w:link w:val="Heading7Char"/>
    <w:qFormat/>
    <w:rsid w:val="005B78F4"/>
    <w:pPr>
      <w:ind w:left="720"/>
      <w:outlineLvl w:val="6"/>
    </w:pPr>
    <w:rPr>
      <w:i/>
    </w:rPr>
  </w:style>
  <w:style w:type="paragraph" w:styleId="Heading8">
    <w:name w:val="heading 8"/>
    <w:basedOn w:val="Normal"/>
    <w:next w:val="Normal"/>
    <w:link w:val="Heading8Char"/>
    <w:qFormat/>
    <w:rsid w:val="005B78F4"/>
    <w:pPr>
      <w:ind w:left="720"/>
      <w:outlineLvl w:val="7"/>
    </w:pPr>
    <w:rPr>
      <w:i/>
    </w:rPr>
  </w:style>
  <w:style w:type="paragraph" w:styleId="Heading9">
    <w:name w:val="heading 9"/>
    <w:basedOn w:val="Normal"/>
    <w:next w:val="Normal"/>
    <w:link w:val="Heading9Char"/>
    <w:qFormat/>
    <w:rsid w:val="005B78F4"/>
    <w:pPr>
      <w:ind w:left="720"/>
      <w:outlineLvl w:val="8"/>
    </w:pPr>
    <w:rPr>
      <w:i/>
    </w:rPr>
  </w:style>
  <w:style w:type="character" w:default="1" w:styleId="DefaultParagraphFont">
    <w:name w:val="Default Paragraph Font"/>
    <w:uiPriority w:val="1"/>
    <w:unhideWhenUsed/>
    <w:rsid w:val="005B7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8F4"/>
  </w:style>
  <w:style w:type="character" w:customStyle="1" w:styleId="Heading1Char">
    <w:name w:val="Heading 1 Char"/>
    <w:basedOn w:val="DefaultParagraphFont"/>
    <w:link w:val="Heading1"/>
    <w:rsid w:val="005B78F4"/>
    <w:rPr>
      <w:rFonts w:ascii="Times New Roman" w:eastAsia="Times New Roman" w:hAnsi="Times New Roman" w:cs="Times New Roman"/>
      <w:b/>
      <w:sz w:val="32"/>
      <w:szCs w:val="20"/>
      <w:lang w:eastAsia="en-US"/>
    </w:rPr>
  </w:style>
  <w:style w:type="paragraph" w:styleId="BodyText">
    <w:name w:val="Body Text"/>
    <w:basedOn w:val="Normal"/>
    <w:link w:val="BodyTextChar"/>
    <w:rsid w:val="005B78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78F4"/>
    <w:rPr>
      <w:rFonts w:ascii="Times New Roman" w:eastAsia="Times New Roman" w:hAnsi="Times New Roman" w:cs="Times New Roman"/>
      <w:sz w:val="24"/>
      <w:lang w:val="en-US" w:eastAsia="en-US"/>
    </w:rPr>
  </w:style>
  <w:style w:type="paragraph" w:styleId="Footer">
    <w:name w:val="footer"/>
    <w:basedOn w:val="Normal"/>
    <w:link w:val="FooterChar"/>
    <w:rsid w:val="005B7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8F4"/>
    <w:rPr>
      <w:rFonts w:ascii="Times New Roman" w:eastAsia="Times New Roman" w:hAnsi="Times New Roman" w:cs="Times New Roman"/>
      <w:sz w:val="16"/>
      <w:lang w:val="en-US" w:eastAsia="en-US"/>
    </w:rPr>
  </w:style>
  <w:style w:type="paragraph" w:styleId="List">
    <w:name w:val="List"/>
    <w:basedOn w:val="BodyText"/>
    <w:next w:val="BodyText"/>
    <w:rsid w:val="005B78F4"/>
    <w:pPr>
      <w:tabs>
        <w:tab w:val="left" w:pos="340"/>
      </w:tabs>
      <w:spacing w:before="60" w:after="60"/>
      <w:ind w:left="340" w:hanging="340"/>
    </w:pPr>
  </w:style>
  <w:style w:type="paragraph" w:styleId="ListBullet">
    <w:name w:val="List Bullet"/>
    <w:basedOn w:val="List"/>
    <w:rsid w:val="005B78F4"/>
    <w:pPr>
      <w:numPr>
        <w:numId w:val="13"/>
      </w:numPr>
      <w:tabs>
        <w:tab w:val="clear" w:pos="340"/>
      </w:tabs>
      <w:spacing w:before="40" w:after="40"/>
    </w:pPr>
  </w:style>
  <w:style w:type="character" w:customStyle="1" w:styleId="SpecialBold">
    <w:name w:val="Special Bold"/>
    <w:basedOn w:val="DefaultParagraphFont"/>
    <w:rsid w:val="005B78F4"/>
    <w:rPr>
      <w:b/>
      <w:spacing w:val="0"/>
    </w:rPr>
  </w:style>
  <w:style w:type="paragraph" w:styleId="ListBullet2">
    <w:name w:val="List Bullet 2"/>
    <w:basedOn w:val="List2"/>
    <w:rsid w:val="005B78F4"/>
    <w:pPr>
      <w:numPr>
        <w:numId w:val="14"/>
      </w:numPr>
      <w:tabs>
        <w:tab w:val="clear" w:pos="680"/>
      </w:tabs>
    </w:pPr>
  </w:style>
  <w:style w:type="paragraph" w:styleId="Header">
    <w:name w:val="header"/>
    <w:basedOn w:val="Normal"/>
    <w:link w:val="HeaderChar"/>
    <w:rsid w:val="005B7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8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78F4"/>
    <w:pPr>
      <w:spacing w:before="240" w:after="120"/>
      <w:outlineLvl w:val="0"/>
    </w:pPr>
    <w:rPr>
      <w:rFonts w:ascii="Times New Roman" w:hAnsi="Times New Roman"/>
      <w:b/>
      <w:sz w:val="28"/>
    </w:rPr>
  </w:style>
  <w:style w:type="paragraph" w:customStyle="1" w:styleId="AllowPageBreak">
    <w:name w:val="AllowPageBreak"/>
    <w:rsid w:val="005B78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78F4"/>
    <w:pPr>
      <w:tabs>
        <w:tab w:val="left" w:pos="680"/>
      </w:tabs>
      <w:spacing w:before="60" w:after="60"/>
      <w:ind w:left="680" w:hanging="340"/>
    </w:pPr>
  </w:style>
  <w:style w:type="character" w:customStyle="1" w:styleId="BoldandItalics">
    <w:name w:val="Bold and Italics"/>
    <w:qFormat/>
    <w:rsid w:val="005B78F4"/>
    <w:rPr>
      <w:b/>
      <w:i/>
      <w:u w:val="none"/>
    </w:rPr>
  </w:style>
  <w:style w:type="character" w:customStyle="1" w:styleId="Heading2Char">
    <w:name w:val="Heading 2 Char"/>
    <w:basedOn w:val="DefaultParagraphFont"/>
    <w:link w:val="Heading2"/>
    <w:rsid w:val="005B7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8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78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78F4"/>
    <w:rPr>
      <w:rFonts w:ascii="Courier New" w:eastAsia="Times New Roman" w:hAnsi="Courier New" w:cs="Times New Roman"/>
      <w:i/>
      <w:szCs w:val="20"/>
      <w:lang w:val="en-US" w:eastAsia="en-US"/>
    </w:rPr>
  </w:style>
  <w:style w:type="paragraph" w:customStyle="1" w:styleId="HeadingBase">
    <w:name w:val="Heading Base"/>
    <w:rsid w:val="005B7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8F4"/>
    <w:pPr>
      <w:tabs>
        <w:tab w:val="right" w:leader="dot" w:pos="9072"/>
      </w:tabs>
      <w:ind w:left="567"/>
    </w:pPr>
    <w:rPr>
      <w:szCs w:val="22"/>
    </w:rPr>
  </w:style>
  <w:style w:type="paragraph" w:customStyle="1" w:styleId="TOCBase">
    <w:name w:val="TOC Base"/>
    <w:rsid w:val="005B7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8F4"/>
    <w:pPr>
      <w:tabs>
        <w:tab w:val="right" w:leader="dot" w:pos="9072"/>
      </w:tabs>
      <w:spacing w:before="40" w:after="40"/>
      <w:ind w:left="284"/>
    </w:pPr>
    <w:rPr>
      <w:rFonts w:ascii="Times New Roman" w:hAnsi="Times New Roman"/>
    </w:rPr>
  </w:style>
  <w:style w:type="paragraph" w:styleId="TOC1">
    <w:name w:val="toc 1"/>
    <w:basedOn w:val="TOCBase"/>
    <w:next w:val="Normal"/>
    <w:rsid w:val="005B78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78F4"/>
    <w:pPr>
      <w:spacing w:before="5040"/>
      <w:jc w:val="center"/>
    </w:pPr>
    <w:rPr>
      <w:sz w:val="48"/>
      <w:szCs w:val="72"/>
      <w:lang w:val="en-US"/>
    </w:rPr>
  </w:style>
  <w:style w:type="character" w:customStyle="1" w:styleId="TitleChar">
    <w:name w:val="Title Char"/>
    <w:basedOn w:val="DefaultParagraphFont"/>
    <w:link w:val="Title"/>
    <w:rsid w:val="005B7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8F4"/>
    <w:pPr>
      <w:tabs>
        <w:tab w:val="left" w:pos="3600"/>
        <w:tab w:val="left" w:pos="3958"/>
      </w:tabs>
    </w:pPr>
  </w:style>
  <w:style w:type="paragraph" w:customStyle="1" w:styleId="Note">
    <w:name w:val="Note"/>
    <w:basedOn w:val="BodyText"/>
    <w:rsid w:val="005B78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8F4"/>
    <w:pPr>
      <w:framePr w:wrap="auto" w:hAnchor="text" w:y="6049"/>
    </w:pPr>
    <w:rPr>
      <w:color w:val="000000"/>
      <w:sz w:val="40"/>
    </w:rPr>
  </w:style>
  <w:style w:type="paragraph" w:customStyle="1" w:styleId="TOCTitle">
    <w:name w:val="TOCTitle"/>
    <w:basedOn w:val="Heading1"/>
    <w:rsid w:val="005B78F4"/>
    <w:pPr>
      <w:spacing w:after="240"/>
      <w:jc w:val="center"/>
      <w:outlineLvl w:val="9"/>
    </w:pPr>
    <w:rPr>
      <w:caps/>
    </w:rPr>
  </w:style>
  <w:style w:type="paragraph" w:customStyle="1" w:styleId="Version">
    <w:name w:val="Version"/>
    <w:rsid w:val="005B78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8F4"/>
    <w:pPr>
      <w:keepNext w:val="0"/>
      <w:tabs>
        <w:tab w:val="right" w:pos="4176"/>
      </w:tabs>
      <w:ind w:left="198" w:hanging="198"/>
    </w:pPr>
    <w:rPr>
      <w:rFonts w:ascii="Garamond" w:hAnsi="Garamond"/>
    </w:rPr>
  </w:style>
  <w:style w:type="paragraph" w:styleId="IndexHeading">
    <w:name w:val="index heading"/>
    <w:basedOn w:val="Normal"/>
    <w:next w:val="Index1"/>
    <w:semiHidden/>
    <w:rsid w:val="005B78F4"/>
    <w:pPr>
      <w:spacing w:before="120" w:after="120"/>
    </w:pPr>
    <w:rPr>
      <w:rFonts w:ascii="Arial" w:hAnsi="Arial"/>
      <w:b/>
      <w:color w:val="918585"/>
      <w:sz w:val="24"/>
    </w:rPr>
  </w:style>
  <w:style w:type="paragraph" w:customStyle="1" w:styleId="Chapter">
    <w:name w:val="Chapter"/>
    <w:basedOn w:val="Normal"/>
    <w:rsid w:val="005B78F4"/>
    <w:pPr>
      <w:spacing w:before="240"/>
    </w:pPr>
    <w:rPr>
      <w:rFonts w:ascii="Times New Roman" w:hAnsi="Times New Roman"/>
      <w:smallCaps/>
      <w:spacing w:val="80"/>
      <w:sz w:val="28"/>
    </w:rPr>
  </w:style>
  <w:style w:type="paragraph" w:customStyle="1" w:styleId="InChapter">
    <w:name w:val="InChapter"/>
    <w:basedOn w:val="Heading3"/>
    <w:rsid w:val="005B78F4"/>
    <w:pPr>
      <w:spacing w:after="240"/>
      <w:outlineLvl w:val="9"/>
    </w:pPr>
    <w:rPr>
      <w:noProof/>
    </w:rPr>
  </w:style>
  <w:style w:type="paragraph" w:styleId="Index2">
    <w:name w:val="index 2"/>
    <w:basedOn w:val="Normal"/>
    <w:next w:val="Normal"/>
    <w:semiHidden/>
    <w:rsid w:val="005B78F4"/>
    <w:pPr>
      <w:tabs>
        <w:tab w:val="right" w:pos="4176"/>
      </w:tabs>
      <w:ind w:left="568" w:hanging="284"/>
    </w:pPr>
    <w:rPr>
      <w:rFonts w:ascii="Garamond" w:hAnsi="Garamond"/>
    </w:rPr>
  </w:style>
  <w:style w:type="paragraph" w:customStyle="1" w:styleId="Byline">
    <w:name w:val="Byline"/>
    <w:rsid w:val="005B7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8F4"/>
    <w:pPr>
      <w:tabs>
        <w:tab w:val="clear" w:pos="3600"/>
        <w:tab w:val="clear" w:pos="3958"/>
      </w:tabs>
      <w:jc w:val="right"/>
    </w:pPr>
  </w:style>
  <w:style w:type="character" w:styleId="Emphasis">
    <w:name w:val="Emphasis"/>
    <w:basedOn w:val="DefaultParagraphFont"/>
    <w:qFormat/>
    <w:rsid w:val="005B78F4"/>
    <w:rPr>
      <w:i/>
    </w:rPr>
  </w:style>
  <w:style w:type="paragraph" w:styleId="Caption">
    <w:name w:val="caption"/>
    <w:basedOn w:val="BodyText"/>
    <w:next w:val="Normal"/>
    <w:qFormat/>
    <w:rsid w:val="005B78F4"/>
    <w:pPr>
      <w:framePr w:w="2268" w:hSpace="181" w:vSpace="181" w:wrap="around" w:vAnchor="text" w:hAnchor="page" w:x="1135" w:y="285" w:anchorLock="1"/>
    </w:pPr>
    <w:rPr>
      <w:i/>
    </w:rPr>
  </w:style>
  <w:style w:type="paragraph" w:customStyle="1" w:styleId="MiniTOCTitle">
    <w:name w:val="MiniTOCTitle"/>
    <w:basedOn w:val="Heading4"/>
    <w:rsid w:val="005B78F4"/>
    <w:pPr>
      <w:spacing w:before="240"/>
      <w:outlineLvl w:val="9"/>
    </w:pPr>
    <w:rPr>
      <w:noProof/>
      <w:sz w:val="24"/>
    </w:rPr>
  </w:style>
  <w:style w:type="paragraph" w:customStyle="1" w:styleId="MiniTOCItem">
    <w:name w:val="MiniTOCItem"/>
    <w:basedOn w:val="ListBullet"/>
    <w:rsid w:val="005B78F4"/>
    <w:pPr>
      <w:numPr>
        <w:numId w:val="0"/>
      </w:numPr>
      <w:tabs>
        <w:tab w:val="right" w:leader="dot" w:pos="6521"/>
      </w:tabs>
      <w:spacing w:before="0" w:after="0"/>
    </w:pPr>
  </w:style>
  <w:style w:type="paragraph" w:customStyle="1" w:styleId="TOFTitle">
    <w:name w:val="TOFTitle"/>
    <w:basedOn w:val="TOCTitle"/>
    <w:rsid w:val="005B78F4"/>
  </w:style>
  <w:style w:type="paragraph" w:styleId="TableofFigures">
    <w:name w:val="table of figures"/>
    <w:basedOn w:val="Normal"/>
    <w:next w:val="Normal"/>
    <w:semiHidden/>
    <w:rsid w:val="005B78F4"/>
    <w:pPr>
      <w:tabs>
        <w:tab w:val="right" w:leader="dot" w:pos="9072"/>
      </w:tabs>
      <w:ind w:left="970" w:hanging="403"/>
    </w:pPr>
    <w:rPr>
      <w:rFonts w:ascii="Times New Roman" w:hAnsi="Times New Roman"/>
      <w:b/>
    </w:rPr>
  </w:style>
  <w:style w:type="paragraph" w:styleId="ListNumber">
    <w:name w:val="List Number"/>
    <w:basedOn w:val="List"/>
    <w:rsid w:val="005B78F4"/>
    <w:pPr>
      <w:numPr>
        <w:numId w:val="11"/>
      </w:numPr>
    </w:pPr>
  </w:style>
  <w:style w:type="character" w:customStyle="1" w:styleId="WingdingSymbols">
    <w:name w:val="Wingding Symbols"/>
    <w:rsid w:val="005B78F4"/>
    <w:rPr>
      <w:rFonts w:ascii="Wingdings" w:hAnsi="Wingdings"/>
    </w:rPr>
  </w:style>
  <w:style w:type="paragraph" w:customStyle="1" w:styleId="TableHeading">
    <w:name w:val="Table Heading"/>
    <w:basedOn w:val="HeadingBase"/>
    <w:rsid w:val="005B78F4"/>
    <w:pPr>
      <w:keepLines/>
      <w:pBdr>
        <w:bottom w:val="single" w:sz="6" w:space="1" w:color="918585"/>
      </w:pBdr>
      <w:spacing w:before="240"/>
    </w:pPr>
  </w:style>
  <w:style w:type="character" w:customStyle="1" w:styleId="HotSpot">
    <w:name w:val="HotSpot"/>
    <w:rsid w:val="005B78F4"/>
    <w:rPr>
      <w:color w:val="0033CC"/>
      <w:u w:val="none"/>
    </w:rPr>
  </w:style>
  <w:style w:type="paragraph" w:customStyle="1" w:styleId="BodyTextRight">
    <w:name w:val="Body Text Right"/>
    <w:basedOn w:val="BodyText"/>
    <w:rsid w:val="005B78F4"/>
    <w:pPr>
      <w:spacing w:before="0" w:after="0"/>
      <w:jc w:val="right"/>
    </w:pPr>
  </w:style>
  <w:style w:type="paragraph" w:styleId="Index3">
    <w:name w:val="index 3"/>
    <w:basedOn w:val="ListNumber2"/>
    <w:next w:val="Normal"/>
    <w:semiHidden/>
    <w:rsid w:val="005B78F4"/>
    <w:pPr>
      <w:numPr>
        <w:numId w:val="0"/>
      </w:numPr>
      <w:tabs>
        <w:tab w:val="right" w:leader="dot" w:pos="4176"/>
      </w:tabs>
    </w:pPr>
  </w:style>
  <w:style w:type="paragraph" w:styleId="ListNumber2">
    <w:name w:val="List Number 2"/>
    <w:basedOn w:val="List2"/>
    <w:rsid w:val="005B78F4"/>
    <w:pPr>
      <w:numPr>
        <w:numId w:val="10"/>
      </w:numPr>
      <w:tabs>
        <w:tab w:val="clear" w:pos="1060"/>
      </w:tabs>
    </w:pPr>
  </w:style>
  <w:style w:type="paragraph" w:customStyle="1" w:styleId="MarginNote">
    <w:name w:val="Margin Note"/>
    <w:basedOn w:val="BodyText"/>
    <w:rsid w:val="005B7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8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78F4"/>
    <w:rPr>
      <w:sz w:val="32"/>
    </w:rPr>
  </w:style>
  <w:style w:type="paragraph" w:customStyle="1" w:styleId="HeadingProcedure">
    <w:name w:val="Heading Procedure"/>
    <w:basedOn w:val="HeadingBase"/>
    <w:next w:val="Normal"/>
    <w:rsid w:val="005B78F4"/>
    <w:pPr>
      <w:tabs>
        <w:tab w:val="left" w:pos="0"/>
      </w:tabs>
      <w:spacing w:before="120" w:after="60"/>
    </w:pPr>
    <w:rPr>
      <w:i/>
      <w:color w:val="918585"/>
      <w:sz w:val="22"/>
    </w:rPr>
  </w:style>
  <w:style w:type="paragraph" w:customStyle="1" w:styleId="TableBodyText">
    <w:name w:val="Table Body Text"/>
    <w:basedOn w:val="BodyText"/>
    <w:rsid w:val="005B78F4"/>
    <w:pPr>
      <w:spacing w:before="60" w:after="60"/>
    </w:pPr>
  </w:style>
  <w:style w:type="paragraph" w:styleId="ListContinue">
    <w:name w:val="List Continue"/>
    <w:basedOn w:val="List"/>
    <w:rsid w:val="005B78F4"/>
    <w:pPr>
      <w:ind w:firstLine="0"/>
    </w:pPr>
  </w:style>
  <w:style w:type="paragraph" w:customStyle="1" w:styleId="ListNote">
    <w:name w:val="List Note"/>
    <w:basedOn w:val="List"/>
    <w:rsid w:val="005B78F4"/>
    <w:pPr>
      <w:pBdr>
        <w:top w:val="single" w:sz="6" w:space="2" w:color="918585"/>
        <w:bottom w:val="single" w:sz="6" w:space="2" w:color="918585"/>
      </w:pBdr>
      <w:tabs>
        <w:tab w:val="left" w:pos="1021"/>
      </w:tabs>
      <w:ind w:firstLine="0"/>
    </w:pPr>
  </w:style>
  <w:style w:type="paragraph" w:customStyle="1" w:styleId="Warning">
    <w:name w:val="Warning"/>
    <w:basedOn w:val="BodyText"/>
    <w:rsid w:val="005B78F4"/>
    <w:pPr>
      <w:shd w:val="clear" w:color="auto" w:fill="D9D9D9"/>
      <w:tabs>
        <w:tab w:val="left" w:pos="992"/>
      </w:tabs>
      <w:ind w:left="119" w:right="119"/>
    </w:pPr>
    <w:rPr>
      <w:sz w:val="20"/>
    </w:rPr>
  </w:style>
  <w:style w:type="paragraph" w:customStyle="1" w:styleId="MarginIcons">
    <w:name w:val="Margin Icons"/>
    <w:basedOn w:val="BodyText"/>
    <w:rsid w:val="005B7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8F4"/>
    <w:rPr>
      <w:rFonts w:ascii="Courier New" w:hAnsi="Courier New"/>
    </w:rPr>
  </w:style>
  <w:style w:type="paragraph" w:customStyle="1" w:styleId="NoteBullet">
    <w:name w:val="Note Bullet"/>
    <w:basedOn w:val="Note"/>
    <w:rsid w:val="005B78F4"/>
    <w:pPr>
      <w:tabs>
        <w:tab w:val="clear" w:pos="680"/>
      </w:tabs>
      <w:spacing w:before="60" w:after="60"/>
    </w:pPr>
  </w:style>
  <w:style w:type="paragraph" w:customStyle="1" w:styleId="SubHeading2">
    <w:name w:val="SubHeading2"/>
    <w:basedOn w:val="HeadingBase"/>
    <w:rsid w:val="005B78F4"/>
    <w:pPr>
      <w:spacing w:before="240" w:after="60"/>
    </w:pPr>
    <w:rPr>
      <w:sz w:val="20"/>
    </w:rPr>
  </w:style>
  <w:style w:type="paragraph" w:customStyle="1" w:styleId="SubHeading1">
    <w:name w:val="SubHeading1"/>
    <w:basedOn w:val="HeadingBase"/>
    <w:rsid w:val="005B78F4"/>
    <w:pPr>
      <w:spacing w:before="240" w:after="60"/>
    </w:pPr>
    <w:rPr>
      <w:color w:val="918585"/>
      <w:sz w:val="22"/>
    </w:rPr>
  </w:style>
  <w:style w:type="paragraph" w:customStyle="1" w:styleId="SideHeading">
    <w:name w:val="Side Heading"/>
    <w:basedOn w:val="HeadingBase"/>
    <w:rsid w:val="005B7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8F4"/>
    <w:pPr>
      <w:numPr>
        <w:numId w:val="12"/>
      </w:numPr>
    </w:pPr>
  </w:style>
  <w:style w:type="paragraph" w:styleId="PlainText">
    <w:name w:val="Plain Text"/>
    <w:basedOn w:val="Normal"/>
    <w:link w:val="PlainTextChar"/>
    <w:rsid w:val="005B78F4"/>
    <w:rPr>
      <w:sz w:val="20"/>
    </w:rPr>
  </w:style>
  <w:style w:type="character" w:customStyle="1" w:styleId="PlainTextChar">
    <w:name w:val="Plain Text Char"/>
    <w:basedOn w:val="DefaultParagraphFont"/>
    <w:link w:val="PlainText"/>
    <w:rsid w:val="005B78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78F4"/>
    <w:rPr>
      <w:b/>
      <w:smallCaps/>
    </w:rPr>
  </w:style>
  <w:style w:type="paragraph" w:customStyle="1" w:styleId="TableListNumber">
    <w:name w:val="Table List Number"/>
    <w:basedOn w:val="ListNumber"/>
    <w:rsid w:val="005B78F4"/>
    <w:pPr>
      <w:numPr>
        <w:numId w:val="0"/>
      </w:numPr>
    </w:pPr>
  </w:style>
  <w:style w:type="paragraph" w:styleId="TOC4">
    <w:name w:val="toc 4"/>
    <w:basedOn w:val="TOCBase"/>
    <w:next w:val="Normal"/>
    <w:semiHidden/>
    <w:rsid w:val="005B78F4"/>
    <w:pPr>
      <w:tabs>
        <w:tab w:val="right" w:leader="dot" w:pos="9071"/>
      </w:tabs>
      <w:ind w:left="1701"/>
    </w:pPr>
  </w:style>
  <w:style w:type="paragraph" w:customStyle="1" w:styleId="ListAlpha">
    <w:name w:val="List Alpha"/>
    <w:basedOn w:val="List"/>
    <w:rsid w:val="005B78F4"/>
    <w:pPr>
      <w:numPr>
        <w:numId w:val="9"/>
      </w:numPr>
    </w:pPr>
  </w:style>
  <w:style w:type="paragraph" w:customStyle="1" w:styleId="ListAlpha2">
    <w:name w:val="List Alpha 2"/>
    <w:basedOn w:val="List2"/>
    <w:rsid w:val="005B78F4"/>
    <w:pPr>
      <w:numPr>
        <w:numId w:val="8"/>
      </w:numPr>
    </w:pPr>
  </w:style>
  <w:style w:type="paragraph" w:styleId="List3">
    <w:name w:val="List 3"/>
    <w:basedOn w:val="BodyText"/>
    <w:rsid w:val="005B78F4"/>
    <w:pPr>
      <w:tabs>
        <w:tab w:val="left" w:pos="1021"/>
      </w:tabs>
      <w:spacing w:before="60" w:after="60"/>
      <w:ind w:left="1020" w:hanging="340"/>
    </w:pPr>
  </w:style>
  <w:style w:type="paragraph" w:styleId="List4">
    <w:name w:val="List 4"/>
    <w:basedOn w:val="BodyText"/>
    <w:rsid w:val="005B78F4"/>
    <w:pPr>
      <w:tabs>
        <w:tab w:val="left" w:pos="1361"/>
      </w:tabs>
      <w:spacing w:before="60" w:after="60"/>
      <w:ind w:left="1361" w:hanging="340"/>
    </w:pPr>
  </w:style>
  <w:style w:type="paragraph" w:styleId="List5">
    <w:name w:val="List 5"/>
    <w:basedOn w:val="BodyText"/>
    <w:rsid w:val="005B78F4"/>
    <w:pPr>
      <w:tabs>
        <w:tab w:val="left" w:pos="1701"/>
      </w:tabs>
      <w:spacing w:before="60" w:after="60"/>
      <w:ind w:left="1701" w:hanging="340"/>
    </w:pPr>
  </w:style>
  <w:style w:type="paragraph" w:styleId="ListBullet3">
    <w:name w:val="List Bullet 3"/>
    <w:basedOn w:val="List3"/>
    <w:rsid w:val="005B78F4"/>
    <w:pPr>
      <w:numPr>
        <w:numId w:val="15"/>
      </w:numPr>
      <w:tabs>
        <w:tab w:val="clear" w:pos="1021"/>
      </w:tabs>
      <w:ind w:left="1037" w:hanging="357"/>
    </w:pPr>
  </w:style>
  <w:style w:type="paragraph" w:styleId="ListBullet4">
    <w:name w:val="List Bullet 4"/>
    <w:basedOn w:val="List4"/>
    <w:rsid w:val="005B78F4"/>
    <w:pPr>
      <w:numPr>
        <w:numId w:val="3"/>
      </w:numPr>
    </w:pPr>
  </w:style>
  <w:style w:type="paragraph" w:styleId="ListBullet5">
    <w:name w:val="List Bullet 5"/>
    <w:basedOn w:val="List5"/>
    <w:rsid w:val="005B78F4"/>
    <w:pPr>
      <w:numPr>
        <w:numId w:val="4"/>
      </w:numPr>
    </w:pPr>
  </w:style>
  <w:style w:type="paragraph" w:styleId="ListContinue2">
    <w:name w:val="List Continue 2"/>
    <w:basedOn w:val="List2"/>
    <w:rsid w:val="005B78F4"/>
    <w:pPr>
      <w:ind w:firstLine="0"/>
    </w:pPr>
  </w:style>
  <w:style w:type="paragraph" w:styleId="ListContinue3">
    <w:name w:val="List Continue 3"/>
    <w:basedOn w:val="List3"/>
    <w:rsid w:val="005B78F4"/>
    <w:pPr>
      <w:ind w:left="1021" w:firstLine="0"/>
    </w:pPr>
  </w:style>
  <w:style w:type="paragraph" w:styleId="ListContinue4">
    <w:name w:val="List Continue 4"/>
    <w:basedOn w:val="List4"/>
    <w:rsid w:val="005B78F4"/>
    <w:pPr>
      <w:ind w:firstLine="0"/>
    </w:pPr>
  </w:style>
  <w:style w:type="paragraph" w:styleId="ListContinue5">
    <w:name w:val="List Continue 5"/>
    <w:basedOn w:val="List5"/>
    <w:rsid w:val="005B78F4"/>
    <w:pPr>
      <w:ind w:firstLine="0"/>
    </w:pPr>
  </w:style>
  <w:style w:type="paragraph" w:styleId="ListNumber3">
    <w:name w:val="List Number 3"/>
    <w:basedOn w:val="List3"/>
    <w:rsid w:val="005B78F4"/>
    <w:pPr>
      <w:numPr>
        <w:numId w:val="5"/>
      </w:numPr>
    </w:pPr>
  </w:style>
  <w:style w:type="paragraph" w:styleId="ListNumber4">
    <w:name w:val="List Number 4"/>
    <w:basedOn w:val="List4"/>
    <w:rsid w:val="005B78F4"/>
    <w:pPr>
      <w:numPr>
        <w:numId w:val="6"/>
      </w:numPr>
    </w:pPr>
  </w:style>
  <w:style w:type="paragraph" w:styleId="ListNumber5">
    <w:name w:val="List Number 5"/>
    <w:basedOn w:val="List5"/>
    <w:rsid w:val="005B78F4"/>
    <w:pPr>
      <w:numPr>
        <w:numId w:val="7"/>
      </w:numPr>
    </w:pPr>
  </w:style>
  <w:style w:type="paragraph" w:styleId="BlockText">
    <w:name w:val="Block Text"/>
    <w:basedOn w:val="Normal"/>
    <w:rsid w:val="005B78F4"/>
    <w:pPr>
      <w:spacing w:after="120"/>
      <w:ind w:left="1440" w:right="1440"/>
    </w:pPr>
  </w:style>
  <w:style w:type="character" w:customStyle="1" w:styleId="Subscript">
    <w:name w:val="Subscript"/>
    <w:basedOn w:val="DefaultParagraphFont"/>
    <w:rsid w:val="005B78F4"/>
    <w:rPr>
      <w:sz w:val="16"/>
      <w:vertAlign w:val="subscript"/>
    </w:rPr>
  </w:style>
  <w:style w:type="character" w:customStyle="1" w:styleId="Superscript">
    <w:name w:val="Superscript"/>
    <w:basedOn w:val="DefaultParagraphFont"/>
    <w:rsid w:val="005B78F4"/>
    <w:rPr>
      <w:sz w:val="16"/>
      <w:vertAlign w:val="superscript"/>
    </w:rPr>
  </w:style>
  <w:style w:type="character" w:customStyle="1" w:styleId="Symbols">
    <w:name w:val="Symbols"/>
    <w:basedOn w:val="DefaultParagraphFont"/>
    <w:rsid w:val="005B78F4"/>
    <w:rPr>
      <w:rFonts w:ascii="Symbol" w:hAnsi="Symbol"/>
    </w:rPr>
  </w:style>
  <w:style w:type="character" w:customStyle="1" w:styleId="MenuOptions">
    <w:name w:val="Menu Options"/>
    <w:basedOn w:val="DefaultParagraphFont"/>
    <w:rsid w:val="005B78F4"/>
    <w:rPr>
      <w:rFonts w:ascii="Arial Narrow" w:hAnsi="Arial Narrow"/>
      <w:smallCaps/>
    </w:rPr>
  </w:style>
  <w:style w:type="character" w:customStyle="1" w:styleId="Buttons">
    <w:name w:val="Buttons"/>
    <w:basedOn w:val="DefaultParagraphFont"/>
    <w:rsid w:val="005B78F4"/>
    <w:rPr>
      <w:b/>
    </w:rPr>
  </w:style>
  <w:style w:type="character" w:customStyle="1" w:styleId="Underlined">
    <w:name w:val="Underlined"/>
    <w:basedOn w:val="DefaultParagraphFont"/>
    <w:rsid w:val="005B78F4"/>
    <w:rPr>
      <w:u w:val="single"/>
    </w:rPr>
  </w:style>
  <w:style w:type="paragraph" w:customStyle="1" w:styleId="TableBodyTextRight">
    <w:name w:val="Table Body Text Right"/>
    <w:basedOn w:val="TableBodyText"/>
    <w:rsid w:val="005B78F4"/>
    <w:pPr>
      <w:widowControl w:val="0"/>
      <w:autoSpaceDE w:val="0"/>
      <w:autoSpaceDN w:val="0"/>
      <w:adjustRightInd w:val="0"/>
      <w:jc w:val="right"/>
    </w:pPr>
    <w:rPr>
      <w:rFonts w:cs="Arial"/>
      <w:szCs w:val="18"/>
    </w:rPr>
  </w:style>
  <w:style w:type="paragraph" w:customStyle="1" w:styleId="CopyrightText">
    <w:name w:val="Copyright Text"/>
    <w:basedOn w:val="BodyText"/>
    <w:rsid w:val="005B78F4"/>
    <w:rPr>
      <w:sz w:val="18"/>
    </w:rPr>
  </w:style>
  <w:style w:type="paragraph" w:customStyle="1" w:styleId="BodySmallRight">
    <w:name w:val="Body Small Right"/>
    <w:basedOn w:val="BodyTextRight"/>
    <w:rsid w:val="005B78F4"/>
    <w:rPr>
      <w:sz w:val="18"/>
      <w:szCs w:val="18"/>
    </w:rPr>
  </w:style>
  <w:style w:type="paragraph" w:customStyle="1" w:styleId="MarginEdition">
    <w:name w:val="Margin Edition"/>
    <w:basedOn w:val="MarginNote"/>
    <w:rsid w:val="005B78F4"/>
    <w:pPr>
      <w:spacing w:before="0" w:after="0"/>
    </w:pPr>
    <w:rPr>
      <w:rFonts w:ascii="Times New Roman" w:hAnsi="Times New Roman"/>
      <w:color w:val="999999"/>
    </w:rPr>
  </w:style>
  <w:style w:type="paragraph" w:customStyle="1" w:styleId="Spacer">
    <w:name w:val="Spacer"/>
    <w:basedOn w:val="Normal"/>
    <w:rsid w:val="005B78F4"/>
    <w:rPr>
      <w:sz w:val="2"/>
      <w:szCs w:val="2"/>
    </w:rPr>
  </w:style>
  <w:style w:type="character" w:customStyle="1" w:styleId="Small">
    <w:name w:val="Small"/>
    <w:basedOn w:val="DefaultParagraphFont"/>
    <w:rsid w:val="005B78F4"/>
    <w:rPr>
      <w:sz w:val="16"/>
    </w:rPr>
  </w:style>
  <w:style w:type="paragraph" w:customStyle="1" w:styleId="WideTable">
    <w:name w:val="Wide Table"/>
    <w:basedOn w:val="Normal"/>
    <w:rsid w:val="005B78F4"/>
    <w:pPr>
      <w:ind w:left="-1418"/>
    </w:pPr>
    <w:rPr>
      <w:sz w:val="2"/>
      <w:szCs w:val="2"/>
    </w:rPr>
  </w:style>
  <w:style w:type="character" w:styleId="PageNumber">
    <w:name w:val="page number"/>
    <w:basedOn w:val="DefaultParagraphFont"/>
    <w:rsid w:val="005B78F4"/>
  </w:style>
  <w:style w:type="paragraph" w:styleId="Quote">
    <w:name w:val="Quote"/>
    <w:basedOn w:val="Heading1"/>
    <w:link w:val="QuoteChar"/>
    <w:qFormat/>
    <w:rsid w:val="005B78F4"/>
    <w:rPr>
      <w:b w:val="0"/>
      <w:sz w:val="72"/>
      <w:szCs w:val="72"/>
      <w:lang w:val="en-NZ"/>
    </w:rPr>
  </w:style>
  <w:style w:type="character" w:customStyle="1" w:styleId="QuoteChar">
    <w:name w:val="Quote Char"/>
    <w:basedOn w:val="DefaultParagraphFont"/>
    <w:link w:val="Quote"/>
    <w:rsid w:val="005B7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8F4"/>
    <w:pPr>
      <w:pageBreakBefore/>
    </w:pPr>
  </w:style>
  <w:style w:type="paragraph" w:customStyle="1" w:styleId="Border">
    <w:name w:val="Border"/>
    <w:basedOn w:val="Normal"/>
    <w:qFormat/>
    <w:rsid w:val="005B7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8F4"/>
    <w:rPr>
      <w:b/>
      <w:bCs/>
      <w:i/>
      <w:iCs/>
      <w:color w:val="auto"/>
    </w:rPr>
  </w:style>
  <w:style w:type="paragraph" w:styleId="IntenseQuote">
    <w:name w:val="Intense Quote"/>
    <w:basedOn w:val="Normal"/>
    <w:next w:val="Normal"/>
    <w:link w:val="IntenseQuoteChar"/>
    <w:uiPriority w:val="30"/>
    <w:qFormat/>
    <w:rsid w:val="005B7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8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78F4"/>
    <w:rPr>
      <w:smallCaps/>
      <w:color w:val="auto"/>
      <w:u w:val="single"/>
    </w:rPr>
  </w:style>
  <w:style w:type="character" w:styleId="IntenseReference">
    <w:name w:val="Intense Reference"/>
    <w:basedOn w:val="DefaultParagraphFont"/>
    <w:uiPriority w:val="32"/>
    <w:qFormat/>
    <w:rsid w:val="005B78F4"/>
    <w:rPr>
      <w:b/>
      <w:bCs/>
      <w:smallCaps/>
      <w:color w:val="auto"/>
      <w:spacing w:val="5"/>
      <w:u w:val="single"/>
    </w:rPr>
  </w:style>
  <w:style w:type="paragraph" w:customStyle="1" w:styleId="2ColumnHeading">
    <w:name w:val="2Column Heading"/>
    <w:basedOn w:val="BodyText"/>
    <w:qFormat/>
    <w:rsid w:val="005B78F4"/>
    <w:pPr>
      <w:spacing w:after="60"/>
      <w:ind w:left="-2268"/>
    </w:pPr>
    <w:rPr>
      <w:b/>
    </w:rPr>
  </w:style>
  <w:style w:type="paragraph" w:customStyle="1" w:styleId="Heading1TOC">
    <w:name w:val="Heading1 TOC"/>
    <w:basedOn w:val="Normal"/>
    <w:qFormat/>
    <w:rsid w:val="005B78F4"/>
    <w:pPr>
      <w:spacing w:before="240" w:after="120"/>
    </w:pPr>
    <w:rPr>
      <w:rFonts w:ascii="Times New Roman" w:hAnsi="Times New Roman"/>
      <w:b/>
      <w:sz w:val="32"/>
    </w:rPr>
  </w:style>
  <w:style w:type="paragraph" w:customStyle="1" w:styleId="Heading2TOC">
    <w:name w:val="Heading2 TOC"/>
    <w:basedOn w:val="Normal"/>
    <w:qFormat/>
    <w:rsid w:val="005B78F4"/>
    <w:pPr>
      <w:spacing w:before="240" w:after="60"/>
    </w:pPr>
    <w:rPr>
      <w:rFonts w:ascii="Times New Roman" w:hAnsi="Times New Roman"/>
      <w:b/>
      <w:sz w:val="28"/>
    </w:rPr>
  </w:style>
  <w:style w:type="character" w:customStyle="1" w:styleId="Underline">
    <w:name w:val="Underline"/>
    <w:basedOn w:val="DefaultParagraphFont"/>
    <w:qFormat/>
    <w:rsid w:val="005B78F4"/>
    <w:rPr>
      <w:u w:val="single"/>
    </w:rPr>
  </w:style>
  <w:style w:type="paragraph" w:styleId="BalloonText">
    <w:name w:val="Balloon Text"/>
    <w:basedOn w:val="Normal"/>
    <w:link w:val="BalloonTextChar"/>
    <w:rsid w:val="005B78F4"/>
    <w:rPr>
      <w:rFonts w:ascii="Tahoma" w:hAnsi="Tahoma" w:cs="Tahoma"/>
      <w:sz w:val="16"/>
      <w:szCs w:val="16"/>
    </w:rPr>
  </w:style>
  <w:style w:type="character" w:customStyle="1" w:styleId="BalloonTextChar">
    <w:name w:val="Balloon Text Char"/>
    <w:basedOn w:val="DefaultParagraphFont"/>
    <w:link w:val="BalloonText"/>
    <w:rsid w:val="005B78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78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78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1551</Words>
  <Characters>9926</Characters>
  <Application>Microsoft Office Word</Application>
  <DocSecurity>0</DocSecurity>
  <Lines>366</Lines>
  <Paragraphs>198</Paragraphs>
  <ScaleCrop>false</ScaleCrop>
  <Company>Author-it Software Corporation Ltd.</Company>
  <LinksUpToDate>false</LinksUpToDate>
  <CharactersWithSpaces>11419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CPCCSI2007A Apply fasteners and fixings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2012-05-26T05:35:00Z</dcterms:created>
  <dcterms:modified xsi:type="dcterms:W3CDTF">2012-05-26T05:35:00Z</dcterms:modified>
</cp:coreProperties>
</file>