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CD1" w:rsidP="00093CD1">
      <w:pPr>
        <w:pStyle w:val="Title"/>
      </w:pPr>
      <w:r>
        <w:fldChar w:fldCharType="begin"/>
      </w:r>
      <w:r>
        <w:instrText xml:space="preserve"> TITLE   \* MERGEFORMAT </w:instrText>
      </w:r>
      <w:r>
        <w:fldChar w:fldCharType="separate"/>
      </w:r>
      <w:r>
        <w:t>CPCCSI2003A Prepare surfaces for signage</w:t>
      </w:r>
      <w:r>
        <w:fldChar w:fldCharType="end"/>
      </w:r>
    </w:p>
    <w:p w:rsidR="00093CD1" w:rsidP="00093CD1">
      <w:pPr>
        <w:pStyle w:val="Version"/>
        <w:sectPr w:rsidSect="00322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D30" w:rsidP="00322D30">
      <w:pPr>
        <w:pStyle w:val="SuperHeading"/>
      </w:pPr>
      <w:r w:rsidRPr="00322D30">
        <w:t>CPCCSI2003A Prepare surfaces for signage</w:t>
      </w:r>
    </w:p>
    <w:p w:rsidR="00000000" w:rsidRPr="00322D30" w:rsidP="00322D30">
      <w:pPr>
        <w:pStyle w:val="Heading1"/>
      </w:pPr>
      <w:bookmarkStart w:id="1" w:name="O_269683"/>
      <w:bookmarkEnd w:id="1"/>
      <w:r w:rsidRPr="00322D30">
        <w:t>Modification History</w:t>
      </w:r>
    </w:p>
    <w:p w:rsidR="00000000" w:rsidRPr="00322D30" w:rsidP="00322D30">
      <w:pPr>
        <w:pStyle w:val="BodyText"/>
      </w:pPr>
      <w:r w:rsidRPr="00322D30">
        <w:t>Not Applicable</w:t>
      </w:r>
    </w:p>
    <w:p w:rsidR="00000000" w:rsidRPr="00322D30" w:rsidP="00322D30">
      <w:pPr>
        <w:pStyle w:val="AllowPageBreak"/>
      </w:pPr>
    </w:p>
    <w:p w:rsidR="00000000" w:rsidRPr="00322D30" w:rsidP="00322D30">
      <w:pPr>
        <w:pStyle w:val="Heading1"/>
      </w:pPr>
      <w:bookmarkStart w:id="2" w:name="O_198556"/>
      <w:bookmarkEnd w:id="2"/>
      <w:r w:rsidRPr="00322D30">
        <w:t>Unit Descriptor</w:t>
      </w:r>
    </w:p>
    <w:tbl>
      <w:tblPr>
        <w:tblW w:w="0" w:type="auto"/>
        <w:tblLayout w:type="fixed"/>
        <w:tblCellMar>
          <w:left w:w="62" w:type="dxa"/>
          <w:right w:w="62" w:type="dxa"/>
        </w:tblCellMar>
        <w:tblLook w:val="0000"/>
      </w:tblPr>
      <w:tblGrid>
        <w:gridCol w:w="2571"/>
        <w:gridCol w:w="5951"/>
      </w:tblGrid>
      <w:tr w:rsidTr="00093CD1">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Unit descriptor</w:t>
            </w:r>
          </w:p>
        </w:tc>
        <w:tc>
          <w:tcPr>
            <w:tcW w:w="5951"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This unit of competency specifies the outcomes required to prepare a range of surfaces for signage</w:t>
            </w:r>
            <w:r w:rsidRPr="00322D30">
              <w:t xml:space="preserve"> application.</w:t>
            </w:r>
          </w:p>
          <w:p w:rsidR="00000000" w:rsidRPr="00322D30" w:rsidP="00322D30">
            <w:pPr>
              <w:pStyle w:val="BodyText"/>
            </w:pPr>
            <w:r w:rsidRPr="00322D30">
              <w:t>No licensing, legislative, regulatory or certification requirements apply to this unit at the time of publication.</w:t>
            </w:r>
          </w:p>
        </w:tc>
      </w:tr>
    </w:tbl>
    <w:p w:rsidR="00093CD1" w:rsidP="00322D30">
      <w:pPr>
        <w:pStyle w:val="BodyText"/>
      </w:pPr>
    </w:p>
    <w:p w:rsidR="00093CD1" w:rsidP="00322D30">
      <w:pPr>
        <w:pStyle w:val="BodyText"/>
      </w:pPr>
    </w:p>
    <w:p w:rsidR="00000000" w:rsidRPr="00322D30" w:rsidP="00322D30">
      <w:pPr>
        <w:pStyle w:val="Heading1"/>
      </w:pPr>
      <w:bookmarkStart w:id="3" w:name="O_198560"/>
      <w:bookmarkEnd w:id="3"/>
      <w:r w:rsidRPr="00322D30">
        <w:t>Application of the Unit</w:t>
      </w:r>
    </w:p>
    <w:tbl>
      <w:tblPr>
        <w:tblW w:w="0" w:type="auto"/>
        <w:tblLayout w:type="fixed"/>
        <w:tblCellMar>
          <w:left w:w="62" w:type="dxa"/>
          <w:right w:w="62" w:type="dxa"/>
        </w:tblCellMar>
        <w:tblLook w:val="0000"/>
      </w:tblPr>
      <w:tblGrid>
        <w:gridCol w:w="2643"/>
        <w:gridCol w:w="5879"/>
      </w:tblGrid>
      <w:tr w:rsidTr="00093CD1">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Application of the unit</w:t>
            </w:r>
          </w:p>
        </w:tc>
        <w:tc>
          <w:tcPr>
            <w:tcW w:w="5879"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 xml:space="preserve">This unit of competency supports the achievement of skills and knowledge to prepare a variety of surfaces to take sign application, and includes working with others and as a member of a team. </w:t>
            </w:r>
          </w:p>
        </w:tc>
      </w:tr>
    </w:tbl>
    <w:p w:rsidR="00093CD1" w:rsidP="00322D30">
      <w:pPr>
        <w:pStyle w:val="BodyText"/>
      </w:pPr>
    </w:p>
    <w:p w:rsidR="00093CD1" w:rsidP="00322D30">
      <w:pPr>
        <w:pStyle w:val="BodyText"/>
      </w:pPr>
    </w:p>
    <w:p w:rsidR="00000000" w:rsidRPr="00322D30" w:rsidP="00322D30">
      <w:pPr>
        <w:pStyle w:val="Heading1"/>
      </w:pPr>
      <w:bookmarkStart w:id="4" w:name="O_277943"/>
      <w:bookmarkEnd w:id="4"/>
      <w:r w:rsidRPr="00322D30">
        <w:t>Licensing/Regulatory Information</w:t>
      </w:r>
    </w:p>
    <w:p w:rsidR="00000000" w:rsidRPr="00322D30" w:rsidP="00322D30">
      <w:pPr>
        <w:pStyle w:val="BodyText"/>
      </w:pPr>
      <w:r w:rsidRPr="00322D30">
        <w:t>Refer to U</w:t>
      </w:r>
      <w:r w:rsidRPr="00322D30">
        <w:t>nit Descriptor</w:t>
      </w:r>
    </w:p>
    <w:p w:rsidR="00000000" w:rsidRPr="00322D30" w:rsidP="00322D30">
      <w:pPr>
        <w:pStyle w:val="AllowPageBreak"/>
      </w:pPr>
    </w:p>
    <w:p w:rsidR="00000000" w:rsidRPr="00322D30" w:rsidP="00322D30">
      <w:pPr>
        <w:pStyle w:val="Heading1"/>
      </w:pPr>
      <w:bookmarkStart w:id="5" w:name="O_198558"/>
      <w:bookmarkEnd w:id="5"/>
      <w:r w:rsidRPr="00322D30">
        <w:t>Pre-Requisites</w:t>
      </w:r>
    </w:p>
    <w:tbl>
      <w:tblPr>
        <w:tblW w:w="0" w:type="auto"/>
        <w:tblLayout w:type="fixed"/>
        <w:tblCellMar>
          <w:left w:w="62" w:type="dxa"/>
          <w:right w:w="62" w:type="dxa"/>
        </w:tblCellMar>
        <w:tblLook w:val="0000"/>
      </w:tblPr>
      <w:tblGrid>
        <w:gridCol w:w="2577"/>
        <w:gridCol w:w="2527"/>
        <w:gridCol w:w="3418"/>
      </w:tblGrid>
      <w:tr w:rsidTr="00093CD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Prerequisite units</w:t>
            </w:r>
          </w:p>
        </w:tc>
        <w:tc>
          <w:tcPr>
            <w:tcW w:w="5945" w:type="dxa"/>
            <w:gridSpan w:val="2"/>
            <w:tcBorders>
              <w:top w:val="nil"/>
              <w:left w:val="nil"/>
              <w:bottom w:val="nil"/>
              <w:right w:val="nil"/>
            </w:tcBorders>
            <w:tcMar>
              <w:top w:w="0" w:type="dxa"/>
              <w:left w:w="62" w:type="dxa"/>
              <w:bottom w:w="0" w:type="dxa"/>
              <w:right w:w="62" w:type="dxa"/>
            </w:tcMar>
          </w:tcPr>
          <w:p w:rsidR="00000000" w:rsidP="00322D30">
            <w:pPr>
              <w:pStyle w:val="BodyText"/>
              <w:rPr>
                <w:lang w:val="en-NZ"/>
              </w:rPr>
            </w:pPr>
          </w:p>
        </w:tc>
      </w:tr>
      <w:tr w:rsidTr="00093C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t>CPCCOHS2001A</w:t>
            </w:r>
          </w:p>
        </w:tc>
        <w:tc>
          <w:tcPr>
            <w:tcW w:w="3418"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t>Apply OHS requirements, policies and procedures in the construction industry</w:t>
            </w:r>
          </w:p>
        </w:tc>
      </w:tr>
      <w:tr w:rsidTr="00093C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8" w:type="dxa"/>
            <w:tcBorders>
              <w:top w:val="nil"/>
              <w:left w:val="nil"/>
              <w:bottom w:val="nil"/>
              <w:right w:val="nil"/>
            </w:tcBorders>
            <w:tcMar>
              <w:top w:w="0" w:type="dxa"/>
              <w:left w:w="62" w:type="dxa"/>
              <w:bottom w:w="0" w:type="dxa"/>
              <w:right w:w="62" w:type="dxa"/>
            </w:tcMar>
          </w:tcPr>
          <w:p w:rsidR="00000000" w:rsidRPr="00322D30" w:rsidP="00322D30">
            <w:pPr>
              <w:pStyle w:val="BodyText"/>
            </w:pPr>
          </w:p>
        </w:tc>
      </w:tr>
    </w:tbl>
    <w:p w:rsidR="00093CD1" w:rsidP="00322D30">
      <w:pPr>
        <w:pStyle w:val="BodyText"/>
      </w:pPr>
    </w:p>
    <w:p w:rsidR="00093CD1" w:rsidP="00322D30">
      <w:pPr>
        <w:pStyle w:val="BodyText"/>
      </w:pPr>
    </w:p>
    <w:p w:rsidR="00000000" w:rsidRPr="00322D30" w:rsidP="00322D30">
      <w:pPr>
        <w:pStyle w:val="Heading1"/>
      </w:pPr>
      <w:bookmarkStart w:id="6" w:name="O_198557"/>
      <w:bookmarkEnd w:id="6"/>
      <w:r w:rsidRPr="00322D30">
        <w:t>Employability Skills Information</w:t>
      </w:r>
    </w:p>
    <w:tbl>
      <w:tblPr>
        <w:tblW w:w="0" w:type="auto"/>
        <w:tblLayout w:type="fixed"/>
        <w:tblCellMar>
          <w:left w:w="62" w:type="dxa"/>
          <w:right w:w="62" w:type="dxa"/>
        </w:tblCellMar>
        <w:tblLook w:val="0000"/>
      </w:tblPr>
      <w:tblGrid>
        <w:gridCol w:w="2677"/>
        <w:gridCol w:w="5845"/>
      </w:tblGrid>
      <w:tr w:rsidTr="00093CD1">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This unit contains employability skills.</w:t>
            </w:r>
          </w:p>
        </w:tc>
      </w:tr>
    </w:tbl>
    <w:p w:rsidR="00093CD1" w:rsidP="00322D30">
      <w:pPr>
        <w:pStyle w:val="BodyText"/>
      </w:pPr>
    </w:p>
    <w:p w:rsidR="00093CD1" w:rsidP="00322D30">
      <w:pPr>
        <w:pStyle w:val="BodyText"/>
      </w:pPr>
    </w:p>
    <w:p w:rsidR="00000000" w:rsidRPr="00322D30" w:rsidP="00322D30">
      <w:pPr>
        <w:pStyle w:val="Heading1"/>
      </w:pPr>
      <w:bookmarkStart w:id="7" w:name="O_287729"/>
      <w:bookmarkEnd w:id="7"/>
      <w:r w:rsidRPr="00322D30">
        <w:t>Elements and Performance Criteria Pre-Content</w:t>
      </w:r>
    </w:p>
    <w:tbl>
      <w:tblPr>
        <w:tblW w:w="0" w:type="auto"/>
        <w:tblLayout w:type="fixed"/>
        <w:tblCellMar>
          <w:left w:w="62" w:type="dxa"/>
          <w:right w:w="62" w:type="dxa"/>
        </w:tblCellMar>
        <w:tblLook w:val="0000"/>
      </w:tblPr>
      <w:tblGrid>
        <w:gridCol w:w="2567"/>
        <w:gridCol w:w="5955"/>
      </w:tblGrid>
      <w:tr w:rsidTr="00093CD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22D30">
            <w:pPr>
              <w:pStyle w:val="BodyText"/>
              <w:rPr>
                <w:lang w:val="en-NZ"/>
              </w:rPr>
            </w:pPr>
            <w:r w:rsidRPr="00322D3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22D30" w:rsidP="00322D30">
            <w:pPr>
              <w:pStyle w:val="BodyText"/>
            </w:pPr>
            <w:r w:rsidRPr="00322D30">
              <w:t xml:space="preserve">Performance criteria describe the performance needed to demonstrate achievement of </w:t>
            </w:r>
            <w:r w:rsidRPr="00322D30">
              <w:t>the element. Where bold italicised text is used, further information is detailed in the required skills and knowledge section and the range statement. Assessment of performance is to be consistent with the evidence guide.</w:t>
            </w:r>
          </w:p>
        </w:tc>
      </w:tr>
    </w:tbl>
    <w:p w:rsidR="00000000" w:rsidRPr="00322D30" w:rsidP="00322D30">
      <w:pPr>
        <w:pStyle w:val="BodyText"/>
      </w:pPr>
    </w:p>
    <w:p w:rsidR="00000000" w:rsidRPr="00322D30" w:rsidP="00322D30">
      <w:pPr>
        <w:pStyle w:val="AllowPageBreak"/>
      </w:pPr>
    </w:p>
    <w:p w:rsidR="00000000" w:rsidRPr="00322D30" w:rsidP="00322D30">
      <w:pPr>
        <w:pStyle w:val="Heading1"/>
      </w:pPr>
      <w:bookmarkStart w:id="8" w:name="O_234396"/>
      <w:bookmarkEnd w:id="8"/>
      <w:r w:rsidRPr="00322D30">
        <w:t>Elements and Pe</w:t>
      </w:r>
      <w:r w:rsidRPr="00322D30">
        <w:t>rformance Criteria</w:t>
      </w:r>
    </w:p>
    <w:tbl>
      <w:tblPr>
        <w:tblW w:w="0" w:type="auto"/>
        <w:tblLayout w:type="fixed"/>
        <w:tblCellMar>
          <w:left w:w="62" w:type="dxa"/>
          <w:right w:w="62" w:type="dxa"/>
        </w:tblCellMar>
        <w:tblLook w:val="0000"/>
      </w:tblPr>
      <w:tblGrid>
        <w:gridCol w:w="2567"/>
        <w:gridCol w:w="5955"/>
      </w:tblGrid>
      <w:tr w:rsidTr="00093CD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22D30" w:rsidP="00322D30">
            <w:pPr>
              <w:pStyle w:val="BodyText"/>
            </w:pPr>
            <w:r w:rsidRPr="00322D3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22D30">
            <w:pPr>
              <w:pStyle w:val="BodyText"/>
              <w:rPr>
                <w:lang w:val="en-NZ"/>
              </w:rPr>
            </w:pPr>
            <w:r w:rsidRPr="00322D30">
              <w:rPr>
                <w:rStyle w:val="SpecialBold"/>
              </w:rPr>
              <w:t>PERFORMANCE CRITERIA</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1.</w:t>
            </w:r>
            <w:r w:rsidRPr="00322D30">
              <w:tab/>
              <w:t>Plan and prepare work.</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1.1.</w:t>
            </w:r>
            <w:r w:rsidRPr="00322D30">
              <w:tab/>
            </w:r>
            <w:r w:rsidRPr="00322D30">
              <w:rPr>
                <w:rStyle w:val="BoldandItalics"/>
              </w:rPr>
              <w:t>Quality assurance requirements</w:t>
            </w:r>
            <w:r w:rsidRPr="00322D30">
              <w:t xml:space="preserve"> of signage operations are recognised and adhered to.</w:t>
            </w:r>
          </w:p>
          <w:p w:rsidR="00000000" w:rsidRPr="00322D30" w:rsidP="00322D30">
            <w:pPr>
              <w:pStyle w:val="List2"/>
            </w:pPr>
            <w:r w:rsidRPr="00322D30">
              <w:t>1.2.</w:t>
            </w:r>
            <w:r w:rsidRPr="00322D30">
              <w:tab/>
            </w:r>
            <w:r w:rsidRPr="00322D30">
              <w:rPr>
                <w:rStyle w:val="BoldandItalics"/>
              </w:rPr>
              <w:t>Safety</w:t>
            </w:r>
            <w:r w:rsidRPr="00322D30">
              <w:t xml:space="preserve"> (</w:t>
            </w:r>
            <w:r w:rsidRPr="00322D30">
              <w:rPr>
                <w:rStyle w:val="BoldandItalics"/>
              </w:rPr>
              <w:t>OHS</w:t>
            </w:r>
            <w:r w:rsidRPr="00322D30">
              <w:t xml:space="preserve">) requirements are recognised and adhered to in accordance with </w:t>
            </w:r>
            <w:r w:rsidRPr="00322D30">
              <w:t xml:space="preserve">application tasks and workplace operations. </w:t>
            </w:r>
          </w:p>
          <w:p w:rsidR="00000000" w:rsidRPr="00322D30" w:rsidP="00322D30">
            <w:pPr>
              <w:pStyle w:val="List2"/>
            </w:pPr>
            <w:r w:rsidRPr="00322D30">
              <w:t>1.3.</w:t>
            </w:r>
            <w:r w:rsidRPr="00322D30">
              <w:tab/>
            </w:r>
            <w:r w:rsidRPr="00322D30">
              <w:rPr>
                <w:rStyle w:val="BoldandItalics"/>
              </w:rPr>
              <w:t>Job requirements</w:t>
            </w:r>
            <w:r w:rsidRPr="00322D30">
              <w:t xml:space="preserve"> are identified from drawings, specifications, instructions and/or client briefs. </w:t>
            </w:r>
          </w:p>
          <w:p w:rsidR="00000000" w:rsidRPr="00322D30" w:rsidP="00322D30">
            <w:pPr>
              <w:pStyle w:val="List2"/>
            </w:pPr>
            <w:r w:rsidRPr="00322D30">
              <w:t>1.4.</w:t>
            </w:r>
            <w:r w:rsidRPr="00322D30">
              <w:tab/>
              <w:t>Product range is assessed and selected in accordance with job requirements and relevant Australian sta</w:t>
            </w:r>
            <w:r w:rsidRPr="00322D30">
              <w:t>ndards.</w:t>
            </w:r>
          </w:p>
          <w:p w:rsidR="00000000" w:rsidRPr="00322D30" w:rsidP="00322D30">
            <w:pPr>
              <w:pStyle w:val="List2"/>
            </w:pPr>
            <w:r w:rsidRPr="00322D30">
              <w:t>1.5.</w:t>
            </w:r>
            <w:r w:rsidRPr="00322D30">
              <w:tab/>
              <w:t>Paint systems and materials are selected to carry out tasks consistent with job requirements.</w:t>
            </w:r>
          </w:p>
          <w:p w:rsidR="00000000" w:rsidRPr="00322D30" w:rsidP="00322D30">
            <w:pPr>
              <w:pStyle w:val="List2"/>
            </w:pPr>
            <w:r w:rsidRPr="00322D30">
              <w:t>1.6.</w:t>
            </w:r>
            <w:r w:rsidRPr="00322D30">
              <w:tab/>
            </w:r>
            <w:r w:rsidRPr="00322D30">
              <w:rPr>
                <w:rStyle w:val="BoldandItalics"/>
              </w:rPr>
              <w:t>Tools and equipment</w:t>
            </w:r>
            <w:r w:rsidRPr="00322D30">
              <w:t xml:space="preserve"> are selected to carry out tasks consistent with job requirements. </w:t>
            </w:r>
          </w:p>
          <w:p w:rsidR="00000000" w:rsidRPr="00322D30" w:rsidP="00322D30">
            <w:pPr>
              <w:pStyle w:val="List2"/>
            </w:pPr>
            <w:r w:rsidRPr="00322D30">
              <w:t>1.7.</w:t>
            </w:r>
            <w:r w:rsidRPr="00322D30">
              <w:tab/>
              <w:t>Routine maintenance requirements of equipment are id</w:t>
            </w:r>
            <w:r w:rsidRPr="00322D30">
              <w:t>entified and implemented in accordance with workplace and quality assurance procedures.</w:t>
            </w:r>
          </w:p>
          <w:p w:rsidR="00000000" w:rsidP="00322D30">
            <w:pPr>
              <w:pStyle w:val="List2"/>
              <w:rPr>
                <w:lang w:val="en-NZ"/>
              </w:rPr>
            </w:pPr>
            <w:r w:rsidRPr="00322D30">
              <w:t>1.8.</w:t>
            </w:r>
            <w:r w:rsidRPr="00322D30">
              <w:tab/>
              <w:t>Temporary or permanent application of materials is determined from job requirements.</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2.</w:t>
            </w:r>
            <w:r w:rsidRPr="00322D30">
              <w:tab/>
              <w:t>Prepare surface and apply undercoat or primer.</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2.1.</w:t>
            </w:r>
            <w:r w:rsidRPr="00322D30">
              <w:tab/>
              <w:t xml:space="preserve">Surface is </w:t>
            </w:r>
            <w:r w:rsidRPr="00322D30">
              <w:rPr>
                <w:rStyle w:val="BoldandItalics"/>
              </w:rPr>
              <w:t>cleaned and</w:t>
            </w:r>
            <w:r w:rsidRPr="00322D30">
              <w:t>/</w:t>
            </w:r>
            <w:r w:rsidRPr="00322D30">
              <w:rPr>
                <w:rStyle w:val="BoldandItalics"/>
              </w:rPr>
              <w:t>or abraded</w:t>
            </w:r>
            <w:r w:rsidRPr="00322D30">
              <w:t xml:space="preserve"> with appropriate tools and equipment to manufacturer specifications. </w:t>
            </w:r>
          </w:p>
          <w:p w:rsidR="00000000" w:rsidP="00322D30">
            <w:pPr>
              <w:pStyle w:val="List2"/>
              <w:rPr>
                <w:lang w:val="en-NZ"/>
              </w:rPr>
            </w:pPr>
            <w:r w:rsidRPr="00322D30">
              <w:t>2.2.</w:t>
            </w:r>
            <w:r w:rsidRPr="00322D30">
              <w:tab/>
            </w:r>
            <w:r w:rsidRPr="00322D30">
              <w:rPr>
                <w:rStyle w:val="BoldandItalics"/>
              </w:rPr>
              <w:t>Undercoat or primer</w:t>
            </w:r>
            <w:r w:rsidRPr="00322D30">
              <w:t xml:space="preserve"> is applied to manufacturer specifications. </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3.</w:t>
            </w:r>
            <w:r w:rsidRPr="00322D30">
              <w:tab/>
              <w:t>Apply paint coating using spray application.</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3.1.</w:t>
            </w:r>
            <w:r w:rsidRPr="00322D30">
              <w:tab/>
              <w:t xml:space="preserve">Appropriate spray gun is selected, used safely and </w:t>
            </w:r>
            <w:r w:rsidRPr="00322D30">
              <w:t>effectively and set to meet manufacturer specifications.</w:t>
            </w:r>
          </w:p>
          <w:p w:rsidR="00000000" w:rsidRPr="00322D30" w:rsidP="00322D30">
            <w:pPr>
              <w:pStyle w:val="List2"/>
            </w:pPr>
            <w:r w:rsidRPr="00322D30">
              <w:t>3.2.</w:t>
            </w:r>
            <w:r w:rsidRPr="00322D30">
              <w:tab/>
              <w:t>Air compressor is set to meet manufacturer specifications.</w:t>
            </w:r>
          </w:p>
          <w:p w:rsidR="00000000" w:rsidRPr="00322D30" w:rsidP="00322D30">
            <w:pPr>
              <w:pStyle w:val="List2"/>
            </w:pPr>
            <w:r w:rsidRPr="00322D30">
              <w:t>3.3.</w:t>
            </w:r>
            <w:r w:rsidRPr="00322D30">
              <w:tab/>
              <w:t xml:space="preserve">Compatible </w:t>
            </w:r>
            <w:r w:rsidRPr="00322D30">
              <w:rPr>
                <w:rStyle w:val="BoldandItalics"/>
              </w:rPr>
              <w:t>coating type</w:t>
            </w:r>
            <w:r w:rsidRPr="00322D30">
              <w:t xml:space="preserve"> for </w:t>
            </w:r>
            <w:r w:rsidRPr="00322D30">
              <w:rPr>
                <w:rStyle w:val="BoldandItalics"/>
              </w:rPr>
              <w:t>substrate</w:t>
            </w:r>
            <w:r w:rsidRPr="00322D30">
              <w:t xml:space="preserve"> is selected and the correct viscosity of paint is determined for specified application. </w:t>
            </w:r>
          </w:p>
          <w:p w:rsidR="00000000" w:rsidRPr="00322D30" w:rsidP="00322D30">
            <w:pPr>
              <w:pStyle w:val="List2"/>
            </w:pPr>
            <w:r w:rsidRPr="00322D30">
              <w:t>3.4</w:t>
            </w:r>
            <w:r w:rsidRPr="00322D30">
              <w:t>.</w:t>
            </w:r>
            <w:r w:rsidRPr="00322D30">
              <w:tab/>
              <w:t>Coating is applied evenly over the surface area.</w:t>
            </w:r>
          </w:p>
          <w:p w:rsidR="00000000" w:rsidP="00322D30">
            <w:pPr>
              <w:pStyle w:val="List2"/>
              <w:rPr>
                <w:lang w:val="en-NZ"/>
              </w:rPr>
            </w:pPr>
            <w:r w:rsidRPr="00322D30">
              <w:t>3.5.</w:t>
            </w:r>
            <w:r w:rsidRPr="00322D30">
              <w:tab/>
              <w:t>Tools and equipment are cleaned using the correct cleaning products and procedures.</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4.</w:t>
            </w:r>
            <w:r w:rsidRPr="00322D30">
              <w:tab/>
              <w:t>Apply paint coating using brush application.</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4.1.</w:t>
            </w:r>
            <w:r w:rsidRPr="00322D30">
              <w:tab/>
              <w:t>Appropriate brushware and compatible coating type for the subs</w:t>
            </w:r>
            <w:r w:rsidRPr="00322D30">
              <w:t>trate are selected.</w:t>
            </w:r>
          </w:p>
          <w:p w:rsidR="00000000" w:rsidRPr="00322D30" w:rsidP="00322D30">
            <w:pPr>
              <w:pStyle w:val="List2"/>
            </w:pPr>
            <w:r w:rsidRPr="00322D30">
              <w:t>4.2.</w:t>
            </w:r>
            <w:r w:rsidRPr="00322D30">
              <w:tab/>
              <w:t>Coating is applied evenly over the surface area.</w:t>
            </w:r>
          </w:p>
          <w:p w:rsidR="00000000" w:rsidP="00322D30">
            <w:pPr>
              <w:pStyle w:val="List2"/>
              <w:rPr>
                <w:lang w:val="en-NZ"/>
              </w:rPr>
            </w:pPr>
            <w:r w:rsidRPr="00322D30">
              <w:t>4.3.</w:t>
            </w:r>
            <w:r w:rsidRPr="00322D30">
              <w:tab/>
              <w:t>Brushes are cleaned using correct cleaning products and procedures.</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5.</w:t>
            </w:r>
            <w:r w:rsidRPr="00322D30">
              <w:tab/>
              <w:t xml:space="preserve">Apply paint coating </w:t>
            </w:r>
            <w:r w:rsidRPr="00322D30">
              <w:t>using roller application.</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5.1.</w:t>
            </w:r>
            <w:r w:rsidRPr="00322D30">
              <w:tab/>
              <w:t xml:space="preserve">Appropriate roller and roller sleeve, and compatible </w:t>
            </w:r>
            <w:r w:rsidRPr="00322D30">
              <w:t>c</w:t>
            </w:r>
            <w:r w:rsidRPr="00322D30">
              <w:t>oating type for the substrate are selected.</w:t>
            </w:r>
          </w:p>
          <w:p w:rsidR="00000000" w:rsidRPr="00322D30" w:rsidP="00322D30">
            <w:pPr>
              <w:pStyle w:val="List2"/>
            </w:pPr>
            <w:r w:rsidRPr="00322D30">
              <w:t>5.2.</w:t>
            </w:r>
            <w:r w:rsidRPr="00322D30">
              <w:tab/>
              <w:t>Coating is applied evenly over the surface area.</w:t>
            </w:r>
          </w:p>
          <w:p w:rsidR="00000000" w:rsidP="00322D30">
            <w:pPr>
              <w:pStyle w:val="List2"/>
              <w:rPr>
                <w:lang w:val="en-NZ"/>
              </w:rPr>
            </w:pPr>
            <w:r w:rsidRPr="00322D30">
              <w:t>5.3.</w:t>
            </w:r>
            <w:r w:rsidRPr="00322D30">
              <w:tab/>
              <w:t>Rollers and sleeves are cleaned using correct cleaning products.</w:t>
            </w:r>
          </w:p>
        </w:tc>
      </w:tr>
      <w:tr w:rsidTr="00093CD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2D30">
            <w:pPr>
              <w:pStyle w:val="List"/>
              <w:rPr>
                <w:lang w:val="en-NZ"/>
              </w:rPr>
            </w:pPr>
            <w:r w:rsidRPr="00322D30">
              <w:t>6.</w:t>
            </w:r>
            <w:r w:rsidRPr="00322D30">
              <w:tab/>
              <w:t>Clean up.</w:t>
            </w:r>
          </w:p>
        </w:tc>
        <w:tc>
          <w:tcPr>
            <w:tcW w:w="5955" w:type="dxa"/>
            <w:tcBorders>
              <w:top w:val="nil"/>
              <w:left w:val="nil"/>
              <w:bottom w:val="nil"/>
              <w:right w:val="nil"/>
            </w:tcBorders>
            <w:tcMar>
              <w:top w:w="0" w:type="dxa"/>
              <w:left w:w="62" w:type="dxa"/>
              <w:bottom w:w="0" w:type="dxa"/>
              <w:right w:w="62" w:type="dxa"/>
            </w:tcMar>
          </w:tcPr>
          <w:p w:rsidR="00000000" w:rsidRPr="00322D30" w:rsidP="00322D30">
            <w:pPr>
              <w:pStyle w:val="List2"/>
            </w:pPr>
            <w:r w:rsidRPr="00322D30">
              <w:t>6.1.</w:t>
            </w:r>
            <w:r w:rsidRPr="00322D30">
              <w:tab/>
            </w:r>
            <w:r w:rsidRPr="00322D30">
              <w:t>Surrounding surface environment/area is cleaned using correct solvent.</w:t>
            </w:r>
          </w:p>
          <w:p w:rsidR="00000000" w:rsidRPr="00322D30" w:rsidP="00322D30">
            <w:pPr>
              <w:pStyle w:val="List2"/>
            </w:pPr>
            <w:r w:rsidRPr="00322D30">
              <w:t>6.2.</w:t>
            </w:r>
            <w:r w:rsidRPr="00322D30">
              <w:tab/>
              <w:t xml:space="preserve">Waste materials are removed in accordance with </w:t>
            </w:r>
            <w:r w:rsidRPr="00322D30">
              <w:rPr>
                <w:rStyle w:val="BoldandItalics"/>
              </w:rPr>
              <w:t>statutory and regulatory authority requirements</w:t>
            </w:r>
            <w:r w:rsidRPr="00322D30">
              <w:t xml:space="preserve">. </w:t>
            </w:r>
          </w:p>
          <w:p w:rsidR="00000000" w:rsidRPr="00322D30" w:rsidP="00322D30">
            <w:pPr>
              <w:pStyle w:val="List2"/>
            </w:pPr>
            <w:r w:rsidRPr="00322D30">
              <w:t>6.3.</w:t>
            </w:r>
            <w:r w:rsidRPr="00322D30">
              <w:tab/>
              <w:t>Tools and equipment, including personal protective equipment, are cleaned, mai</w:t>
            </w:r>
            <w:r w:rsidRPr="00322D30">
              <w:t>ntained and stored.</w:t>
            </w:r>
          </w:p>
        </w:tc>
      </w:tr>
    </w:tbl>
    <w:p w:rsidR="00093CD1" w:rsidP="00322D30">
      <w:pPr>
        <w:pStyle w:val="BodyText"/>
      </w:pPr>
    </w:p>
    <w:p w:rsidR="00093CD1" w:rsidP="00322D30">
      <w:pPr>
        <w:pStyle w:val="BodyText"/>
      </w:pPr>
    </w:p>
    <w:p w:rsidR="00000000" w:rsidRPr="00322D30" w:rsidP="00322D30">
      <w:pPr>
        <w:pStyle w:val="Heading1"/>
      </w:pPr>
      <w:bookmarkStart w:id="9" w:name="O_258346"/>
      <w:bookmarkEnd w:id="9"/>
      <w:r w:rsidRPr="00322D30">
        <w:t>Required Skills and Knowledge</w:t>
      </w:r>
    </w:p>
    <w:tbl>
      <w:tblPr>
        <w:tblW w:w="0" w:type="auto"/>
        <w:tblLayout w:type="fixed"/>
        <w:tblCellMar>
          <w:left w:w="62" w:type="dxa"/>
          <w:right w:w="62" w:type="dxa"/>
        </w:tblCellMar>
        <w:tblLook w:val="0000"/>
      </w:tblPr>
      <w:tblGrid>
        <w:gridCol w:w="8522"/>
      </w:tblGrid>
      <w:tr w:rsidTr="00093C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REQUIRED SKILLS AND KNOWLEDGE</w:t>
            </w:r>
          </w:p>
        </w:tc>
      </w:tr>
      <w:tr w:rsidTr="00093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t>This section describes the skills and knowledge required for this unit.</w:t>
            </w:r>
          </w:p>
        </w:tc>
      </w:tr>
      <w:tr w:rsidTr="00093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Required skills</w:t>
            </w:r>
          </w:p>
        </w:tc>
      </w:tr>
      <w:tr w:rsidTr="00093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Required skills for this unit are:</w:t>
            </w:r>
          </w:p>
          <w:p w:rsidR="00000000" w:rsidRPr="00322D30" w:rsidP="00322D30">
            <w:pPr>
              <w:pStyle w:val="ListBullet"/>
            </w:pPr>
            <w:r w:rsidRPr="00322D30">
              <w:t>ability to prepare surfaces using correct applicators and materials</w:t>
            </w:r>
          </w:p>
          <w:p w:rsidR="00000000" w:rsidRPr="00322D30" w:rsidP="00322D30">
            <w:pPr>
              <w:pStyle w:val="ListBullet"/>
            </w:pPr>
            <w:r w:rsidRPr="00322D30">
              <w:t>ability to recognise procedures, respond to change and contribute to workplace responsibilities, such as current work site environmental and sustainability frameworks or management systems</w:t>
            </w:r>
          </w:p>
          <w:p w:rsidR="00000000" w:rsidRPr="00322D30" w:rsidP="00322D30">
            <w:pPr>
              <w:pStyle w:val="ListBullet"/>
            </w:pPr>
            <w:r w:rsidRPr="00322D30">
              <w:t>communication skills to:</w:t>
            </w:r>
          </w:p>
          <w:p w:rsidR="00000000" w:rsidRPr="00322D30" w:rsidP="00322D30">
            <w:pPr>
              <w:pStyle w:val="ListBullet2"/>
            </w:pPr>
            <w:r w:rsidRPr="00322D30">
              <w:t>determine requirements</w:t>
            </w:r>
          </w:p>
          <w:p w:rsidR="00000000" w:rsidRPr="00322D30" w:rsidP="00322D30">
            <w:pPr>
              <w:pStyle w:val="ListBullet2"/>
            </w:pPr>
            <w:r w:rsidRPr="00322D30">
              <w:t>enable clear and direct communication, using questioning to identify and confirm requirements, share information, listen and understand</w:t>
            </w:r>
          </w:p>
          <w:p w:rsidR="00000000" w:rsidRPr="00322D30" w:rsidP="00322D30">
            <w:pPr>
              <w:pStyle w:val="ListBullet2"/>
            </w:pPr>
            <w:r w:rsidRPr="00322D30">
              <w:t>follow instructions</w:t>
            </w:r>
          </w:p>
          <w:p w:rsidR="00000000" w:rsidRPr="00322D30" w:rsidP="00322D30">
            <w:pPr>
              <w:pStyle w:val="ListBullet2"/>
            </w:pPr>
            <w:r w:rsidRPr="00322D30">
              <w:t>read and interpret:</w:t>
            </w:r>
          </w:p>
          <w:p w:rsidR="00000000" w:rsidRPr="00322D30" w:rsidP="00322D30">
            <w:pPr>
              <w:pStyle w:val="ListBullet3"/>
            </w:pPr>
            <w:r w:rsidRPr="00322D30">
              <w:t>charts and hand drawings</w:t>
            </w:r>
          </w:p>
          <w:p w:rsidR="00000000" w:rsidRPr="00322D30" w:rsidP="00322D30">
            <w:pPr>
              <w:pStyle w:val="ListBullet3"/>
            </w:pPr>
            <w:r w:rsidRPr="00322D30">
              <w:t>computer programs</w:t>
            </w:r>
          </w:p>
          <w:p w:rsidR="00000000" w:rsidRPr="00322D30" w:rsidP="00322D30">
            <w:pPr>
              <w:pStyle w:val="ListBullet3"/>
            </w:pPr>
            <w:r w:rsidRPr="00322D30">
              <w:t>job drawings</w:t>
            </w:r>
          </w:p>
          <w:p w:rsidR="00000000" w:rsidRPr="00322D30" w:rsidP="00322D30">
            <w:pPr>
              <w:pStyle w:val="ListBullet3"/>
            </w:pPr>
            <w:r w:rsidRPr="00322D30">
              <w:t>manufacturer specifications and instructions</w:t>
            </w:r>
          </w:p>
          <w:p w:rsidR="00000000" w:rsidRPr="00322D30" w:rsidP="00322D30">
            <w:pPr>
              <w:pStyle w:val="ListBullet3"/>
            </w:pPr>
            <w:r w:rsidRPr="00322D30">
              <w:t>organisational work specifications</w:t>
            </w:r>
          </w:p>
          <w:p w:rsidR="00000000" w:rsidRPr="00322D30" w:rsidP="00322D30">
            <w:pPr>
              <w:pStyle w:val="ListBullet3"/>
            </w:pPr>
            <w:r w:rsidRPr="00322D30">
              <w:t>requirements and instructions issued by authorised organisational or external personnel</w:t>
            </w:r>
          </w:p>
          <w:p w:rsidR="00000000" w:rsidRPr="00322D30" w:rsidP="00322D30">
            <w:pPr>
              <w:pStyle w:val="ListBullet2"/>
            </w:pPr>
            <w:r w:rsidRPr="00322D30">
              <w:t>report faults</w:t>
            </w:r>
          </w:p>
          <w:p w:rsidR="00000000" w:rsidRPr="00322D30" w:rsidP="00322D30">
            <w:pPr>
              <w:pStyle w:val="ListBullet2"/>
            </w:pPr>
            <w:r w:rsidRPr="00322D30">
              <w:t>use and interpret non-verbal communication</w:t>
            </w:r>
          </w:p>
          <w:p w:rsidR="00000000" w:rsidRPr="00322D30" w:rsidP="00322D30">
            <w:pPr>
              <w:pStyle w:val="ListBullet2"/>
            </w:pPr>
            <w:r w:rsidRPr="00322D30">
              <w:t>use language and concepts appropriate to cultural differences</w:t>
            </w:r>
          </w:p>
          <w:p w:rsidR="00000000" w:rsidRPr="00322D30" w:rsidP="00322D30">
            <w:pPr>
              <w:pStyle w:val="ListBullet"/>
            </w:pPr>
            <w:r w:rsidRPr="00322D30">
              <w:t>innovation skills to select appropriate tools and equipment, respond to workplace challenges and put ideas into action</w:t>
            </w:r>
          </w:p>
          <w:p w:rsidR="00000000" w:rsidRPr="00322D30" w:rsidP="00322D30">
            <w:pPr>
              <w:pStyle w:val="ListBullet"/>
            </w:pPr>
            <w:r w:rsidRPr="00322D30">
              <w:t>problem solving skills to recognise, and take action to rectify, minor faults and problems</w:t>
            </w:r>
          </w:p>
          <w:p w:rsidR="00000000" w:rsidRPr="00322D30" w:rsidP="00322D30">
            <w:pPr>
              <w:pStyle w:val="ListBullet"/>
            </w:pPr>
            <w:r w:rsidRPr="00322D30">
              <w:t>organisational skills, including the ability to plan and set out work</w:t>
            </w:r>
          </w:p>
          <w:p w:rsidR="00000000" w:rsidP="00322D30">
            <w:pPr>
              <w:pStyle w:val="ListBullet"/>
              <w:rPr>
                <w:lang w:val="en-NZ"/>
              </w:rPr>
            </w:pPr>
            <w:r w:rsidRPr="00322D30">
              <w:t xml:space="preserve">teamwork skills to be able to coordinate with others, action tasks and relate to people from a </w:t>
            </w:r>
            <w:r w:rsidRPr="00322D30">
              <w:t>range of social, cultural, ethnic backgrounds and with varying physical and mental abilities.</w:t>
            </w:r>
          </w:p>
        </w:tc>
      </w:tr>
      <w:tr w:rsidTr="00093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Required knowledge</w:t>
            </w:r>
          </w:p>
        </w:tc>
      </w:tr>
      <w:tr w:rsidTr="00093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Required knowledge for this unit is:</w:t>
            </w:r>
          </w:p>
          <w:p w:rsidR="00000000" w:rsidRPr="00322D30" w:rsidP="00322D30">
            <w:pPr>
              <w:pStyle w:val="ListBullet"/>
            </w:pPr>
            <w:r w:rsidRPr="00322D30">
              <w:t>coating types characteristics and uses for:</w:t>
            </w:r>
          </w:p>
          <w:p w:rsidR="00000000" w:rsidRPr="00322D30" w:rsidP="00322D30">
            <w:pPr>
              <w:pStyle w:val="ListBullet2"/>
            </w:pPr>
            <w:r w:rsidRPr="00322D30">
              <w:t>acrylic lacquers and their thinner/reducer</w:t>
            </w:r>
          </w:p>
          <w:p w:rsidR="00000000" w:rsidRPr="00322D30" w:rsidP="00322D30">
            <w:pPr>
              <w:pStyle w:val="ListBullet2"/>
            </w:pPr>
            <w:r w:rsidRPr="00322D30">
              <w:t>clear finishes and their thinner</w:t>
            </w:r>
          </w:p>
          <w:p w:rsidR="00000000" w:rsidRPr="00322D30" w:rsidP="00322D30">
            <w:pPr>
              <w:pStyle w:val="ListBullet2"/>
            </w:pPr>
            <w:r w:rsidRPr="00322D30">
              <w:t>oil based paints and their solvents</w:t>
            </w:r>
          </w:p>
          <w:p w:rsidR="00000000" w:rsidRPr="00322D30" w:rsidP="00322D30">
            <w:pPr>
              <w:pStyle w:val="ListBullet2"/>
            </w:pPr>
            <w:r w:rsidRPr="00322D30">
              <w:t>spraying enamel and its thinner</w:t>
            </w:r>
          </w:p>
          <w:p w:rsidR="00000000" w:rsidRPr="00322D30" w:rsidP="00322D30">
            <w:pPr>
              <w:pStyle w:val="ListBullet2"/>
            </w:pPr>
            <w:r w:rsidRPr="00322D30">
              <w:t>two-pack paints and their thinner</w:t>
            </w:r>
          </w:p>
          <w:p w:rsidR="00000000" w:rsidRPr="00322D30" w:rsidP="00322D30">
            <w:pPr>
              <w:pStyle w:val="ListBullet2"/>
            </w:pPr>
            <w:r w:rsidRPr="00322D30">
              <w:t>water-based paints and their thinner</w:t>
            </w:r>
          </w:p>
          <w:p w:rsidR="00000000" w:rsidRPr="00322D30" w:rsidP="00322D30">
            <w:pPr>
              <w:pStyle w:val="ListBullet"/>
            </w:pPr>
            <w:r w:rsidRPr="00322D30">
              <w:t xml:space="preserve">job safety analysis (JSA) and safe work method statements </w:t>
            </w:r>
          </w:p>
          <w:p w:rsidR="00000000" w:rsidRPr="00322D30" w:rsidP="00322D30">
            <w:pPr>
              <w:pStyle w:val="ListBullet"/>
            </w:pPr>
            <w:r w:rsidRPr="00322D30">
              <w:t>material safety data she</w:t>
            </w:r>
            <w:r w:rsidRPr="00322D30">
              <w:t>ets (MSDS)</w:t>
            </w:r>
          </w:p>
          <w:p w:rsidR="00000000" w:rsidRPr="00322D30" w:rsidP="00322D30">
            <w:pPr>
              <w:pStyle w:val="ListBullet"/>
            </w:pPr>
            <w:r w:rsidRPr="00322D30">
              <w:t>quality assurance requirements, including:</w:t>
            </w:r>
          </w:p>
          <w:p w:rsidR="00000000" w:rsidRPr="00322D30" w:rsidP="00322D30">
            <w:pPr>
              <w:pStyle w:val="ListBullet2"/>
            </w:pPr>
            <w:r w:rsidRPr="00322D30">
              <w:t>Australian and international standards relevant to the sign industry</w:t>
            </w:r>
          </w:p>
          <w:p w:rsidR="00000000" w:rsidRPr="00322D30" w:rsidP="00322D30">
            <w:pPr>
              <w:pStyle w:val="ListBullet2"/>
            </w:pPr>
            <w:r w:rsidRPr="00322D30">
              <w:t>internal company quality assurance policy and risk management strategies</w:t>
            </w:r>
          </w:p>
          <w:p w:rsidR="00000000" w:rsidRPr="00322D30" w:rsidP="00322D30">
            <w:pPr>
              <w:pStyle w:val="ListBullet2"/>
            </w:pPr>
            <w:r w:rsidRPr="00322D30">
              <w:t>workplace operations and procedures</w:t>
            </w:r>
          </w:p>
          <w:p w:rsidR="00000000" w:rsidRPr="00322D30" w:rsidP="00322D30">
            <w:pPr>
              <w:pStyle w:val="ListBullet"/>
            </w:pPr>
            <w:r w:rsidRPr="00322D30">
              <w:t>relevant Australian an</w:t>
            </w:r>
            <w:r w:rsidRPr="00322D30">
              <w:t>d New Zealand standards, and:</w:t>
            </w:r>
          </w:p>
          <w:p w:rsidR="00000000" w:rsidRPr="00322D30" w:rsidP="00322D30">
            <w:pPr>
              <w:pStyle w:val="ListBullet2"/>
            </w:pPr>
            <w:r w:rsidRPr="00322D30">
              <w:t>manufacturer specifications</w:t>
            </w:r>
          </w:p>
          <w:p w:rsidR="00000000" w:rsidRPr="00322D30" w:rsidP="00322D30">
            <w:pPr>
              <w:pStyle w:val="ListBullet2"/>
            </w:pPr>
            <w:r w:rsidRPr="00322D30">
              <w:t>OHS requirements</w:t>
            </w:r>
          </w:p>
          <w:p w:rsidR="00000000" w:rsidRPr="00322D30" w:rsidP="00322D30">
            <w:pPr>
              <w:pStyle w:val="ListBullet2"/>
            </w:pPr>
            <w:r w:rsidRPr="00322D30">
              <w:t>other applicable codes or standard operating procedures relevant to the sector</w:t>
            </w:r>
          </w:p>
          <w:p w:rsidR="00000000" w:rsidRPr="00322D30" w:rsidP="00322D30">
            <w:pPr>
              <w:pStyle w:val="ListBullet"/>
            </w:pPr>
            <w:r w:rsidRPr="00322D30">
              <w:t>statutory and regulatory authority requirements, particularly those relating to:</w:t>
            </w:r>
          </w:p>
          <w:p w:rsidR="00000000" w:rsidRPr="00322D30" w:rsidP="00322D30">
            <w:pPr>
              <w:pStyle w:val="ListBullet2"/>
            </w:pPr>
            <w:r w:rsidRPr="00322D30">
              <w:t>removal of waste products</w:t>
            </w:r>
          </w:p>
          <w:p w:rsidR="00000000" w:rsidRPr="00322D30" w:rsidP="00322D30">
            <w:pPr>
              <w:pStyle w:val="ListBullet2"/>
            </w:pPr>
            <w:r w:rsidRPr="00322D30">
              <w:t>storage of chemicals</w:t>
            </w:r>
          </w:p>
          <w:p w:rsidR="00000000" w:rsidRPr="00322D30" w:rsidP="00322D30">
            <w:pPr>
              <w:pStyle w:val="ListBullet"/>
            </w:pPr>
            <w:r w:rsidRPr="00322D30">
              <w:t>terminology and definitions used in signage.</w:t>
            </w:r>
          </w:p>
        </w:tc>
      </w:tr>
    </w:tbl>
    <w:p w:rsidR="00093CD1" w:rsidP="00322D30">
      <w:pPr>
        <w:pStyle w:val="BodyText"/>
      </w:pPr>
    </w:p>
    <w:p w:rsidR="00093CD1" w:rsidP="00322D30">
      <w:pPr>
        <w:pStyle w:val="BodyText"/>
      </w:pPr>
    </w:p>
    <w:p w:rsidR="00000000" w:rsidRPr="00322D30" w:rsidP="00322D30">
      <w:pPr>
        <w:pStyle w:val="AllowPageBreak"/>
      </w:pPr>
    </w:p>
    <w:p w:rsidR="00000000" w:rsidRPr="00322D30" w:rsidP="00322D30">
      <w:pPr>
        <w:pStyle w:val="Heading1"/>
      </w:pPr>
      <w:bookmarkStart w:id="10" w:name="O_242380"/>
      <w:bookmarkEnd w:id="10"/>
      <w:r w:rsidRPr="00322D30">
        <w:t>Evidence Guide</w:t>
      </w:r>
    </w:p>
    <w:tbl>
      <w:tblPr>
        <w:tblW w:w="0" w:type="auto"/>
        <w:tblLayout w:type="fixed"/>
        <w:tblCellMar>
          <w:left w:w="62" w:type="dxa"/>
          <w:right w:w="62" w:type="dxa"/>
        </w:tblCellMar>
        <w:tblLook w:val="0000"/>
      </w:tblPr>
      <w:tblGrid>
        <w:gridCol w:w="3487"/>
        <w:gridCol w:w="5035"/>
      </w:tblGrid>
      <w:tr w:rsidTr="00093C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2D30">
            <w:pPr>
              <w:pStyle w:val="BodyText"/>
              <w:rPr>
                <w:lang w:val="en-NZ"/>
              </w:rPr>
            </w:pPr>
            <w:r w:rsidRPr="00322D30">
              <w:rPr>
                <w:rStyle w:val="SpecialBold"/>
              </w:rPr>
              <w:t>EVIDENCE GUIDE</w:t>
            </w:r>
          </w:p>
        </w:tc>
      </w:tr>
      <w:tr w:rsidTr="00093C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2D30">
            <w:pPr>
              <w:pStyle w:val="BodyText"/>
              <w:rPr>
                <w:lang w:val="en-NZ"/>
              </w:rPr>
            </w:pPr>
            <w:r w:rsidRPr="00322D30">
              <w:t xml:space="preserve">The evidence guide provides advice on assessment and must be read in conjunction with the </w:t>
            </w:r>
            <w:r w:rsidRPr="00322D30">
              <w:t>performance criteria, required skills and knowledge, range statement and the Assessment Guidelines for the Training Package.</w:t>
            </w:r>
          </w:p>
        </w:tc>
      </w:tr>
      <w:tr w:rsidTr="00093CD1">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Overview of assessment</w:t>
            </w:r>
          </w:p>
        </w:tc>
        <w:tc>
          <w:tcPr>
            <w:tcW w:w="5035"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t>This unit of competency could be assessed in the workplace or a close simulation of the workplace environment, provided that simulated or project-based assessment techniques fully replicate construction workplace conditions, materials, activities, responsi</w:t>
            </w:r>
            <w:r w:rsidRPr="00322D30">
              <w:t xml:space="preserve">bilities and procedures. </w:t>
            </w:r>
          </w:p>
        </w:tc>
      </w:tr>
      <w:tr w:rsidTr="00093CD1">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Critical aspects for assessment and evidence required to demonstrate competency in this unit</w:t>
            </w:r>
          </w:p>
        </w:tc>
        <w:tc>
          <w:tcPr>
            <w:tcW w:w="5035"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A person who demonstrates competency in this unit must be able to provide evidence of:</w:t>
            </w:r>
          </w:p>
          <w:p w:rsidR="00000000" w:rsidRPr="00322D30" w:rsidP="00322D30">
            <w:pPr>
              <w:pStyle w:val="ListBullet"/>
            </w:pPr>
            <w:r w:rsidRPr="00322D30">
              <w:t>understanding and applying:</w:t>
            </w:r>
          </w:p>
          <w:p w:rsidR="00000000" w:rsidRPr="00322D30" w:rsidP="00322D30">
            <w:pPr>
              <w:pStyle w:val="ListBullet2"/>
            </w:pPr>
            <w:r w:rsidRPr="00322D30">
              <w:t>correct coating products for particular applications according to their characteristics</w:t>
            </w:r>
          </w:p>
          <w:p w:rsidR="00000000" w:rsidRPr="00322D30" w:rsidP="00322D30">
            <w:pPr>
              <w:pStyle w:val="ListBullet2"/>
            </w:pPr>
            <w:r w:rsidRPr="00322D30">
              <w:t>solvents, thinners and reducers safely and correctly</w:t>
            </w:r>
          </w:p>
          <w:p w:rsidR="00000000" w:rsidP="00322D30">
            <w:pPr>
              <w:pStyle w:val="ListBullet"/>
              <w:rPr>
                <w:lang w:val="en-NZ"/>
              </w:rPr>
            </w:pPr>
            <w:r w:rsidRPr="00322D30">
              <w:t>using spray guns, brushes and rollers effectively to apply coatings on surfaces being prepared for signage.</w:t>
            </w:r>
          </w:p>
        </w:tc>
      </w:tr>
      <w:tr w:rsidTr="00093CD1">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Conte</w:t>
            </w:r>
            <w:r w:rsidRPr="00322D30">
              <w:rPr>
                <w:rStyle w:val="SpecialBold"/>
              </w:rPr>
              <w:t>xt of and specific resources for assessment</w:t>
            </w:r>
          </w:p>
        </w:tc>
        <w:tc>
          <w:tcPr>
            <w:tcW w:w="5035"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This competency is to be assessed using standard and authorised work practices, safety requirements and environmental constraints.</w:t>
            </w:r>
          </w:p>
          <w:p w:rsidR="00000000" w:rsidRPr="00322D30" w:rsidP="00322D30">
            <w:pPr>
              <w:pStyle w:val="BodyText"/>
            </w:pPr>
            <w:r w:rsidRPr="00322D30">
              <w:t>Assessment of essential underpinning knowledge will usually be conducted in an off-site context.</w:t>
            </w:r>
          </w:p>
          <w:p w:rsidR="00000000" w:rsidRPr="00322D30" w:rsidP="00322D30">
            <w:pPr>
              <w:pStyle w:val="BodyText"/>
            </w:pPr>
            <w:r w:rsidRPr="00322D30">
              <w:t>Assessment is to comply with relevant regulatory or Australian standards' requirements.</w:t>
            </w:r>
          </w:p>
          <w:p w:rsidR="00000000" w:rsidRPr="00322D30" w:rsidP="00322D30">
            <w:pPr>
              <w:pStyle w:val="BodyText"/>
            </w:pPr>
            <w:r w:rsidRPr="00322D30">
              <w:t>Resource implications for assessment include:</w:t>
            </w:r>
          </w:p>
          <w:p w:rsidR="00000000" w:rsidRPr="00322D30" w:rsidP="00322D30">
            <w:pPr>
              <w:pStyle w:val="ListBullet"/>
            </w:pPr>
            <w:r w:rsidRPr="00322D30">
              <w:t>an induction procedure a</w:t>
            </w:r>
            <w:r w:rsidRPr="00322D30">
              <w:t>nd requirement</w:t>
            </w:r>
          </w:p>
          <w:p w:rsidR="00000000" w:rsidRPr="00322D30" w:rsidP="00322D30">
            <w:pPr>
              <w:pStyle w:val="ListBullet"/>
            </w:pPr>
            <w:r w:rsidRPr="00322D30">
              <w:t>realistic tasks or simulated tasks covering the mandatory task requirements</w:t>
            </w:r>
          </w:p>
          <w:p w:rsidR="00000000" w:rsidRPr="00322D30" w:rsidP="00322D30">
            <w:pPr>
              <w:pStyle w:val="ListBullet"/>
            </w:pPr>
            <w:r w:rsidRPr="00322D30">
              <w:t>relevant specifications and work instructions</w:t>
            </w:r>
          </w:p>
          <w:p w:rsidR="00000000" w:rsidRPr="00322D30" w:rsidP="00322D30">
            <w:pPr>
              <w:pStyle w:val="ListBullet"/>
            </w:pPr>
            <w:r w:rsidRPr="00322D30">
              <w:t>tools and equipment appropriate to preparing surfaces for signage</w:t>
            </w:r>
          </w:p>
          <w:p w:rsidR="00000000" w:rsidRPr="00322D30" w:rsidP="00322D30">
            <w:pPr>
              <w:pStyle w:val="ListBullet"/>
            </w:pPr>
            <w:r w:rsidRPr="00322D30">
              <w:t>support materials appropriate to activity</w:t>
            </w:r>
          </w:p>
          <w:p w:rsidR="00000000" w:rsidRPr="00322D30" w:rsidP="00322D30">
            <w:pPr>
              <w:pStyle w:val="ListBullet"/>
            </w:pPr>
            <w:r w:rsidRPr="00322D30">
              <w:t>workplace i</w:t>
            </w:r>
            <w:r w:rsidRPr="00322D30">
              <w:t>nstructions relating to preparing surfaces for signage</w:t>
            </w:r>
          </w:p>
          <w:p w:rsidR="00000000" w:rsidRPr="00322D30" w:rsidP="00322D30">
            <w:pPr>
              <w:pStyle w:val="ListBullet"/>
            </w:pPr>
            <w:r w:rsidRPr="00322D30">
              <w:t>material safety data sheets</w:t>
            </w:r>
          </w:p>
          <w:p w:rsidR="00000000" w:rsidRPr="00322D30" w:rsidP="00322D30">
            <w:pPr>
              <w:pStyle w:val="ListBullet"/>
            </w:pPr>
            <w:r w:rsidRPr="00322D30">
              <w:t>research resources, including industry-related systems information.</w:t>
            </w:r>
          </w:p>
          <w:p w:rsidR="00000000" w:rsidP="00322D30">
            <w:pPr>
              <w:pStyle w:val="BodyText"/>
              <w:rPr>
                <w:lang w:val="en-NZ"/>
              </w:rPr>
            </w:pPr>
            <w:r w:rsidRPr="00322D30">
              <w:t xml:space="preserve">Reasonable adjustments for people with disabilities must be made to assessment processes where required. </w:t>
            </w:r>
            <w:r w:rsidRPr="00322D30">
              <w:t xml:space="preserve">This could include access to modified equipment and other physical resources, and the provision of appropriate assessment support. </w:t>
            </w:r>
          </w:p>
        </w:tc>
      </w:tr>
      <w:tr w:rsidTr="00093CD1">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Method of assessment</w:t>
            </w:r>
          </w:p>
        </w:tc>
        <w:tc>
          <w:tcPr>
            <w:tcW w:w="5035"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Assessment methods must:</w:t>
            </w:r>
          </w:p>
          <w:p w:rsidR="00000000" w:rsidRPr="00322D30" w:rsidP="00322D30">
            <w:pPr>
              <w:pStyle w:val="ListBullet"/>
            </w:pPr>
            <w:r w:rsidRPr="00322D30">
              <w:t>satisfy the endorsed Assessment Guidelines of the Construction, Plumbing and Services Training Package</w:t>
            </w:r>
          </w:p>
          <w:p w:rsidR="00000000" w:rsidRPr="00322D30" w:rsidP="00322D30">
            <w:pPr>
              <w:pStyle w:val="ListBullet"/>
            </w:pPr>
            <w:r w:rsidRPr="00322D30">
              <w:t xml:space="preserve">include direct observation of tasks in real or simulated work conditions, with questioning to confirm the ability to consistently identify and correctly </w:t>
            </w:r>
            <w:r w:rsidRPr="00322D30">
              <w:t>interpret the essential underpinning knowledge required for practical application</w:t>
            </w:r>
          </w:p>
          <w:p w:rsidR="00000000" w:rsidRPr="00322D30" w:rsidP="00322D30">
            <w:pPr>
              <w:pStyle w:val="ListBullet"/>
            </w:pPr>
            <w:r w:rsidRPr="00322D30">
              <w:t>reinforce the integration of employability skills with workplace tasks and job roles</w:t>
            </w:r>
          </w:p>
          <w:p w:rsidR="00000000" w:rsidRPr="00322D30" w:rsidP="00322D30">
            <w:pPr>
              <w:pStyle w:val="ListBullet"/>
            </w:pPr>
            <w:r w:rsidRPr="00322D30">
              <w:t>confirm that competency is verified and able to be transferred to other circumstances and</w:t>
            </w:r>
            <w:r w:rsidRPr="00322D30">
              <w:t xml:space="preserve"> environments.</w:t>
            </w:r>
          </w:p>
          <w:p w:rsidR="00000000" w:rsidRPr="00322D30" w:rsidP="00322D30">
            <w:pPr>
              <w:pStyle w:val="BodyText"/>
            </w:pPr>
            <w:r w:rsidRPr="00322D30">
              <w:t>Validity and sufficiency of evidence requires that:</w:t>
            </w:r>
          </w:p>
          <w:p w:rsidR="00000000" w:rsidRPr="00322D30" w:rsidP="00322D30">
            <w:pPr>
              <w:pStyle w:val="ListBullet"/>
            </w:pPr>
            <w:r w:rsidRPr="00322D30">
              <w:t>competency will need to be demonstrated over a period of time reflecting the scope of the role and the practical requirements of the workplace</w:t>
            </w:r>
          </w:p>
          <w:p w:rsidR="00000000" w:rsidRPr="00322D30" w:rsidP="00322D30">
            <w:pPr>
              <w:pStyle w:val="ListBullet"/>
            </w:pPr>
            <w:r w:rsidRPr="00322D30">
              <w:t xml:space="preserve">where the assessment is part of a structured </w:t>
            </w:r>
            <w:r w:rsidRPr="00322D30">
              <w:t>learning experience the evidence collected must relate to a number of performances assessed at different points in time and separated by further learning and practice, with a decision on competency only taken at the point when the assessor has complete con</w:t>
            </w:r>
            <w:r w:rsidRPr="00322D30">
              <w:t>fidence in the person's demonstrated ability and applied knowledge</w:t>
            </w:r>
          </w:p>
          <w:p w:rsidR="00000000" w:rsidRPr="00322D30" w:rsidP="00322D30">
            <w:pPr>
              <w:pStyle w:val="ListBullet"/>
            </w:pPr>
            <w:r w:rsidRPr="00322D30">
              <w:t>all assessment that is part of a structured learning experience must include a combination of direct, indirect and supplementary evidence.</w:t>
            </w:r>
          </w:p>
          <w:p w:rsidR="00000000" w:rsidRPr="00322D30" w:rsidP="00322D30">
            <w:pPr>
              <w:pStyle w:val="BodyText"/>
            </w:pPr>
            <w:r w:rsidRPr="00322D30">
              <w:t xml:space="preserve">Assessment processes and techniques should as far </w:t>
            </w:r>
            <w:r w:rsidRPr="00322D30">
              <w:t>as is practical take into account the language, literacy and numeracy capacity of the candidate in relation to the competency being assessed.</w:t>
            </w:r>
          </w:p>
          <w:p w:rsidR="00000000" w:rsidRPr="00322D30" w:rsidP="00322D30">
            <w:pPr>
              <w:pStyle w:val="BodyText"/>
            </w:pPr>
            <w:r w:rsidRPr="00322D30">
              <w:t>Supplementary evidence of competency may be obtained from relevant authenticated documentation from third parties,</w:t>
            </w:r>
            <w:r w:rsidRPr="00322D30">
              <w:t xml:space="preserve"> such as existing supervisors, team leaders or specialist training staff. </w:t>
            </w:r>
          </w:p>
        </w:tc>
      </w:tr>
    </w:tbl>
    <w:p w:rsidR="00093CD1" w:rsidP="00322D30">
      <w:pPr>
        <w:pStyle w:val="BodyText"/>
      </w:pPr>
    </w:p>
    <w:p w:rsidR="00093CD1" w:rsidP="00322D30">
      <w:pPr>
        <w:pStyle w:val="BodyText"/>
      </w:pPr>
    </w:p>
    <w:p w:rsidR="00000000" w:rsidRPr="00322D30" w:rsidP="00322D30">
      <w:pPr>
        <w:pStyle w:val="Heading1"/>
      </w:pPr>
      <w:bookmarkStart w:id="11" w:name="O_250363"/>
      <w:bookmarkEnd w:id="11"/>
      <w:r w:rsidRPr="00322D30">
        <w:t>Range Statement</w:t>
      </w:r>
    </w:p>
    <w:tbl>
      <w:tblPr>
        <w:tblW w:w="0" w:type="auto"/>
        <w:tblLayout w:type="fixed"/>
        <w:tblCellMar>
          <w:left w:w="62" w:type="dxa"/>
          <w:right w:w="62" w:type="dxa"/>
        </w:tblCellMar>
        <w:tblLook w:val="0000"/>
      </w:tblPr>
      <w:tblGrid>
        <w:gridCol w:w="3482"/>
        <w:gridCol w:w="5040"/>
      </w:tblGrid>
      <w:tr w:rsidTr="00093C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2D30">
            <w:pPr>
              <w:pStyle w:val="BodyText"/>
              <w:rPr>
                <w:lang w:val="en-NZ"/>
              </w:rPr>
            </w:pPr>
            <w:r w:rsidRPr="00322D30">
              <w:rPr>
                <w:rStyle w:val="SpecialBold"/>
              </w:rPr>
              <w:t>RANGE STATEMENT</w:t>
            </w:r>
          </w:p>
        </w:tc>
      </w:tr>
      <w:tr w:rsidTr="00093C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2D30">
            <w:pPr>
              <w:pStyle w:val="BodyText"/>
              <w:rPr>
                <w:lang w:val="en-NZ"/>
              </w:rPr>
            </w:pPr>
            <w:r w:rsidRPr="00322D30">
              <w:t>The range statement relates to the unit of competency as a whole. It allows for different work environments and situations that may affect performance. Bold italicised wording, if used in the performance criteria, is detailed below. Essential operating con</w:t>
            </w:r>
            <w:r w:rsidRPr="00322D30">
              <w:t>ditions that may be present with training and assessment (depending on the work situation, needs of the candidate, accessibility of the item, and local industry and regional contexts) may also be included.</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Quality assurance requirements</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attent</w:t>
            </w:r>
            <w:r w:rsidRPr="00322D30">
              <w:t>ion to work specifications</w:t>
            </w:r>
          </w:p>
          <w:p w:rsidR="00000000" w:rsidRPr="00322D30" w:rsidP="00322D30">
            <w:pPr>
              <w:pStyle w:val="ListBullet"/>
            </w:pPr>
            <w:r w:rsidRPr="00322D30">
              <w:t>Australian and international standards relevant to the sign industry</w:t>
            </w:r>
          </w:p>
          <w:p w:rsidR="00000000" w:rsidRPr="00322D30" w:rsidP="00322D30">
            <w:pPr>
              <w:pStyle w:val="ListBullet"/>
            </w:pPr>
            <w:r w:rsidRPr="00322D30">
              <w:t>control of handling procedures</w:t>
            </w:r>
          </w:p>
          <w:p w:rsidR="00000000" w:rsidRPr="00322D30" w:rsidP="00322D30">
            <w:pPr>
              <w:pStyle w:val="ListBullet"/>
            </w:pPr>
            <w:r w:rsidRPr="00322D30">
              <w:t>internal company quality assurance policy and risk management strategies</w:t>
            </w:r>
          </w:p>
          <w:p w:rsidR="00000000" w:rsidRPr="00322D30" w:rsidP="00322D30">
            <w:pPr>
              <w:pStyle w:val="ListBullet"/>
            </w:pPr>
            <w:r w:rsidRPr="00322D30">
              <w:t>procedures for installing and finishing signage</w:t>
            </w:r>
          </w:p>
          <w:p w:rsidR="00000000" w:rsidRPr="00322D30" w:rsidP="00322D30">
            <w:pPr>
              <w:pStyle w:val="ListBullet"/>
            </w:pPr>
            <w:r w:rsidRPr="00322D30">
              <w:t>quality of materials</w:t>
            </w:r>
          </w:p>
          <w:p w:rsidR="00000000" w:rsidRPr="00322D30" w:rsidP="00322D30">
            <w:pPr>
              <w:pStyle w:val="ListBullet"/>
            </w:pPr>
            <w:r w:rsidRPr="00322D30">
              <w:t>use and maintenance of equipment</w:t>
            </w:r>
          </w:p>
          <w:p w:rsidR="00000000" w:rsidP="00322D30">
            <w:pPr>
              <w:pStyle w:val="ListBullet"/>
              <w:rPr>
                <w:lang w:val="en-NZ"/>
              </w:rPr>
            </w:pPr>
            <w:r w:rsidRPr="00322D30">
              <w:t>workplace operations and procedures.</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Safety</w:t>
            </w:r>
            <w:r w:rsidRPr="00322D30">
              <w:t xml:space="preserve"> (</w:t>
            </w:r>
            <w:r w:rsidRPr="00322D30">
              <w:rPr>
                <w:rStyle w:val="BoldandItalics"/>
              </w:rPr>
              <w:t>OHS</w:t>
            </w:r>
            <w:r w:rsidRPr="00322D30">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 xml:space="preserve">emergency procedures, including </w:t>
            </w:r>
            <w:r w:rsidRPr="00322D30">
              <w:t>extinguishing fires, organisational first aid requirements and evacuation</w:t>
            </w:r>
          </w:p>
          <w:p w:rsidR="00000000" w:rsidRPr="00322D30" w:rsidP="00322D30">
            <w:pPr>
              <w:pStyle w:val="ListBullet"/>
            </w:pPr>
            <w:r w:rsidRPr="00322D30">
              <w:t>hazard control</w:t>
            </w:r>
          </w:p>
          <w:p w:rsidR="00000000" w:rsidRPr="00322D30" w:rsidP="00322D30">
            <w:pPr>
              <w:pStyle w:val="ListBullet"/>
            </w:pPr>
            <w:r w:rsidRPr="00322D30">
              <w:t>hazardous materials and substances</w:t>
            </w:r>
          </w:p>
          <w:p w:rsidR="00000000" w:rsidRPr="00322D30" w:rsidP="00322D30">
            <w:pPr>
              <w:pStyle w:val="ListBullet"/>
            </w:pPr>
            <w:r w:rsidRPr="00322D30">
              <w:t>organisational first aid</w:t>
            </w:r>
          </w:p>
          <w:p w:rsidR="00000000" w:rsidRPr="00322D30" w:rsidP="00322D30">
            <w:pPr>
              <w:pStyle w:val="ListBullet"/>
            </w:pPr>
            <w:r w:rsidRPr="00322D30">
              <w:t>PPE prescribed under legislation, regulations and workplace policies and practices</w:t>
            </w:r>
          </w:p>
          <w:p w:rsidR="00000000" w:rsidRPr="00322D30" w:rsidP="00322D30">
            <w:pPr>
              <w:pStyle w:val="ListBullet"/>
            </w:pPr>
            <w:r w:rsidRPr="00322D30">
              <w:t>safe operating procedure</w:t>
            </w:r>
            <w:r w:rsidRPr="00322D30">
              <w:t>s, including the conduct of operational risk assessment and treatments associated with:</w:t>
            </w:r>
          </w:p>
          <w:p w:rsidR="00000000" w:rsidRPr="00322D30" w:rsidP="00322D30">
            <w:pPr>
              <w:pStyle w:val="ListBullet2"/>
            </w:pPr>
            <w:r w:rsidRPr="00322D30">
              <w:t>concealed services (water, power and gas)</w:t>
            </w:r>
          </w:p>
          <w:p w:rsidR="00000000" w:rsidRPr="00322D30" w:rsidP="00322D30">
            <w:pPr>
              <w:pStyle w:val="ListBullet2"/>
            </w:pPr>
            <w:r w:rsidRPr="00322D30">
              <w:t>lighting</w:t>
            </w:r>
          </w:p>
          <w:p w:rsidR="00000000" w:rsidRPr="00322D30" w:rsidP="00322D30">
            <w:pPr>
              <w:pStyle w:val="ListBullet2"/>
            </w:pPr>
            <w:r w:rsidRPr="00322D30">
              <w:t>restricted access barriers</w:t>
            </w:r>
          </w:p>
          <w:p w:rsidR="00000000" w:rsidRPr="00322D30" w:rsidP="00322D30">
            <w:pPr>
              <w:pStyle w:val="ListBullet2"/>
            </w:pPr>
            <w:r w:rsidRPr="00322D30">
              <w:t>traffic control</w:t>
            </w:r>
          </w:p>
          <w:p w:rsidR="00000000" w:rsidRPr="00322D30" w:rsidP="00322D30">
            <w:pPr>
              <w:pStyle w:val="ListBullet2"/>
            </w:pPr>
            <w:r w:rsidRPr="00322D30">
              <w:t>working at heights</w:t>
            </w:r>
          </w:p>
          <w:p w:rsidR="00000000" w:rsidRPr="00322D30" w:rsidP="00322D30">
            <w:pPr>
              <w:pStyle w:val="ListBullet2"/>
            </w:pPr>
            <w:r w:rsidRPr="00322D30">
              <w:t>work site visitors and the public</w:t>
            </w:r>
          </w:p>
          <w:p w:rsidR="00000000" w:rsidRPr="00322D30" w:rsidP="00322D30">
            <w:pPr>
              <w:pStyle w:val="ListBullet2"/>
            </w:pPr>
            <w:r w:rsidRPr="00322D30">
              <w:t>working in confined spaces</w:t>
            </w:r>
          </w:p>
          <w:p w:rsidR="00000000" w:rsidRPr="00322D30" w:rsidP="00322D30">
            <w:pPr>
              <w:pStyle w:val="ListBullet2"/>
            </w:pPr>
            <w:r w:rsidRPr="00322D30">
              <w:t>working in proximity to others</w:t>
            </w:r>
          </w:p>
          <w:p w:rsidR="00000000" w:rsidRPr="00322D30" w:rsidP="00322D30">
            <w:pPr>
              <w:pStyle w:val="ListBullet"/>
            </w:pPr>
            <w:r w:rsidRPr="00322D30">
              <w:t>use of firefighting equipment</w:t>
            </w:r>
          </w:p>
          <w:p w:rsidR="00000000" w:rsidRPr="00322D30" w:rsidP="00322D30">
            <w:pPr>
              <w:pStyle w:val="ListBullet"/>
            </w:pPr>
            <w:r w:rsidRPr="00322D30">
              <w:t>use of machines</w:t>
            </w:r>
          </w:p>
          <w:p w:rsidR="00000000" w:rsidRPr="00322D30" w:rsidP="00322D30">
            <w:pPr>
              <w:pStyle w:val="ListBullet"/>
            </w:pPr>
            <w:r w:rsidRPr="00322D30">
              <w:t>use of tools and equipment</w:t>
            </w:r>
          </w:p>
          <w:p w:rsidR="00000000" w:rsidP="00322D30">
            <w:pPr>
              <w:pStyle w:val="ListBullet"/>
              <w:rPr>
                <w:lang w:val="en-NZ"/>
              </w:rPr>
            </w:pPr>
            <w:r w:rsidRPr="00322D30">
              <w:t>workplace environmental requirements and safety.</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Job requirements</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assessment of conditions and hazards</w:t>
            </w:r>
          </w:p>
          <w:p w:rsidR="00000000" w:rsidRPr="00322D30" w:rsidP="00322D30">
            <w:pPr>
              <w:pStyle w:val="ListBullet"/>
            </w:pPr>
            <w:r w:rsidRPr="00322D30">
              <w:t>determination of work requirements</w:t>
            </w:r>
          </w:p>
          <w:p w:rsidR="00000000" w:rsidRPr="00322D30" w:rsidP="00322D30">
            <w:pPr>
              <w:pStyle w:val="ListBullet"/>
            </w:pPr>
            <w:r w:rsidRPr="00322D30">
              <w:t>equipment defect identification</w:t>
            </w:r>
          </w:p>
          <w:p w:rsidR="00000000" w:rsidRPr="00322D30" w:rsidP="00322D30">
            <w:pPr>
              <w:pStyle w:val="ListBullet"/>
            </w:pPr>
            <w:r w:rsidRPr="00322D30">
              <w:t>safety plans and policies</w:t>
            </w:r>
          </w:p>
          <w:p w:rsidR="00000000" w:rsidP="00322D30">
            <w:pPr>
              <w:pStyle w:val="ListBullet"/>
              <w:rPr>
                <w:lang w:val="en-NZ"/>
              </w:rPr>
            </w:pPr>
            <w:r w:rsidRPr="00322D30">
              <w:t>work site inspection.</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Tools and equipment</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air compressor</w:t>
            </w:r>
          </w:p>
          <w:p w:rsidR="00000000" w:rsidRPr="00322D30" w:rsidP="00322D30">
            <w:pPr>
              <w:pStyle w:val="ListBullet"/>
            </w:pPr>
            <w:r w:rsidRPr="00322D30">
              <w:t>brushware</w:t>
            </w:r>
          </w:p>
          <w:p w:rsidR="00000000" w:rsidRPr="00322D30" w:rsidP="00322D30">
            <w:pPr>
              <w:pStyle w:val="ListBullet"/>
            </w:pPr>
            <w:r w:rsidRPr="00322D30">
              <w:t>roller and roller sleeve</w:t>
            </w:r>
          </w:p>
          <w:p w:rsidR="00000000" w:rsidP="00322D30">
            <w:pPr>
              <w:pStyle w:val="ListBullet"/>
              <w:rPr>
                <w:lang w:val="en-NZ"/>
              </w:rPr>
            </w:pPr>
            <w:r w:rsidRPr="00322D30">
              <w:t>spray gun.</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Cleaned and</w:t>
            </w:r>
            <w:r w:rsidRPr="00322D30">
              <w:t>/</w:t>
            </w:r>
            <w:r w:rsidRPr="00322D30">
              <w:rPr>
                <w:rStyle w:val="BoldandItalics"/>
              </w:rPr>
              <w:t>or abraded</w:t>
            </w:r>
            <w:r w:rsidRPr="00322D30">
              <w:t xml:space="preserve"> materials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alc</w:t>
            </w:r>
            <w:r w:rsidRPr="00322D30">
              <w:t>ohol</w:t>
            </w:r>
          </w:p>
          <w:p w:rsidR="00000000" w:rsidRPr="00322D30" w:rsidP="00322D30">
            <w:pPr>
              <w:pStyle w:val="ListBullet"/>
            </w:pPr>
            <w:r w:rsidRPr="00322D30">
              <w:t>garnet paper</w:t>
            </w:r>
          </w:p>
          <w:p w:rsidR="00000000" w:rsidRPr="00322D30" w:rsidP="00322D30">
            <w:pPr>
              <w:pStyle w:val="ListBullet"/>
            </w:pPr>
            <w:r w:rsidRPr="00322D30">
              <w:t>methylated spirits</w:t>
            </w:r>
          </w:p>
          <w:p w:rsidR="00000000" w:rsidRPr="00322D30" w:rsidP="00322D30">
            <w:pPr>
              <w:pStyle w:val="ListBullet"/>
            </w:pPr>
            <w:r w:rsidRPr="00322D30">
              <w:t>mineral turpentine</w:t>
            </w:r>
          </w:p>
          <w:p w:rsidR="00000000" w:rsidRPr="00322D30" w:rsidP="00322D30">
            <w:pPr>
              <w:pStyle w:val="ListBullet"/>
            </w:pPr>
            <w:r w:rsidRPr="00322D30">
              <w:t>silicon paper</w:t>
            </w:r>
          </w:p>
          <w:p w:rsidR="00000000" w:rsidRPr="00322D30" w:rsidP="00322D30">
            <w:pPr>
              <w:pStyle w:val="ListBullet"/>
            </w:pPr>
            <w:r w:rsidRPr="00322D30">
              <w:t>thinners</w:t>
            </w:r>
          </w:p>
          <w:p w:rsidR="00000000" w:rsidP="00322D30">
            <w:pPr>
              <w:pStyle w:val="ListBullet"/>
              <w:rPr>
                <w:lang w:val="en-NZ"/>
              </w:rPr>
            </w:pPr>
            <w:r w:rsidRPr="00322D30">
              <w:t>wax and grease remover.</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Undercoats and primers</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acrylic undercoat</w:t>
            </w:r>
          </w:p>
          <w:p w:rsidR="00000000" w:rsidRPr="00322D30" w:rsidP="00322D30">
            <w:pPr>
              <w:pStyle w:val="ListBullet"/>
            </w:pPr>
            <w:r w:rsidRPr="00322D30">
              <w:t>enamel undercoat</w:t>
            </w:r>
          </w:p>
          <w:p w:rsidR="00000000" w:rsidRPr="00322D30" w:rsidP="00322D30">
            <w:pPr>
              <w:pStyle w:val="ListBullet"/>
            </w:pPr>
            <w:r w:rsidRPr="00322D30">
              <w:t>galvanised primer</w:t>
            </w:r>
          </w:p>
          <w:p w:rsidR="00000000" w:rsidP="00322D30">
            <w:pPr>
              <w:pStyle w:val="ListBullet"/>
              <w:rPr>
                <w:lang w:val="en-NZ"/>
              </w:rPr>
            </w:pPr>
            <w:r w:rsidRPr="00322D30">
              <w:t>wood primer.</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Coating types</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acrylic lacquers and their thinner/reducer</w:t>
            </w:r>
          </w:p>
          <w:p w:rsidR="00000000" w:rsidRPr="00322D30" w:rsidP="00322D30">
            <w:pPr>
              <w:pStyle w:val="ListBullet"/>
            </w:pPr>
            <w:r w:rsidRPr="00322D30">
              <w:t>clear finishes and their thinner</w:t>
            </w:r>
          </w:p>
          <w:p w:rsidR="00000000" w:rsidRPr="00322D30" w:rsidP="00322D30">
            <w:pPr>
              <w:pStyle w:val="ListBullet"/>
            </w:pPr>
            <w:r w:rsidRPr="00322D30">
              <w:t>oil based paints and their solvents</w:t>
            </w:r>
          </w:p>
          <w:p w:rsidR="00000000" w:rsidRPr="00322D30" w:rsidP="00322D30">
            <w:pPr>
              <w:pStyle w:val="ListBullet"/>
            </w:pPr>
            <w:r w:rsidRPr="00322D30">
              <w:t>spraying enamel and its thinner</w:t>
            </w:r>
          </w:p>
          <w:p w:rsidR="00000000" w:rsidRPr="00322D30" w:rsidP="00322D30">
            <w:pPr>
              <w:pStyle w:val="ListBullet"/>
            </w:pPr>
            <w:r w:rsidRPr="00322D30">
              <w:t>two-pack paints and their thinner</w:t>
            </w:r>
          </w:p>
          <w:p w:rsidR="00000000" w:rsidP="00322D30">
            <w:pPr>
              <w:pStyle w:val="ListBullet"/>
              <w:rPr>
                <w:lang w:val="en-NZ"/>
              </w:rPr>
            </w:pPr>
            <w:r w:rsidRPr="00322D30">
              <w:t>water-based paints and their thinner.</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Substrate</w:t>
            </w:r>
            <w:r w:rsidRPr="00322D30">
              <w:t xml:space="preserve"> includes: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corflute</w:t>
            </w:r>
          </w:p>
          <w:p w:rsidR="00000000" w:rsidRPr="00322D30" w:rsidP="00322D30">
            <w:pPr>
              <w:pStyle w:val="ListBullet"/>
            </w:pPr>
            <w:r w:rsidRPr="00322D30">
              <w:t>masonry</w:t>
            </w:r>
          </w:p>
          <w:p w:rsidR="00000000" w:rsidRPr="00322D30" w:rsidP="00322D30">
            <w:pPr>
              <w:pStyle w:val="ListBullet"/>
            </w:pPr>
            <w:r w:rsidRPr="00322D30">
              <w:t>metal</w:t>
            </w:r>
          </w:p>
          <w:p w:rsidR="00000000" w:rsidRPr="00322D30" w:rsidP="00322D30">
            <w:pPr>
              <w:pStyle w:val="ListBullet"/>
            </w:pPr>
            <w:r w:rsidRPr="00322D30">
              <w:t>plastics, including polyvinyl chloride (PVC)</w:t>
            </w:r>
          </w:p>
          <w:p w:rsidR="00000000" w:rsidRPr="00322D30" w:rsidP="00322D30">
            <w:pPr>
              <w:pStyle w:val="ListBullet"/>
            </w:pPr>
            <w:r w:rsidRPr="00322D30">
              <w:t>rough finish</w:t>
            </w:r>
          </w:p>
          <w:p w:rsidR="00000000" w:rsidRPr="00322D30" w:rsidP="00322D30">
            <w:pPr>
              <w:pStyle w:val="ListBullet"/>
            </w:pPr>
            <w:r w:rsidRPr="00322D30">
              <w:t>smooth finish</w:t>
            </w:r>
          </w:p>
          <w:p w:rsidR="00000000" w:rsidP="00322D30">
            <w:pPr>
              <w:pStyle w:val="ListBullet"/>
              <w:rPr>
                <w:lang w:val="en-NZ"/>
              </w:rPr>
            </w:pPr>
            <w:r w:rsidRPr="00322D30">
              <w:t>timber.</w:t>
            </w:r>
          </w:p>
        </w:tc>
      </w:tr>
      <w:tr w:rsidTr="00093CD1">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BoldandItalics"/>
              </w:rPr>
              <w:t>Statutory and regulatory authority requirements</w:t>
            </w:r>
            <w:r w:rsidRPr="00322D30">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322D30" w:rsidP="00322D30">
            <w:pPr>
              <w:pStyle w:val="ListBullet"/>
            </w:pPr>
            <w:r w:rsidRPr="00322D30">
              <w:t xml:space="preserve">federal, state and local authorities administering applicable Acts, regulations </w:t>
            </w:r>
            <w:r w:rsidRPr="00322D30">
              <w:t>and codes of practice and also can pertain to:</w:t>
            </w:r>
          </w:p>
          <w:p w:rsidR="00000000" w:rsidRPr="00322D30" w:rsidP="00322D30">
            <w:pPr>
              <w:pStyle w:val="ListBullet2"/>
            </w:pPr>
            <w:r w:rsidRPr="00322D30">
              <w:t>removal of waste products</w:t>
            </w:r>
          </w:p>
          <w:p w:rsidR="00000000" w:rsidRPr="00322D30" w:rsidP="00322D30">
            <w:pPr>
              <w:pStyle w:val="ListBullet2"/>
            </w:pPr>
            <w:r w:rsidRPr="00322D30">
              <w:t>storage of chemicals.</w:t>
            </w:r>
          </w:p>
        </w:tc>
      </w:tr>
    </w:tbl>
    <w:p w:rsidR="00093CD1" w:rsidP="00322D30">
      <w:pPr>
        <w:pStyle w:val="BodyText"/>
      </w:pPr>
    </w:p>
    <w:p w:rsidR="00093CD1" w:rsidP="00322D30">
      <w:pPr>
        <w:pStyle w:val="BodyText"/>
      </w:pPr>
    </w:p>
    <w:p w:rsidR="00000000" w:rsidRPr="00322D30" w:rsidP="00322D30">
      <w:pPr>
        <w:pStyle w:val="Heading1"/>
      </w:pPr>
      <w:bookmarkStart w:id="12" w:name="O_198562"/>
      <w:bookmarkEnd w:id="12"/>
      <w:r w:rsidRPr="00322D30">
        <w:t>Unit Sector(s)</w:t>
      </w:r>
    </w:p>
    <w:tbl>
      <w:tblPr>
        <w:tblW w:w="0" w:type="auto"/>
        <w:tblLayout w:type="fixed"/>
        <w:tblCellMar>
          <w:left w:w="62" w:type="dxa"/>
          <w:right w:w="62" w:type="dxa"/>
        </w:tblCellMar>
        <w:tblLook w:val="0000"/>
      </w:tblPr>
      <w:tblGrid>
        <w:gridCol w:w="2541"/>
        <w:gridCol w:w="5981"/>
      </w:tblGrid>
      <w:tr w:rsidTr="00093CD1">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Unit sector</w:t>
            </w:r>
          </w:p>
        </w:tc>
        <w:tc>
          <w:tcPr>
            <w:tcW w:w="5981" w:type="dxa"/>
            <w:tcBorders>
              <w:top w:val="nil"/>
              <w:left w:val="nil"/>
              <w:bottom w:val="nil"/>
              <w:right w:val="nil"/>
            </w:tcBorders>
            <w:tcMar>
              <w:top w:w="0" w:type="dxa"/>
              <w:left w:w="62" w:type="dxa"/>
              <w:bottom w:w="0" w:type="dxa"/>
              <w:right w:w="62" w:type="dxa"/>
            </w:tcMar>
          </w:tcPr>
          <w:p w:rsidR="00000000" w:rsidRPr="00322D30" w:rsidP="00322D30">
            <w:pPr>
              <w:pStyle w:val="BodyText"/>
            </w:pPr>
            <w:r w:rsidRPr="00322D30">
              <w:t>Construction</w:t>
            </w:r>
          </w:p>
        </w:tc>
      </w:tr>
    </w:tbl>
    <w:p w:rsidR="00093CD1" w:rsidP="00322D30">
      <w:pPr>
        <w:pStyle w:val="BodyText"/>
      </w:pPr>
    </w:p>
    <w:p w:rsidR="00093CD1" w:rsidP="00322D30">
      <w:pPr>
        <w:pStyle w:val="BodyText"/>
      </w:pPr>
    </w:p>
    <w:p w:rsidR="00000000" w:rsidRPr="00322D30" w:rsidP="00322D30">
      <w:pPr>
        <w:pStyle w:val="Heading1"/>
      </w:pPr>
      <w:bookmarkStart w:id="13" w:name="O_198559"/>
      <w:bookmarkEnd w:id="13"/>
      <w:r w:rsidRPr="00322D30">
        <w:t>Co-requisite units</w:t>
      </w:r>
    </w:p>
    <w:tbl>
      <w:tblPr>
        <w:tblW w:w="0" w:type="auto"/>
        <w:tblLayout w:type="fixed"/>
        <w:tblCellMar>
          <w:left w:w="62" w:type="dxa"/>
          <w:right w:w="62" w:type="dxa"/>
        </w:tblCellMar>
        <w:tblLook w:val="0000"/>
      </w:tblPr>
      <w:tblGrid>
        <w:gridCol w:w="2552"/>
        <w:gridCol w:w="1666"/>
        <w:gridCol w:w="4304"/>
      </w:tblGrid>
      <w:tr w:rsidTr="00093CD1">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Co-requisite units</w:t>
            </w:r>
          </w:p>
        </w:tc>
        <w:tc>
          <w:tcPr>
            <w:tcW w:w="5970" w:type="dxa"/>
            <w:gridSpan w:val="2"/>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t>Nil</w:t>
            </w:r>
          </w:p>
        </w:tc>
      </w:tr>
      <w:tr w:rsidTr="00093CD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4"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p>
        </w:tc>
      </w:tr>
      <w:tr w:rsidTr="00093CD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4" w:type="dxa"/>
            <w:tcBorders>
              <w:top w:val="nil"/>
              <w:left w:val="nil"/>
              <w:bottom w:val="nil"/>
              <w:right w:val="nil"/>
            </w:tcBorders>
            <w:tcMar>
              <w:top w:w="0" w:type="dxa"/>
              <w:left w:w="62" w:type="dxa"/>
              <w:bottom w:w="0" w:type="dxa"/>
              <w:right w:w="62" w:type="dxa"/>
            </w:tcMar>
          </w:tcPr>
          <w:p w:rsidR="00000000" w:rsidRPr="00322D30" w:rsidP="00322D30">
            <w:pPr>
              <w:pStyle w:val="BodyText"/>
            </w:pPr>
          </w:p>
        </w:tc>
      </w:tr>
    </w:tbl>
    <w:p w:rsidR="00093CD1" w:rsidP="00322D30">
      <w:pPr>
        <w:pStyle w:val="BodyText"/>
      </w:pPr>
    </w:p>
    <w:p w:rsidR="00093CD1" w:rsidP="00322D30">
      <w:pPr>
        <w:pStyle w:val="BodyText"/>
      </w:pPr>
    </w:p>
    <w:p w:rsidR="00000000" w:rsidRPr="00322D30" w:rsidP="00322D30">
      <w:pPr>
        <w:pStyle w:val="Heading1"/>
      </w:pPr>
      <w:bookmarkStart w:id="14" w:name="O_198561"/>
      <w:bookmarkEnd w:id="14"/>
      <w:r w:rsidRPr="00322D30">
        <w:t>Functional area</w:t>
      </w:r>
    </w:p>
    <w:tbl>
      <w:tblPr>
        <w:tblW w:w="0" w:type="auto"/>
        <w:tblLayout w:type="fixed"/>
        <w:tblCellMar>
          <w:left w:w="62" w:type="dxa"/>
          <w:right w:w="62" w:type="dxa"/>
        </w:tblCellMar>
        <w:tblLook w:val="0000"/>
      </w:tblPr>
      <w:tblGrid>
        <w:gridCol w:w="2640"/>
        <w:gridCol w:w="5882"/>
      </w:tblGrid>
      <w:tr w:rsidTr="00093CD1">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322D30">
            <w:pPr>
              <w:pStyle w:val="BodyText"/>
              <w:rPr>
                <w:lang w:val="en-NZ"/>
              </w:rPr>
            </w:pPr>
            <w:r w:rsidRPr="00322D30">
              <w:rPr>
                <w:rStyle w:val="SpecialBold"/>
              </w:rPr>
              <w:t>Functional area</w:t>
            </w:r>
          </w:p>
        </w:tc>
        <w:tc>
          <w:tcPr>
            <w:tcW w:w="5882" w:type="dxa"/>
            <w:tcBorders>
              <w:top w:val="nil"/>
              <w:left w:val="nil"/>
              <w:bottom w:val="nil"/>
              <w:right w:val="nil"/>
            </w:tcBorders>
            <w:tcMar>
              <w:top w:w="0" w:type="dxa"/>
              <w:left w:w="62" w:type="dxa"/>
              <w:bottom w:w="0" w:type="dxa"/>
              <w:right w:w="62" w:type="dxa"/>
            </w:tcMar>
          </w:tcPr>
          <w:p w:rsidR="00000000" w:rsidRPr="00322D30" w:rsidP="00322D30">
            <w:pPr>
              <w:pStyle w:val="BodyText"/>
            </w:pPr>
          </w:p>
        </w:tc>
      </w:tr>
    </w:tbl>
    <w:p w:rsidR="00093CD1" w:rsidP="00322D30">
      <w:pPr>
        <w:pStyle w:val="BodyText"/>
      </w:pPr>
    </w:p>
    <w:p w:rsidR="00093CD1" w:rsidP="00322D30">
      <w:pPr>
        <w:pStyle w:val="BodyText"/>
      </w:pPr>
    </w:p>
    <w:p w:rsidR="00000000" w:rsidRPr="00322D30" w:rsidP="00322D30"/>
    <w:sectPr w:rsidSect="00322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CD1" w:rsidP="00093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D1" w:rsidP="00322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3CD1" w:rsidP="00322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3CD1" w:rsidP="00322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CD1" w:rsidP="00093C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D1" w:rsidP="00322D30">
    <w:pPr>
      <w:pStyle w:val="Header"/>
      <w:framePr w:wrap="around"/>
    </w:pPr>
    <w:r>
      <w:fldChar w:fldCharType="begin"/>
    </w:r>
    <w:r>
      <w:instrText xml:space="preserve"> TITLE   \* MERGEFORMAT </w:instrText>
    </w:r>
    <w:r>
      <w:fldChar w:fldCharType="separate"/>
    </w:r>
    <w:r>
      <w:t>CPCCSI2003A Prepare surfaces for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3CD1" w:rsidP="00322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6E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64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87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2D30"/>
    <w:pPr>
      <w:spacing w:before="360" w:after="60"/>
      <w:outlineLvl w:val="0"/>
    </w:pPr>
    <w:rPr>
      <w:sz w:val="32"/>
    </w:rPr>
  </w:style>
  <w:style w:type="paragraph" w:styleId="Heading2">
    <w:name w:val="heading 2"/>
    <w:basedOn w:val="HeadingBase"/>
    <w:next w:val="BodyText"/>
    <w:link w:val="Heading2Char"/>
    <w:qFormat/>
    <w:rsid w:val="00322D30"/>
    <w:pPr>
      <w:keepLines/>
      <w:spacing w:before="240" w:after="120"/>
      <w:outlineLvl w:val="1"/>
    </w:pPr>
    <w:rPr>
      <w:sz w:val="28"/>
      <w:szCs w:val="40"/>
    </w:rPr>
  </w:style>
  <w:style w:type="paragraph" w:styleId="Heading3">
    <w:name w:val="heading 3"/>
    <w:basedOn w:val="HeadingBase"/>
    <w:next w:val="BodyText"/>
    <w:link w:val="Heading3Char"/>
    <w:qFormat/>
    <w:rsid w:val="00322D30"/>
    <w:pPr>
      <w:spacing w:before="180" w:after="120"/>
      <w:outlineLvl w:val="2"/>
    </w:pPr>
    <w:rPr>
      <w:spacing w:val="-10"/>
      <w:kern w:val="32"/>
    </w:rPr>
  </w:style>
  <w:style w:type="paragraph" w:styleId="Heading4">
    <w:name w:val="heading 4"/>
    <w:basedOn w:val="HeadingBase"/>
    <w:next w:val="BodyText"/>
    <w:link w:val="Heading4Char"/>
    <w:qFormat/>
    <w:rsid w:val="00322D30"/>
    <w:pPr>
      <w:spacing w:before="160" w:after="120"/>
      <w:outlineLvl w:val="3"/>
    </w:pPr>
    <w:rPr>
      <w:sz w:val="22"/>
    </w:rPr>
  </w:style>
  <w:style w:type="paragraph" w:styleId="Heading5">
    <w:name w:val="heading 5"/>
    <w:basedOn w:val="HeadingBase"/>
    <w:next w:val="Normal"/>
    <w:link w:val="Heading5Char"/>
    <w:qFormat/>
    <w:rsid w:val="00322D30"/>
    <w:pPr>
      <w:spacing w:before="80"/>
      <w:outlineLvl w:val="4"/>
    </w:pPr>
    <w:rPr>
      <w:color w:val="918585"/>
      <w:sz w:val="20"/>
    </w:rPr>
  </w:style>
  <w:style w:type="paragraph" w:styleId="Heading6">
    <w:name w:val="heading 6"/>
    <w:basedOn w:val="HeadingBase"/>
    <w:next w:val="Normal"/>
    <w:link w:val="Heading6Char"/>
    <w:qFormat/>
    <w:rsid w:val="00322D30"/>
    <w:pPr>
      <w:spacing w:before="60"/>
      <w:outlineLvl w:val="5"/>
    </w:pPr>
    <w:rPr>
      <w:color w:val="918585"/>
      <w:sz w:val="20"/>
    </w:rPr>
  </w:style>
  <w:style w:type="paragraph" w:styleId="Heading7">
    <w:name w:val="heading 7"/>
    <w:basedOn w:val="Normal"/>
    <w:next w:val="Normal"/>
    <w:link w:val="Heading7Char"/>
    <w:qFormat/>
    <w:rsid w:val="00322D30"/>
    <w:pPr>
      <w:ind w:left="720"/>
      <w:outlineLvl w:val="6"/>
    </w:pPr>
    <w:rPr>
      <w:i/>
    </w:rPr>
  </w:style>
  <w:style w:type="paragraph" w:styleId="Heading8">
    <w:name w:val="heading 8"/>
    <w:basedOn w:val="Normal"/>
    <w:next w:val="Normal"/>
    <w:link w:val="Heading8Char"/>
    <w:qFormat/>
    <w:rsid w:val="00322D30"/>
    <w:pPr>
      <w:ind w:left="720"/>
      <w:outlineLvl w:val="7"/>
    </w:pPr>
    <w:rPr>
      <w:i/>
    </w:rPr>
  </w:style>
  <w:style w:type="paragraph" w:styleId="Heading9">
    <w:name w:val="heading 9"/>
    <w:basedOn w:val="Normal"/>
    <w:next w:val="Normal"/>
    <w:link w:val="Heading9Char"/>
    <w:qFormat/>
    <w:rsid w:val="00322D30"/>
    <w:pPr>
      <w:ind w:left="720"/>
      <w:outlineLvl w:val="8"/>
    </w:pPr>
    <w:rPr>
      <w:i/>
    </w:rPr>
  </w:style>
  <w:style w:type="character" w:default="1" w:styleId="DefaultParagraphFont">
    <w:name w:val="Default Paragraph Font"/>
    <w:uiPriority w:val="1"/>
    <w:unhideWhenUsed/>
    <w:rsid w:val="00322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D30"/>
  </w:style>
  <w:style w:type="character" w:customStyle="1" w:styleId="Heading1Char">
    <w:name w:val="Heading 1 Char"/>
    <w:basedOn w:val="DefaultParagraphFont"/>
    <w:link w:val="Heading1"/>
    <w:rsid w:val="00322D30"/>
    <w:rPr>
      <w:rFonts w:ascii="Times New Roman" w:eastAsia="Times New Roman" w:hAnsi="Times New Roman" w:cs="Times New Roman"/>
      <w:b/>
      <w:sz w:val="32"/>
      <w:szCs w:val="20"/>
      <w:lang w:eastAsia="en-US"/>
    </w:rPr>
  </w:style>
  <w:style w:type="paragraph" w:styleId="BodyText">
    <w:name w:val="Body Text"/>
    <w:basedOn w:val="Normal"/>
    <w:link w:val="BodyTextChar"/>
    <w:rsid w:val="00322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D30"/>
    <w:rPr>
      <w:rFonts w:ascii="Times New Roman" w:eastAsia="Times New Roman" w:hAnsi="Times New Roman" w:cs="Times New Roman"/>
      <w:sz w:val="24"/>
      <w:lang w:val="en-US" w:eastAsia="en-US"/>
    </w:rPr>
  </w:style>
  <w:style w:type="paragraph" w:styleId="Footer">
    <w:name w:val="footer"/>
    <w:basedOn w:val="Normal"/>
    <w:link w:val="FooterChar"/>
    <w:rsid w:val="00322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D30"/>
    <w:rPr>
      <w:rFonts w:ascii="Times New Roman" w:eastAsia="Times New Roman" w:hAnsi="Times New Roman" w:cs="Times New Roman"/>
      <w:sz w:val="16"/>
      <w:lang w:val="en-US" w:eastAsia="en-US"/>
    </w:rPr>
  </w:style>
  <w:style w:type="paragraph" w:styleId="List">
    <w:name w:val="List"/>
    <w:basedOn w:val="BodyText"/>
    <w:next w:val="BodyText"/>
    <w:rsid w:val="00322D30"/>
    <w:pPr>
      <w:tabs>
        <w:tab w:val="left" w:pos="340"/>
      </w:tabs>
      <w:spacing w:before="60" w:after="60"/>
      <w:ind w:left="340" w:hanging="340"/>
    </w:pPr>
  </w:style>
  <w:style w:type="paragraph" w:styleId="ListBullet">
    <w:name w:val="List Bullet"/>
    <w:basedOn w:val="List"/>
    <w:rsid w:val="00322D30"/>
    <w:pPr>
      <w:numPr>
        <w:numId w:val="14"/>
      </w:numPr>
      <w:tabs>
        <w:tab w:val="clear" w:pos="340"/>
      </w:tabs>
      <w:spacing w:before="40" w:after="40"/>
    </w:pPr>
  </w:style>
  <w:style w:type="character" w:customStyle="1" w:styleId="SpecialBold">
    <w:name w:val="Special Bold"/>
    <w:basedOn w:val="DefaultParagraphFont"/>
    <w:rsid w:val="00322D30"/>
    <w:rPr>
      <w:b/>
      <w:spacing w:val="0"/>
    </w:rPr>
  </w:style>
  <w:style w:type="paragraph" w:styleId="ListBullet2">
    <w:name w:val="List Bullet 2"/>
    <w:basedOn w:val="List2"/>
    <w:rsid w:val="00322D30"/>
    <w:pPr>
      <w:numPr>
        <w:numId w:val="15"/>
      </w:numPr>
      <w:tabs>
        <w:tab w:val="clear" w:pos="680"/>
      </w:tabs>
    </w:pPr>
  </w:style>
  <w:style w:type="paragraph" w:styleId="Header">
    <w:name w:val="header"/>
    <w:basedOn w:val="Normal"/>
    <w:link w:val="HeaderChar"/>
    <w:rsid w:val="00322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2D30"/>
    <w:pPr>
      <w:spacing w:before="240" w:after="120"/>
      <w:outlineLvl w:val="0"/>
    </w:pPr>
    <w:rPr>
      <w:rFonts w:ascii="Times New Roman" w:hAnsi="Times New Roman"/>
      <w:b/>
      <w:sz w:val="28"/>
    </w:rPr>
  </w:style>
  <w:style w:type="paragraph" w:customStyle="1" w:styleId="AllowPageBreak">
    <w:name w:val="AllowPageBreak"/>
    <w:rsid w:val="00322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2D30"/>
    <w:pPr>
      <w:tabs>
        <w:tab w:val="left" w:pos="680"/>
      </w:tabs>
      <w:spacing w:before="60" w:after="60"/>
      <w:ind w:left="680" w:hanging="340"/>
    </w:pPr>
  </w:style>
  <w:style w:type="paragraph" w:styleId="ListBullet3">
    <w:name w:val="List Bullet 3"/>
    <w:basedOn w:val="List3"/>
    <w:rsid w:val="00322D30"/>
    <w:pPr>
      <w:numPr>
        <w:numId w:val="3"/>
      </w:numPr>
      <w:tabs>
        <w:tab w:val="clear" w:pos="1021"/>
      </w:tabs>
      <w:ind w:left="1037" w:hanging="357"/>
    </w:pPr>
  </w:style>
  <w:style w:type="character" w:customStyle="1" w:styleId="BoldandItalics">
    <w:name w:val="Bold and Italics"/>
    <w:qFormat/>
    <w:rsid w:val="00322D30"/>
    <w:rPr>
      <w:b/>
      <w:i/>
      <w:u w:val="none"/>
    </w:rPr>
  </w:style>
  <w:style w:type="character" w:customStyle="1" w:styleId="Heading2Char">
    <w:name w:val="Heading 2 Char"/>
    <w:basedOn w:val="DefaultParagraphFont"/>
    <w:link w:val="Heading2"/>
    <w:rsid w:val="00322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2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2D30"/>
    <w:rPr>
      <w:rFonts w:ascii="Courier New" w:eastAsia="Times New Roman" w:hAnsi="Courier New" w:cs="Times New Roman"/>
      <w:i/>
      <w:szCs w:val="20"/>
      <w:lang w:val="en-US" w:eastAsia="en-US"/>
    </w:rPr>
  </w:style>
  <w:style w:type="paragraph" w:customStyle="1" w:styleId="HeadingBase">
    <w:name w:val="Heading Base"/>
    <w:rsid w:val="00322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D30"/>
    <w:pPr>
      <w:tabs>
        <w:tab w:val="right" w:leader="dot" w:pos="9072"/>
      </w:tabs>
      <w:ind w:left="567"/>
    </w:pPr>
    <w:rPr>
      <w:szCs w:val="22"/>
    </w:rPr>
  </w:style>
  <w:style w:type="paragraph" w:customStyle="1" w:styleId="TOCBase">
    <w:name w:val="TOC Base"/>
    <w:rsid w:val="00322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D30"/>
    <w:pPr>
      <w:tabs>
        <w:tab w:val="right" w:leader="dot" w:pos="9072"/>
      </w:tabs>
      <w:spacing w:before="40" w:after="40"/>
      <w:ind w:left="284"/>
    </w:pPr>
    <w:rPr>
      <w:rFonts w:ascii="Times New Roman" w:hAnsi="Times New Roman"/>
    </w:rPr>
  </w:style>
  <w:style w:type="paragraph" w:styleId="TOC1">
    <w:name w:val="toc 1"/>
    <w:basedOn w:val="TOCBase"/>
    <w:next w:val="Normal"/>
    <w:rsid w:val="00322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D30"/>
    <w:pPr>
      <w:spacing w:before="5040"/>
      <w:jc w:val="center"/>
    </w:pPr>
    <w:rPr>
      <w:sz w:val="48"/>
      <w:szCs w:val="72"/>
      <w:lang w:val="en-US"/>
    </w:rPr>
  </w:style>
  <w:style w:type="character" w:customStyle="1" w:styleId="TitleChar">
    <w:name w:val="Title Char"/>
    <w:basedOn w:val="DefaultParagraphFont"/>
    <w:link w:val="Title"/>
    <w:rsid w:val="00322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D30"/>
    <w:pPr>
      <w:tabs>
        <w:tab w:val="left" w:pos="3600"/>
        <w:tab w:val="left" w:pos="3958"/>
      </w:tabs>
    </w:pPr>
  </w:style>
  <w:style w:type="paragraph" w:customStyle="1" w:styleId="Note">
    <w:name w:val="Note"/>
    <w:basedOn w:val="BodyText"/>
    <w:rsid w:val="00322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D30"/>
    <w:pPr>
      <w:framePr w:wrap="auto" w:hAnchor="text" w:y="6049"/>
    </w:pPr>
    <w:rPr>
      <w:color w:val="000000"/>
      <w:sz w:val="40"/>
    </w:rPr>
  </w:style>
  <w:style w:type="paragraph" w:customStyle="1" w:styleId="TOCTitle">
    <w:name w:val="TOCTitle"/>
    <w:basedOn w:val="Heading1"/>
    <w:rsid w:val="00322D30"/>
    <w:pPr>
      <w:spacing w:after="240"/>
      <w:jc w:val="center"/>
      <w:outlineLvl w:val="9"/>
    </w:pPr>
    <w:rPr>
      <w:caps/>
    </w:rPr>
  </w:style>
  <w:style w:type="paragraph" w:customStyle="1" w:styleId="Version">
    <w:name w:val="Version"/>
    <w:rsid w:val="00322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D30"/>
    <w:pPr>
      <w:keepNext w:val="0"/>
      <w:tabs>
        <w:tab w:val="right" w:pos="4176"/>
      </w:tabs>
      <w:ind w:left="198" w:hanging="198"/>
    </w:pPr>
    <w:rPr>
      <w:rFonts w:ascii="Garamond" w:hAnsi="Garamond"/>
    </w:rPr>
  </w:style>
  <w:style w:type="paragraph" w:styleId="IndexHeading">
    <w:name w:val="index heading"/>
    <w:basedOn w:val="Normal"/>
    <w:next w:val="Index1"/>
    <w:semiHidden/>
    <w:rsid w:val="00322D30"/>
    <w:pPr>
      <w:spacing w:before="120" w:after="120"/>
    </w:pPr>
    <w:rPr>
      <w:rFonts w:ascii="Arial" w:hAnsi="Arial"/>
      <w:b/>
      <w:color w:val="918585"/>
      <w:sz w:val="24"/>
    </w:rPr>
  </w:style>
  <w:style w:type="paragraph" w:customStyle="1" w:styleId="Chapter">
    <w:name w:val="Chapter"/>
    <w:basedOn w:val="Normal"/>
    <w:rsid w:val="00322D30"/>
    <w:pPr>
      <w:spacing w:before="240"/>
    </w:pPr>
    <w:rPr>
      <w:rFonts w:ascii="Times New Roman" w:hAnsi="Times New Roman"/>
      <w:smallCaps/>
      <w:spacing w:val="80"/>
      <w:sz w:val="28"/>
    </w:rPr>
  </w:style>
  <w:style w:type="paragraph" w:customStyle="1" w:styleId="InChapter">
    <w:name w:val="InChapter"/>
    <w:basedOn w:val="Heading3"/>
    <w:rsid w:val="00322D30"/>
    <w:pPr>
      <w:spacing w:after="240"/>
      <w:outlineLvl w:val="9"/>
    </w:pPr>
    <w:rPr>
      <w:noProof/>
    </w:rPr>
  </w:style>
  <w:style w:type="paragraph" w:styleId="Index2">
    <w:name w:val="index 2"/>
    <w:basedOn w:val="Normal"/>
    <w:next w:val="Normal"/>
    <w:semiHidden/>
    <w:rsid w:val="00322D30"/>
    <w:pPr>
      <w:tabs>
        <w:tab w:val="right" w:pos="4176"/>
      </w:tabs>
      <w:ind w:left="568" w:hanging="284"/>
    </w:pPr>
    <w:rPr>
      <w:rFonts w:ascii="Garamond" w:hAnsi="Garamond"/>
    </w:rPr>
  </w:style>
  <w:style w:type="paragraph" w:customStyle="1" w:styleId="Byline">
    <w:name w:val="Byline"/>
    <w:rsid w:val="00322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D30"/>
    <w:pPr>
      <w:tabs>
        <w:tab w:val="clear" w:pos="3600"/>
        <w:tab w:val="clear" w:pos="3958"/>
      </w:tabs>
      <w:jc w:val="right"/>
    </w:pPr>
  </w:style>
  <w:style w:type="character" w:styleId="Emphasis">
    <w:name w:val="Emphasis"/>
    <w:basedOn w:val="DefaultParagraphFont"/>
    <w:qFormat/>
    <w:rsid w:val="00322D30"/>
    <w:rPr>
      <w:i/>
    </w:rPr>
  </w:style>
  <w:style w:type="paragraph" w:styleId="Caption">
    <w:name w:val="caption"/>
    <w:basedOn w:val="BodyText"/>
    <w:next w:val="Normal"/>
    <w:qFormat/>
    <w:rsid w:val="00322D30"/>
    <w:pPr>
      <w:framePr w:w="2268" w:hSpace="181" w:vSpace="181" w:wrap="around" w:vAnchor="text" w:hAnchor="page" w:x="1135" w:y="285" w:anchorLock="1"/>
    </w:pPr>
    <w:rPr>
      <w:i/>
    </w:rPr>
  </w:style>
  <w:style w:type="paragraph" w:customStyle="1" w:styleId="MiniTOCTitle">
    <w:name w:val="MiniTOCTitle"/>
    <w:basedOn w:val="Heading4"/>
    <w:rsid w:val="00322D30"/>
    <w:pPr>
      <w:spacing w:before="240"/>
      <w:outlineLvl w:val="9"/>
    </w:pPr>
    <w:rPr>
      <w:noProof/>
      <w:sz w:val="24"/>
    </w:rPr>
  </w:style>
  <w:style w:type="paragraph" w:customStyle="1" w:styleId="MiniTOCItem">
    <w:name w:val="MiniTOCItem"/>
    <w:basedOn w:val="ListBullet"/>
    <w:rsid w:val="00322D30"/>
    <w:pPr>
      <w:numPr>
        <w:numId w:val="0"/>
      </w:numPr>
      <w:tabs>
        <w:tab w:val="right" w:leader="dot" w:pos="6521"/>
      </w:tabs>
      <w:spacing w:before="0" w:after="0"/>
    </w:pPr>
  </w:style>
  <w:style w:type="paragraph" w:customStyle="1" w:styleId="TOFTitle">
    <w:name w:val="TOFTitle"/>
    <w:basedOn w:val="TOCTitle"/>
    <w:rsid w:val="00322D30"/>
  </w:style>
  <w:style w:type="paragraph" w:styleId="TableofFigures">
    <w:name w:val="table of figures"/>
    <w:basedOn w:val="Normal"/>
    <w:next w:val="Normal"/>
    <w:semiHidden/>
    <w:rsid w:val="00322D30"/>
    <w:pPr>
      <w:tabs>
        <w:tab w:val="right" w:leader="dot" w:pos="9072"/>
      </w:tabs>
      <w:ind w:left="970" w:hanging="403"/>
    </w:pPr>
    <w:rPr>
      <w:rFonts w:ascii="Times New Roman" w:hAnsi="Times New Roman"/>
      <w:b/>
    </w:rPr>
  </w:style>
  <w:style w:type="paragraph" w:styleId="ListNumber">
    <w:name w:val="List Number"/>
    <w:basedOn w:val="List"/>
    <w:rsid w:val="00322D30"/>
    <w:pPr>
      <w:numPr>
        <w:numId w:val="12"/>
      </w:numPr>
    </w:pPr>
  </w:style>
  <w:style w:type="character" w:customStyle="1" w:styleId="WingdingSymbols">
    <w:name w:val="Wingding Symbols"/>
    <w:rsid w:val="00322D30"/>
    <w:rPr>
      <w:rFonts w:ascii="Wingdings" w:hAnsi="Wingdings"/>
    </w:rPr>
  </w:style>
  <w:style w:type="paragraph" w:customStyle="1" w:styleId="TableHeading">
    <w:name w:val="Table Heading"/>
    <w:basedOn w:val="HeadingBase"/>
    <w:rsid w:val="00322D30"/>
    <w:pPr>
      <w:keepLines/>
      <w:pBdr>
        <w:bottom w:val="single" w:sz="6" w:space="1" w:color="918585"/>
      </w:pBdr>
      <w:spacing w:before="240"/>
    </w:pPr>
  </w:style>
  <w:style w:type="character" w:customStyle="1" w:styleId="HotSpot">
    <w:name w:val="HotSpot"/>
    <w:rsid w:val="00322D30"/>
    <w:rPr>
      <w:color w:val="0033CC"/>
      <w:u w:val="none"/>
    </w:rPr>
  </w:style>
  <w:style w:type="paragraph" w:customStyle="1" w:styleId="BodyTextRight">
    <w:name w:val="Body Text Right"/>
    <w:basedOn w:val="BodyText"/>
    <w:rsid w:val="00322D30"/>
    <w:pPr>
      <w:spacing w:before="0" w:after="0"/>
      <w:jc w:val="right"/>
    </w:pPr>
  </w:style>
  <w:style w:type="paragraph" w:styleId="Index3">
    <w:name w:val="index 3"/>
    <w:basedOn w:val="ListNumber2"/>
    <w:next w:val="Normal"/>
    <w:semiHidden/>
    <w:rsid w:val="00322D30"/>
    <w:pPr>
      <w:numPr>
        <w:numId w:val="0"/>
      </w:numPr>
      <w:tabs>
        <w:tab w:val="right" w:leader="dot" w:pos="4176"/>
      </w:tabs>
    </w:pPr>
  </w:style>
  <w:style w:type="paragraph" w:styleId="ListNumber2">
    <w:name w:val="List Number 2"/>
    <w:basedOn w:val="List2"/>
    <w:rsid w:val="00322D30"/>
    <w:pPr>
      <w:numPr>
        <w:numId w:val="11"/>
      </w:numPr>
      <w:tabs>
        <w:tab w:val="clear" w:pos="1060"/>
      </w:tabs>
    </w:pPr>
  </w:style>
  <w:style w:type="paragraph" w:customStyle="1" w:styleId="MarginNote">
    <w:name w:val="Margin Note"/>
    <w:basedOn w:val="BodyText"/>
    <w:rsid w:val="00322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2D30"/>
    <w:rPr>
      <w:sz w:val="32"/>
    </w:rPr>
  </w:style>
  <w:style w:type="paragraph" w:customStyle="1" w:styleId="HeadingProcedure">
    <w:name w:val="Heading Procedure"/>
    <w:basedOn w:val="HeadingBase"/>
    <w:next w:val="Normal"/>
    <w:rsid w:val="00322D30"/>
    <w:pPr>
      <w:tabs>
        <w:tab w:val="left" w:pos="0"/>
      </w:tabs>
      <w:spacing w:before="120" w:after="60"/>
    </w:pPr>
    <w:rPr>
      <w:i/>
      <w:color w:val="918585"/>
      <w:sz w:val="22"/>
    </w:rPr>
  </w:style>
  <w:style w:type="paragraph" w:customStyle="1" w:styleId="TableBodyText">
    <w:name w:val="Table Body Text"/>
    <w:basedOn w:val="BodyText"/>
    <w:rsid w:val="00322D30"/>
    <w:pPr>
      <w:spacing w:before="60" w:after="60"/>
    </w:pPr>
  </w:style>
  <w:style w:type="paragraph" w:styleId="ListContinue">
    <w:name w:val="List Continue"/>
    <w:basedOn w:val="List"/>
    <w:rsid w:val="00322D30"/>
    <w:pPr>
      <w:ind w:firstLine="0"/>
    </w:pPr>
  </w:style>
  <w:style w:type="paragraph" w:customStyle="1" w:styleId="ListNote">
    <w:name w:val="List Note"/>
    <w:basedOn w:val="List"/>
    <w:rsid w:val="00322D30"/>
    <w:pPr>
      <w:pBdr>
        <w:top w:val="single" w:sz="6" w:space="2" w:color="918585"/>
        <w:bottom w:val="single" w:sz="6" w:space="2" w:color="918585"/>
      </w:pBdr>
      <w:tabs>
        <w:tab w:val="left" w:pos="1021"/>
      </w:tabs>
      <w:ind w:firstLine="0"/>
    </w:pPr>
  </w:style>
  <w:style w:type="paragraph" w:customStyle="1" w:styleId="Warning">
    <w:name w:val="Warning"/>
    <w:basedOn w:val="BodyText"/>
    <w:rsid w:val="00322D30"/>
    <w:pPr>
      <w:shd w:val="clear" w:color="auto" w:fill="D9D9D9"/>
      <w:tabs>
        <w:tab w:val="left" w:pos="992"/>
      </w:tabs>
      <w:ind w:left="119" w:right="119"/>
    </w:pPr>
    <w:rPr>
      <w:sz w:val="20"/>
    </w:rPr>
  </w:style>
  <w:style w:type="paragraph" w:customStyle="1" w:styleId="MarginIcons">
    <w:name w:val="Margin Icons"/>
    <w:basedOn w:val="BodyText"/>
    <w:rsid w:val="00322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D30"/>
    <w:rPr>
      <w:rFonts w:ascii="Courier New" w:hAnsi="Courier New"/>
    </w:rPr>
  </w:style>
  <w:style w:type="paragraph" w:customStyle="1" w:styleId="NoteBullet">
    <w:name w:val="Note Bullet"/>
    <w:basedOn w:val="Note"/>
    <w:rsid w:val="00322D30"/>
    <w:pPr>
      <w:tabs>
        <w:tab w:val="clear" w:pos="680"/>
      </w:tabs>
      <w:spacing w:before="60" w:after="60"/>
    </w:pPr>
  </w:style>
  <w:style w:type="paragraph" w:customStyle="1" w:styleId="SubHeading2">
    <w:name w:val="SubHeading2"/>
    <w:basedOn w:val="HeadingBase"/>
    <w:rsid w:val="00322D30"/>
    <w:pPr>
      <w:spacing w:before="240" w:after="60"/>
    </w:pPr>
    <w:rPr>
      <w:sz w:val="20"/>
    </w:rPr>
  </w:style>
  <w:style w:type="paragraph" w:customStyle="1" w:styleId="SubHeading1">
    <w:name w:val="SubHeading1"/>
    <w:basedOn w:val="HeadingBase"/>
    <w:rsid w:val="00322D30"/>
    <w:pPr>
      <w:spacing w:before="240" w:after="60"/>
    </w:pPr>
    <w:rPr>
      <w:color w:val="918585"/>
      <w:sz w:val="22"/>
    </w:rPr>
  </w:style>
  <w:style w:type="paragraph" w:customStyle="1" w:styleId="SideHeading">
    <w:name w:val="Side Heading"/>
    <w:basedOn w:val="HeadingBase"/>
    <w:rsid w:val="00322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D30"/>
    <w:pPr>
      <w:numPr>
        <w:numId w:val="13"/>
      </w:numPr>
    </w:pPr>
  </w:style>
  <w:style w:type="paragraph" w:styleId="PlainText">
    <w:name w:val="Plain Text"/>
    <w:basedOn w:val="Normal"/>
    <w:link w:val="PlainTextChar"/>
    <w:rsid w:val="00322D30"/>
    <w:rPr>
      <w:sz w:val="20"/>
    </w:rPr>
  </w:style>
  <w:style w:type="character" w:customStyle="1" w:styleId="PlainTextChar">
    <w:name w:val="Plain Text Char"/>
    <w:basedOn w:val="DefaultParagraphFont"/>
    <w:link w:val="PlainText"/>
    <w:rsid w:val="00322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2D30"/>
    <w:rPr>
      <w:b/>
      <w:smallCaps/>
    </w:rPr>
  </w:style>
  <w:style w:type="paragraph" w:customStyle="1" w:styleId="TableListNumber">
    <w:name w:val="Table List Number"/>
    <w:basedOn w:val="ListNumber"/>
    <w:rsid w:val="00322D30"/>
    <w:pPr>
      <w:numPr>
        <w:numId w:val="0"/>
      </w:numPr>
    </w:pPr>
  </w:style>
  <w:style w:type="paragraph" w:styleId="TOC4">
    <w:name w:val="toc 4"/>
    <w:basedOn w:val="TOCBase"/>
    <w:next w:val="Normal"/>
    <w:semiHidden/>
    <w:rsid w:val="00322D30"/>
    <w:pPr>
      <w:tabs>
        <w:tab w:val="right" w:leader="dot" w:pos="9071"/>
      </w:tabs>
      <w:ind w:left="1701"/>
    </w:pPr>
  </w:style>
  <w:style w:type="paragraph" w:customStyle="1" w:styleId="ListAlpha">
    <w:name w:val="List Alpha"/>
    <w:basedOn w:val="List"/>
    <w:rsid w:val="00322D30"/>
    <w:pPr>
      <w:numPr>
        <w:numId w:val="10"/>
      </w:numPr>
    </w:pPr>
  </w:style>
  <w:style w:type="paragraph" w:customStyle="1" w:styleId="ListAlpha2">
    <w:name w:val="List Alpha 2"/>
    <w:basedOn w:val="List2"/>
    <w:rsid w:val="00322D30"/>
    <w:pPr>
      <w:numPr>
        <w:numId w:val="9"/>
      </w:numPr>
    </w:pPr>
  </w:style>
  <w:style w:type="paragraph" w:styleId="List3">
    <w:name w:val="List 3"/>
    <w:basedOn w:val="BodyText"/>
    <w:rsid w:val="00322D30"/>
    <w:pPr>
      <w:tabs>
        <w:tab w:val="left" w:pos="1021"/>
      </w:tabs>
      <w:spacing w:before="60" w:after="60"/>
      <w:ind w:left="1020" w:hanging="340"/>
    </w:pPr>
  </w:style>
  <w:style w:type="paragraph" w:styleId="List4">
    <w:name w:val="List 4"/>
    <w:basedOn w:val="BodyText"/>
    <w:rsid w:val="00322D30"/>
    <w:pPr>
      <w:tabs>
        <w:tab w:val="left" w:pos="1361"/>
      </w:tabs>
      <w:spacing w:before="60" w:after="60"/>
      <w:ind w:left="1361" w:hanging="340"/>
    </w:pPr>
  </w:style>
  <w:style w:type="paragraph" w:styleId="List5">
    <w:name w:val="List 5"/>
    <w:basedOn w:val="BodyText"/>
    <w:rsid w:val="00322D30"/>
    <w:pPr>
      <w:tabs>
        <w:tab w:val="left" w:pos="1701"/>
      </w:tabs>
      <w:spacing w:before="60" w:after="60"/>
      <w:ind w:left="1701" w:hanging="340"/>
    </w:pPr>
  </w:style>
  <w:style w:type="paragraph" w:styleId="ListBullet4">
    <w:name w:val="List Bullet 4"/>
    <w:basedOn w:val="List4"/>
    <w:rsid w:val="00322D30"/>
    <w:pPr>
      <w:numPr>
        <w:numId w:val="4"/>
      </w:numPr>
    </w:pPr>
  </w:style>
  <w:style w:type="paragraph" w:styleId="ListBullet5">
    <w:name w:val="List Bullet 5"/>
    <w:basedOn w:val="List5"/>
    <w:rsid w:val="00322D30"/>
    <w:pPr>
      <w:numPr>
        <w:numId w:val="5"/>
      </w:numPr>
    </w:pPr>
  </w:style>
  <w:style w:type="paragraph" w:styleId="ListContinue2">
    <w:name w:val="List Continue 2"/>
    <w:basedOn w:val="List2"/>
    <w:rsid w:val="00322D30"/>
    <w:pPr>
      <w:ind w:firstLine="0"/>
    </w:pPr>
  </w:style>
  <w:style w:type="paragraph" w:styleId="ListContinue3">
    <w:name w:val="List Continue 3"/>
    <w:basedOn w:val="List3"/>
    <w:rsid w:val="00322D30"/>
    <w:pPr>
      <w:ind w:left="1021" w:firstLine="0"/>
    </w:pPr>
  </w:style>
  <w:style w:type="paragraph" w:styleId="ListContinue4">
    <w:name w:val="List Continue 4"/>
    <w:basedOn w:val="List4"/>
    <w:rsid w:val="00322D30"/>
    <w:pPr>
      <w:ind w:firstLine="0"/>
    </w:pPr>
  </w:style>
  <w:style w:type="paragraph" w:styleId="ListContinue5">
    <w:name w:val="List Continue 5"/>
    <w:basedOn w:val="List5"/>
    <w:rsid w:val="00322D30"/>
    <w:pPr>
      <w:ind w:firstLine="0"/>
    </w:pPr>
  </w:style>
  <w:style w:type="paragraph" w:styleId="ListNumber3">
    <w:name w:val="List Number 3"/>
    <w:basedOn w:val="List3"/>
    <w:rsid w:val="00322D30"/>
    <w:pPr>
      <w:numPr>
        <w:numId w:val="6"/>
      </w:numPr>
    </w:pPr>
  </w:style>
  <w:style w:type="paragraph" w:styleId="ListNumber4">
    <w:name w:val="List Number 4"/>
    <w:basedOn w:val="List4"/>
    <w:rsid w:val="00322D30"/>
    <w:pPr>
      <w:numPr>
        <w:numId w:val="7"/>
      </w:numPr>
    </w:pPr>
  </w:style>
  <w:style w:type="paragraph" w:styleId="ListNumber5">
    <w:name w:val="List Number 5"/>
    <w:basedOn w:val="List5"/>
    <w:rsid w:val="00322D30"/>
    <w:pPr>
      <w:numPr>
        <w:numId w:val="8"/>
      </w:numPr>
    </w:pPr>
  </w:style>
  <w:style w:type="paragraph" w:styleId="BlockText">
    <w:name w:val="Block Text"/>
    <w:basedOn w:val="Normal"/>
    <w:rsid w:val="00322D30"/>
    <w:pPr>
      <w:spacing w:after="120"/>
      <w:ind w:left="1440" w:right="1440"/>
    </w:pPr>
  </w:style>
  <w:style w:type="character" w:customStyle="1" w:styleId="Subscript">
    <w:name w:val="Subscript"/>
    <w:basedOn w:val="DefaultParagraphFont"/>
    <w:rsid w:val="00322D30"/>
    <w:rPr>
      <w:sz w:val="16"/>
      <w:vertAlign w:val="subscript"/>
    </w:rPr>
  </w:style>
  <w:style w:type="character" w:customStyle="1" w:styleId="Superscript">
    <w:name w:val="Superscript"/>
    <w:basedOn w:val="DefaultParagraphFont"/>
    <w:rsid w:val="00322D30"/>
    <w:rPr>
      <w:sz w:val="16"/>
      <w:vertAlign w:val="superscript"/>
    </w:rPr>
  </w:style>
  <w:style w:type="character" w:customStyle="1" w:styleId="Symbols">
    <w:name w:val="Symbols"/>
    <w:basedOn w:val="DefaultParagraphFont"/>
    <w:rsid w:val="00322D30"/>
    <w:rPr>
      <w:rFonts w:ascii="Symbol" w:hAnsi="Symbol"/>
    </w:rPr>
  </w:style>
  <w:style w:type="character" w:customStyle="1" w:styleId="MenuOptions">
    <w:name w:val="Menu Options"/>
    <w:basedOn w:val="DefaultParagraphFont"/>
    <w:rsid w:val="00322D30"/>
    <w:rPr>
      <w:rFonts w:ascii="Arial Narrow" w:hAnsi="Arial Narrow"/>
      <w:smallCaps/>
    </w:rPr>
  </w:style>
  <w:style w:type="character" w:customStyle="1" w:styleId="Buttons">
    <w:name w:val="Buttons"/>
    <w:basedOn w:val="DefaultParagraphFont"/>
    <w:rsid w:val="00322D30"/>
    <w:rPr>
      <w:b/>
    </w:rPr>
  </w:style>
  <w:style w:type="character" w:customStyle="1" w:styleId="Underlined">
    <w:name w:val="Underlined"/>
    <w:basedOn w:val="DefaultParagraphFont"/>
    <w:rsid w:val="00322D30"/>
    <w:rPr>
      <w:u w:val="single"/>
    </w:rPr>
  </w:style>
  <w:style w:type="paragraph" w:customStyle="1" w:styleId="TableBodyTextRight">
    <w:name w:val="Table Body Text Right"/>
    <w:basedOn w:val="TableBodyText"/>
    <w:rsid w:val="00322D30"/>
    <w:pPr>
      <w:widowControl w:val="0"/>
      <w:autoSpaceDE w:val="0"/>
      <w:autoSpaceDN w:val="0"/>
      <w:adjustRightInd w:val="0"/>
      <w:jc w:val="right"/>
    </w:pPr>
    <w:rPr>
      <w:rFonts w:cs="Arial"/>
      <w:szCs w:val="18"/>
    </w:rPr>
  </w:style>
  <w:style w:type="paragraph" w:customStyle="1" w:styleId="CopyrightText">
    <w:name w:val="Copyright Text"/>
    <w:basedOn w:val="BodyText"/>
    <w:rsid w:val="00322D30"/>
    <w:rPr>
      <w:sz w:val="18"/>
    </w:rPr>
  </w:style>
  <w:style w:type="paragraph" w:customStyle="1" w:styleId="BodySmallRight">
    <w:name w:val="Body Small Right"/>
    <w:basedOn w:val="BodyTextRight"/>
    <w:rsid w:val="00322D30"/>
    <w:rPr>
      <w:sz w:val="18"/>
      <w:szCs w:val="18"/>
    </w:rPr>
  </w:style>
  <w:style w:type="paragraph" w:customStyle="1" w:styleId="MarginEdition">
    <w:name w:val="Margin Edition"/>
    <w:basedOn w:val="MarginNote"/>
    <w:rsid w:val="00322D30"/>
    <w:pPr>
      <w:spacing w:before="0" w:after="0"/>
    </w:pPr>
    <w:rPr>
      <w:rFonts w:ascii="Times New Roman" w:hAnsi="Times New Roman"/>
      <w:color w:val="999999"/>
    </w:rPr>
  </w:style>
  <w:style w:type="paragraph" w:customStyle="1" w:styleId="Spacer">
    <w:name w:val="Spacer"/>
    <w:basedOn w:val="Normal"/>
    <w:rsid w:val="00322D30"/>
    <w:rPr>
      <w:sz w:val="2"/>
      <w:szCs w:val="2"/>
    </w:rPr>
  </w:style>
  <w:style w:type="character" w:customStyle="1" w:styleId="Small">
    <w:name w:val="Small"/>
    <w:basedOn w:val="DefaultParagraphFont"/>
    <w:rsid w:val="00322D30"/>
    <w:rPr>
      <w:sz w:val="16"/>
    </w:rPr>
  </w:style>
  <w:style w:type="paragraph" w:customStyle="1" w:styleId="WideTable">
    <w:name w:val="Wide Table"/>
    <w:basedOn w:val="Normal"/>
    <w:rsid w:val="00322D30"/>
    <w:pPr>
      <w:ind w:left="-1418"/>
    </w:pPr>
    <w:rPr>
      <w:sz w:val="2"/>
      <w:szCs w:val="2"/>
    </w:rPr>
  </w:style>
  <w:style w:type="character" w:styleId="PageNumber">
    <w:name w:val="page number"/>
    <w:basedOn w:val="DefaultParagraphFont"/>
    <w:rsid w:val="00322D30"/>
  </w:style>
  <w:style w:type="paragraph" w:styleId="Quote">
    <w:name w:val="Quote"/>
    <w:basedOn w:val="Heading1"/>
    <w:link w:val="QuoteChar"/>
    <w:qFormat/>
    <w:rsid w:val="00322D30"/>
    <w:rPr>
      <w:b w:val="0"/>
      <w:sz w:val="72"/>
      <w:szCs w:val="72"/>
      <w:lang w:val="en-NZ"/>
    </w:rPr>
  </w:style>
  <w:style w:type="character" w:customStyle="1" w:styleId="QuoteChar">
    <w:name w:val="Quote Char"/>
    <w:basedOn w:val="DefaultParagraphFont"/>
    <w:link w:val="Quote"/>
    <w:rsid w:val="00322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D30"/>
    <w:pPr>
      <w:pageBreakBefore/>
    </w:pPr>
  </w:style>
  <w:style w:type="paragraph" w:customStyle="1" w:styleId="Border">
    <w:name w:val="Border"/>
    <w:basedOn w:val="Normal"/>
    <w:qFormat/>
    <w:rsid w:val="00322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D30"/>
    <w:rPr>
      <w:b/>
      <w:bCs/>
      <w:i/>
      <w:iCs/>
      <w:color w:val="auto"/>
    </w:rPr>
  </w:style>
  <w:style w:type="paragraph" w:styleId="IntenseQuote">
    <w:name w:val="Intense Quote"/>
    <w:basedOn w:val="Normal"/>
    <w:next w:val="Normal"/>
    <w:link w:val="IntenseQuoteChar"/>
    <w:uiPriority w:val="30"/>
    <w:qFormat/>
    <w:rsid w:val="00322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2D30"/>
    <w:rPr>
      <w:smallCaps/>
      <w:color w:val="auto"/>
      <w:u w:val="single"/>
    </w:rPr>
  </w:style>
  <w:style w:type="character" w:styleId="IntenseReference">
    <w:name w:val="Intense Reference"/>
    <w:basedOn w:val="DefaultParagraphFont"/>
    <w:uiPriority w:val="32"/>
    <w:qFormat/>
    <w:rsid w:val="00322D30"/>
    <w:rPr>
      <w:b/>
      <w:bCs/>
      <w:smallCaps/>
      <w:color w:val="auto"/>
      <w:spacing w:val="5"/>
      <w:u w:val="single"/>
    </w:rPr>
  </w:style>
  <w:style w:type="paragraph" w:customStyle="1" w:styleId="2ColumnHeading">
    <w:name w:val="2Column Heading"/>
    <w:basedOn w:val="BodyText"/>
    <w:qFormat/>
    <w:rsid w:val="00322D30"/>
    <w:pPr>
      <w:spacing w:after="60"/>
      <w:ind w:left="-2268"/>
    </w:pPr>
    <w:rPr>
      <w:b/>
    </w:rPr>
  </w:style>
  <w:style w:type="paragraph" w:customStyle="1" w:styleId="Heading1TOC">
    <w:name w:val="Heading1 TOC"/>
    <w:basedOn w:val="Normal"/>
    <w:qFormat/>
    <w:rsid w:val="00322D30"/>
    <w:pPr>
      <w:spacing w:before="240" w:after="120"/>
    </w:pPr>
    <w:rPr>
      <w:rFonts w:ascii="Times New Roman" w:hAnsi="Times New Roman"/>
      <w:b/>
      <w:sz w:val="32"/>
    </w:rPr>
  </w:style>
  <w:style w:type="paragraph" w:customStyle="1" w:styleId="Heading2TOC">
    <w:name w:val="Heading2 TOC"/>
    <w:basedOn w:val="Normal"/>
    <w:qFormat/>
    <w:rsid w:val="00322D30"/>
    <w:pPr>
      <w:spacing w:before="240" w:after="60"/>
    </w:pPr>
    <w:rPr>
      <w:rFonts w:ascii="Times New Roman" w:hAnsi="Times New Roman"/>
      <w:b/>
      <w:sz w:val="28"/>
    </w:rPr>
  </w:style>
  <w:style w:type="character" w:customStyle="1" w:styleId="Underline">
    <w:name w:val="Underline"/>
    <w:basedOn w:val="DefaultParagraphFont"/>
    <w:qFormat/>
    <w:rsid w:val="00322D30"/>
    <w:rPr>
      <w:u w:val="single"/>
    </w:rPr>
  </w:style>
  <w:style w:type="paragraph" w:styleId="BalloonText">
    <w:name w:val="Balloon Text"/>
    <w:basedOn w:val="Normal"/>
    <w:link w:val="BalloonTextChar"/>
    <w:rsid w:val="00322D30"/>
    <w:rPr>
      <w:rFonts w:ascii="Tahoma" w:hAnsi="Tahoma" w:cs="Tahoma"/>
      <w:sz w:val="16"/>
      <w:szCs w:val="16"/>
    </w:rPr>
  </w:style>
  <w:style w:type="character" w:customStyle="1" w:styleId="BalloonTextChar">
    <w:name w:val="Balloon Text Char"/>
    <w:basedOn w:val="DefaultParagraphFont"/>
    <w:link w:val="BalloonText"/>
    <w:rsid w:val="00322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2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1766</Words>
  <Characters>11306</Characters>
  <Application>Microsoft Office Word</Application>
  <DocSecurity>0</DocSecurity>
  <Lines>403</Lines>
  <Paragraphs>224</Paragraphs>
  <ScaleCrop>false</ScaleCrop>
  <Company>Author-it Software Corporation Ltd.</Company>
  <LinksUpToDate>false</LinksUpToDate>
  <CharactersWithSpaces>12990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CPCCSI2003A Prepare surfaces for signage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2012-05-26T05:35:00Z</dcterms:created>
  <dcterms:modified xsi:type="dcterms:W3CDTF">2012-05-26T05:35:00Z</dcterms:modified>
</cp:coreProperties>
</file>