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D51" w:rsidP="00A85D51">
      <w:pPr>
        <w:pStyle w:val="Title"/>
      </w:pPr>
      <w:r>
        <w:fldChar w:fldCharType="begin"/>
      </w:r>
      <w:r>
        <w:instrText xml:space="preserve"> TITLE   \* MERGEFORMAT </w:instrText>
      </w:r>
      <w:r>
        <w:fldChar w:fldCharType="separate"/>
      </w:r>
      <w:r>
        <w:t>CPCCSI2001A Use colour for signage</w:t>
      </w:r>
      <w:r>
        <w:fldChar w:fldCharType="end"/>
      </w:r>
    </w:p>
    <w:p w:rsidR="00A85D51" w:rsidP="00A85D51">
      <w:pPr>
        <w:pStyle w:val="Version"/>
        <w:sectPr w:rsidSect="00F52F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F2C" w:rsidP="00F52F2C">
      <w:pPr>
        <w:pStyle w:val="SuperHeading"/>
      </w:pPr>
      <w:r w:rsidRPr="00F52F2C">
        <w:t>CPCCSI2001A Use colour for signage</w:t>
      </w:r>
    </w:p>
    <w:p w:rsidR="00000000" w:rsidRPr="00F52F2C" w:rsidP="00F52F2C">
      <w:pPr>
        <w:pStyle w:val="Heading1"/>
      </w:pPr>
      <w:bookmarkStart w:id="1" w:name="O_269681"/>
      <w:bookmarkEnd w:id="1"/>
      <w:r w:rsidRPr="00F52F2C">
        <w:t>Modification History</w:t>
      </w:r>
    </w:p>
    <w:p w:rsidR="00000000" w:rsidRPr="00F52F2C" w:rsidP="00F52F2C">
      <w:pPr>
        <w:pStyle w:val="BodyText"/>
      </w:pPr>
      <w:r w:rsidRPr="00F52F2C">
        <w:t>Not Applicable</w:t>
      </w:r>
    </w:p>
    <w:p w:rsidR="00000000" w:rsidRPr="00F52F2C" w:rsidP="00F52F2C">
      <w:pPr>
        <w:pStyle w:val="AllowPageBreak"/>
      </w:pPr>
    </w:p>
    <w:p w:rsidR="00000000" w:rsidRPr="00F52F2C" w:rsidP="00F52F2C">
      <w:pPr>
        <w:pStyle w:val="Heading1"/>
      </w:pPr>
      <w:bookmarkStart w:id="2" w:name="O_198542"/>
      <w:bookmarkEnd w:id="2"/>
      <w:r w:rsidRPr="00F52F2C">
        <w:t>Unit Descriptor</w:t>
      </w:r>
    </w:p>
    <w:tbl>
      <w:tblPr>
        <w:tblW w:w="0" w:type="auto"/>
        <w:tblLayout w:type="fixed"/>
        <w:tblCellMar>
          <w:left w:w="62" w:type="dxa"/>
          <w:right w:w="62" w:type="dxa"/>
        </w:tblCellMar>
        <w:tblLook w:val="0000"/>
      </w:tblPr>
      <w:tblGrid>
        <w:gridCol w:w="2544"/>
        <w:gridCol w:w="5978"/>
      </w:tblGrid>
      <w:tr w:rsidTr="00A85D51">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Unit descriptor</w:t>
            </w:r>
          </w:p>
        </w:tc>
        <w:tc>
          <w:tcPr>
            <w:tcW w:w="5978" w:type="dxa"/>
            <w:tcBorders>
              <w:top w:val="nil"/>
              <w:left w:val="nil"/>
              <w:bottom w:val="nil"/>
              <w:right w:val="nil"/>
            </w:tcBorders>
            <w:tcMar>
              <w:top w:w="0" w:type="dxa"/>
              <w:left w:w="62" w:type="dxa"/>
              <w:bottom w:w="0" w:type="dxa"/>
              <w:right w:w="62" w:type="dxa"/>
            </w:tcMar>
          </w:tcPr>
          <w:p w:rsidR="00000000" w:rsidRPr="00F52F2C" w:rsidP="00F52F2C">
            <w:pPr>
              <w:pStyle w:val="BodyText"/>
            </w:pPr>
            <w:r w:rsidRPr="00F52F2C">
              <w:t>This unit of competency specifies the outcomes required to use colour for signage in a range of sign manufacture and</w:t>
            </w:r>
            <w:r w:rsidRPr="00F52F2C">
              <w:t xml:space="preserve"> installation activities.</w:t>
            </w:r>
          </w:p>
          <w:p w:rsidR="00000000" w:rsidRPr="00F52F2C" w:rsidP="00F52F2C">
            <w:pPr>
              <w:pStyle w:val="BodyText"/>
            </w:pPr>
            <w:r w:rsidRPr="00F52F2C">
              <w:t>No licensing, legislative, regulatory or certification requirements apply to this unit at the time of publication.</w:t>
            </w:r>
          </w:p>
        </w:tc>
      </w:tr>
    </w:tbl>
    <w:p w:rsidR="00A85D51" w:rsidP="00F52F2C">
      <w:pPr>
        <w:pStyle w:val="BodyText"/>
      </w:pPr>
    </w:p>
    <w:p w:rsidR="00A85D51" w:rsidP="00F52F2C">
      <w:pPr>
        <w:pStyle w:val="BodyText"/>
      </w:pPr>
    </w:p>
    <w:p w:rsidR="00000000" w:rsidRPr="00F52F2C" w:rsidP="00F52F2C">
      <w:pPr>
        <w:pStyle w:val="Heading1"/>
      </w:pPr>
      <w:bookmarkStart w:id="3" w:name="O_198546"/>
      <w:bookmarkEnd w:id="3"/>
      <w:r w:rsidRPr="00F52F2C">
        <w:t>Application of the Unit</w:t>
      </w:r>
    </w:p>
    <w:tbl>
      <w:tblPr>
        <w:tblW w:w="0" w:type="auto"/>
        <w:tblLayout w:type="fixed"/>
        <w:tblCellMar>
          <w:left w:w="62" w:type="dxa"/>
          <w:right w:w="62" w:type="dxa"/>
        </w:tblCellMar>
        <w:tblLook w:val="0000"/>
      </w:tblPr>
      <w:tblGrid>
        <w:gridCol w:w="2612"/>
        <w:gridCol w:w="5910"/>
      </w:tblGrid>
      <w:tr w:rsidTr="00A85D51">
        <w:tblPrEx>
          <w:tblW w:w="0" w:type="auto"/>
          <w:tblLayout w:type="fixed"/>
          <w:tblCellMar>
            <w:left w:w="62" w:type="dxa"/>
            <w:right w:w="62" w:type="dxa"/>
          </w:tblCellMar>
          <w:tblLook w:val="0000"/>
        </w:tblPrEx>
        <w:trPr>
          <w:tblHeader/>
        </w:trPr>
        <w:tc>
          <w:tcPr>
            <w:tcW w:w="2612"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Application of the unit</w:t>
            </w:r>
          </w:p>
        </w:tc>
        <w:tc>
          <w:tcPr>
            <w:tcW w:w="5910" w:type="dxa"/>
            <w:tcBorders>
              <w:top w:val="nil"/>
              <w:left w:val="nil"/>
              <w:bottom w:val="nil"/>
              <w:right w:val="nil"/>
            </w:tcBorders>
            <w:tcMar>
              <w:top w:w="0" w:type="dxa"/>
              <w:left w:w="62" w:type="dxa"/>
              <w:bottom w:w="0" w:type="dxa"/>
              <w:right w:w="62" w:type="dxa"/>
            </w:tcMar>
          </w:tcPr>
          <w:p w:rsidR="00000000" w:rsidRPr="00F52F2C" w:rsidP="00F52F2C">
            <w:pPr>
              <w:pStyle w:val="BodyText"/>
            </w:pPr>
            <w:r w:rsidRPr="00F52F2C">
              <w:t xml:space="preserve">This unit of competency supports the achievement of skills using colour principles in a range of signage applications, and includes working with others and as a member of a team. It supports the needs of entrants to the signage industry. </w:t>
            </w:r>
          </w:p>
        </w:tc>
      </w:tr>
    </w:tbl>
    <w:p w:rsidR="00A85D51" w:rsidP="00F52F2C">
      <w:pPr>
        <w:pStyle w:val="BodyText"/>
      </w:pPr>
    </w:p>
    <w:p w:rsidR="00A85D51" w:rsidP="00F52F2C">
      <w:pPr>
        <w:pStyle w:val="BodyText"/>
      </w:pPr>
    </w:p>
    <w:p w:rsidR="00000000" w:rsidRPr="00F52F2C" w:rsidP="00F52F2C">
      <w:pPr>
        <w:pStyle w:val="Heading1"/>
      </w:pPr>
      <w:bookmarkStart w:id="4" w:name="O_277941"/>
      <w:bookmarkEnd w:id="4"/>
      <w:r w:rsidRPr="00F52F2C">
        <w:t>Licensing/Regulatory Information</w:t>
      </w:r>
    </w:p>
    <w:p w:rsidR="00000000" w:rsidRPr="00F52F2C" w:rsidP="00F52F2C">
      <w:pPr>
        <w:pStyle w:val="BodyText"/>
      </w:pPr>
      <w:r w:rsidRPr="00F52F2C">
        <w:t>Refer to Unit Descriptor</w:t>
      </w:r>
    </w:p>
    <w:p w:rsidR="00000000" w:rsidRPr="00F52F2C" w:rsidP="00F52F2C">
      <w:pPr>
        <w:pStyle w:val="AllowPageBreak"/>
      </w:pPr>
    </w:p>
    <w:p w:rsidR="00000000" w:rsidRPr="00F52F2C" w:rsidP="00F52F2C">
      <w:pPr>
        <w:pStyle w:val="Heading1"/>
      </w:pPr>
      <w:bookmarkStart w:id="5" w:name="O_198544"/>
      <w:bookmarkEnd w:id="5"/>
      <w:r w:rsidRPr="00F52F2C">
        <w:t>Pre-Requisites</w:t>
      </w:r>
    </w:p>
    <w:tbl>
      <w:tblPr>
        <w:tblW w:w="0" w:type="auto"/>
        <w:tblLayout w:type="fixed"/>
        <w:tblCellMar>
          <w:left w:w="62" w:type="dxa"/>
          <w:right w:w="62" w:type="dxa"/>
        </w:tblCellMar>
        <w:tblLook w:val="0000"/>
      </w:tblPr>
      <w:tblGrid>
        <w:gridCol w:w="2579"/>
        <w:gridCol w:w="2527"/>
        <w:gridCol w:w="3416"/>
      </w:tblGrid>
      <w:tr w:rsidTr="00A85D51">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Prerequisite units</w:t>
            </w:r>
          </w:p>
        </w:tc>
        <w:tc>
          <w:tcPr>
            <w:tcW w:w="5943" w:type="dxa"/>
            <w:gridSpan w:val="2"/>
            <w:tcBorders>
              <w:top w:val="nil"/>
              <w:left w:val="nil"/>
              <w:bottom w:val="nil"/>
              <w:right w:val="nil"/>
            </w:tcBorders>
            <w:tcMar>
              <w:top w:w="0" w:type="dxa"/>
              <w:left w:w="62" w:type="dxa"/>
              <w:bottom w:w="0" w:type="dxa"/>
              <w:right w:w="62" w:type="dxa"/>
            </w:tcMar>
          </w:tcPr>
          <w:p w:rsidR="00000000" w:rsidP="00F52F2C">
            <w:pPr>
              <w:pStyle w:val="BodyText"/>
              <w:rPr>
                <w:lang w:val="en-NZ"/>
              </w:rPr>
            </w:pPr>
          </w:p>
        </w:tc>
      </w:tr>
      <w:tr w:rsidTr="00A85D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t>CPCCOHS2001A</w:t>
            </w:r>
          </w:p>
        </w:tc>
        <w:tc>
          <w:tcPr>
            <w:tcW w:w="3416"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t>Apply OHS requirements, policies and procedures in the construction industry</w:t>
            </w:r>
          </w:p>
        </w:tc>
      </w:tr>
      <w:tr w:rsidTr="00A85D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16" w:type="dxa"/>
            <w:tcBorders>
              <w:top w:val="nil"/>
              <w:left w:val="nil"/>
              <w:bottom w:val="nil"/>
              <w:right w:val="nil"/>
            </w:tcBorders>
            <w:tcMar>
              <w:top w:w="0" w:type="dxa"/>
              <w:left w:w="62" w:type="dxa"/>
              <w:bottom w:w="0" w:type="dxa"/>
              <w:right w:w="62" w:type="dxa"/>
            </w:tcMar>
          </w:tcPr>
          <w:p w:rsidR="00000000" w:rsidRPr="00F52F2C" w:rsidP="00F52F2C">
            <w:pPr>
              <w:pStyle w:val="BodyText"/>
            </w:pPr>
          </w:p>
        </w:tc>
      </w:tr>
    </w:tbl>
    <w:p w:rsidR="00A85D51" w:rsidP="00F52F2C">
      <w:pPr>
        <w:pStyle w:val="BodyText"/>
      </w:pPr>
    </w:p>
    <w:p w:rsidR="00A85D51" w:rsidP="00F52F2C">
      <w:pPr>
        <w:pStyle w:val="BodyText"/>
      </w:pPr>
    </w:p>
    <w:p w:rsidR="00000000" w:rsidRPr="00F52F2C" w:rsidP="00F52F2C">
      <w:pPr>
        <w:pStyle w:val="Heading1"/>
      </w:pPr>
      <w:bookmarkStart w:id="6" w:name="O_198543"/>
      <w:bookmarkEnd w:id="6"/>
      <w:r w:rsidRPr="00F52F2C">
        <w:t>Employability Skills Information</w:t>
      </w:r>
    </w:p>
    <w:tbl>
      <w:tblPr>
        <w:tblW w:w="0" w:type="auto"/>
        <w:tblLayout w:type="fixed"/>
        <w:tblCellMar>
          <w:left w:w="62" w:type="dxa"/>
          <w:right w:w="62" w:type="dxa"/>
        </w:tblCellMar>
        <w:tblLook w:val="0000"/>
      </w:tblPr>
      <w:tblGrid>
        <w:gridCol w:w="2647"/>
        <w:gridCol w:w="5875"/>
      </w:tblGrid>
      <w:tr w:rsidTr="00A85D51">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Employability skills</w:t>
            </w:r>
          </w:p>
        </w:tc>
        <w:tc>
          <w:tcPr>
            <w:tcW w:w="5875" w:type="dxa"/>
            <w:tcBorders>
              <w:top w:val="nil"/>
              <w:left w:val="nil"/>
              <w:bottom w:val="nil"/>
              <w:right w:val="nil"/>
            </w:tcBorders>
            <w:tcMar>
              <w:top w:w="0" w:type="dxa"/>
              <w:left w:w="62" w:type="dxa"/>
              <w:bottom w:w="0" w:type="dxa"/>
              <w:right w:w="62" w:type="dxa"/>
            </w:tcMar>
          </w:tcPr>
          <w:p w:rsidR="00000000" w:rsidRPr="00F52F2C" w:rsidP="00F52F2C">
            <w:pPr>
              <w:pStyle w:val="BodyText"/>
            </w:pPr>
            <w:r w:rsidRPr="00F52F2C">
              <w:t>This unit contains employability skills.</w:t>
            </w:r>
          </w:p>
        </w:tc>
      </w:tr>
    </w:tbl>
    <w:p w:rsidR="00A85D51" w:rsidP="00F52F2C">
      <w:pPr>
        <w:pStyle w:val="BodyText"/>
      </w:pPr>
    </w:p>
    <w:p w:rsidR="00A85D51" w:rsidP="00F52F2C">
      <w:pPr>
        <w:pStyle w:val="BodyText"/>
      </w:pPr>
    </w:p>
    <w:p w:rsidR="00000000" w:rsidRPr="00F52F2C" w:rsidP="00F52F2C">
      <w:pPr>
        <w:pStyle w:val="Heading1"/>
      </w:pPr>
      <w:bookmarkStart w:id="7" w:name="O_287727"/>
      <w:bookmarkEnd w:id="7"/>
      <w:r w:rsidRPr="00F52F2C">
        <w:t>Elements and Performance Criteria Pre-Content</w:t>
      </w:r>
    </w:p>
    <w:tbl>
      <w:tblPr>
        <w:tblW w:w="0" w:type="auto"/>
        <w:tblLayout w:type="fixed"/>
        <w:tblCellMar>
          <w:left w:w="62" w:type="dxa"/>
          <w:right w:w="62" w:type="dxa"/>
        </w:tblCellMar>
        <w:tblLook w:val="0000"/>
      </w:tblPr>
      <w:tblGrid>
        <w:gridCol w:w="2567"/>
        <w:gridCol w:w="5955"/>
      </w:tblGrid>
      <w:tr w:rsidTr="00A85D5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52F2C">
            <w:pPr>
              <w:pStyle w:val="BodyText"/>
              <w:rPr>
                <w:lang w:val="en-NZ"/>
              </w:rPr>
            </w:pPr>
            <w:r w:rsidRPr="00F52F2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52F2C" w:rsidP="00F52F2C">
            <w:pPr>
              <w:pStyle w:val="BodyText"/>
            </w:pPr>
            <w:r w:rsidRPr="00F52F2C">
              <w:t>Performance criteria describe the performance needed to demonstrate achievement of the element. Where bold italicised text is used, further information is detailed in the required skills and knowledge section and the range statement. Assessment of performa</w:t>
            </w:r>
            <w:r w:rsidRPr="00F52F2C">
              <w:t>nce is to be consistent with the evidence guide.</w:t>
            </w:r>
          </w:p>
        </w:tc>
      </w:tr>
    </w:tbl>
    <w:p w:rsidR="00000000" w:rsidRPr="00F52F2C" w:rsidP="00F52F2C">
      <w:pPr>
        <w:pStyle w:val="BodyText"/>
      </w:pPr>
    </w:p>
    <w:p w:rsidR="00000000" w:rsidRPr="00F52F2C" w:rsidP="00F52F2C">
      <w:pPr>
        <w:pStyle w:val="AllowPageBreak"/>
      </w:pPr>
    </w:p>
    <w:p w:rsidR="00000000" w:rsidRPr="00F52F2C" w:rsidP="00F52F2C">
      <w:pPr>
        <w:pStyle w:val="Heading1"/>
      </w:pPr>
      <w:bookmarkStart w:id="8" w:name="O_234394"/>
      <w:bookmarkEnd w:id="8"/>
      <w:r w:rsidRPr="00F52F2C">
        <w:t>Elements and Performance Criteria</w:t>
      </w:r>
    </w:p>
    <w:tbl>
      <w:tblPr>
        <w:tblW w:w="0" w:type="auto"/>
        <w:tblLayout w:type="fixed"/>
        <w:tblCellMar>
          <w:left w:w="62" w:type="dxa"/>
          <w:right w:w="62" w:type="dxa"/>
        </w:tblCellMar>
        <w:tblLook w:val="0000"/>
      </w:tblPr>
      <w:tblGrid>
        <w:gridCol w:w="2567"/>
        <w:gridCol w:w="5955"/>
      </w:tblGrid>
      <w:tr w:rsidTr="00A85D5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52F2C" w:rsidP="00F52F2C">
            <w:pPr>
              <w:pStyle w:val="BodyText"/>
            </w:pPr>
            <w:r w:rsidRPr="00F52F2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52F2C">
            <w:pPr>
              <w:pStyle w:val="BodyText"/>
              <w:rPr>
                <w:lang w:val="en-NZ"/>
              </w:rPr>
            </w:pPr>
            <w:r w:rsidRPr="00F52F2C">
              <w:rPr>
                <w:rStyle w:val="SpecialBold"/>
              </w:rPr>
              <w:t>PERFORMANCE CRITERIA</w:t>
            </w:r>
          </w:p>
        </w:tc>
      </w:tr>
      <w:tr w:rsidTr="00A85D5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52F2C">
            <w:pPr>
              <w:pStyle w:val="List"/>
              <w:rPr>
                <w:lang w:val="en-NZ"/>
              </w:rPr>
            </w:pPr>
            <w:r w:rsidRPr="00F52F2C">
              <w:t>1.</w:t>
            </w:r>
            <w:r w:rsidRPr="00F52F2C">
              <w:tab/>
              <w:t>Apply colour matching systems.</w:t>
            </w:r>
          </w:p>
        </w:tc>
        <w:tc>
          <w:tcPr>
            <w:tcW w:w="5955" w:type="dxa"/>
            <w:tcBorders>
              <w:top w:val="nil"/>
              <w:left w:val="nil"/>
              <w:bottom w:val="nil"/>
              <w:right w:val="nil"/>
            </w:tcBorders>
            <w:tcMar>
              <w:top w:w="0" w:type="dxa"/>
              <w:left w:w="62" w:type="dxa"/>
              <w:bottom w:w="0" w:type="dxa"/>
              <w:right w:w="62" w:type="dxa"/>
            </w:tcMar>
          </w:tcPr>
          <w:p w:rsidR="00000000" w:rsidRPr="00F52F2C" w:rsidP="00F52F2C">
            <w:pPr>
              <w:pStyle w:val="List2"/>
            </w:pPr>
            <w:r w:rsidRPr="00F52F2C">
              <w:t>1.1.</w:t>
            </w:r>
            <w:r w:rsidRPr="00F52F2C">
              <w:tab/>
              <w:t xml:space="preserve">Colour matching systems are identified. </w:t>
            </w:r>
          </w:p>
          <w:p w:rsidR="00000000" w:rsidRPr="00F52F2C" w:rsidP="00F52F2C">
            <w:pPr>
              <w:pStyle w:val="List2"/>
            </w:pPr>
            <w:r w:rsidRPr="00F52F2C">
              <w:t>1.2.</w:t>
            </w:r>
            <w:r w:rsidRPr="00F52F2C">
              <w:tab/>
            </w:r>
            <w:r w:rsidRPr="00F52F2C">
              <w:t>Attributes of different colour matching systems are identified and applied.</w:t>
            </w:r>
          </w:p>
          <w:p w:rsidR="00000000" w:rsidP="00F52F2C">
            <w:pPr>
              <w:pStyle w:val="List2"/>
              <w:rPr>
                <w:lang w:val="en-NZ"/>
              </w:rPr>
            </w:pPr>
            <w:r w:rsidRPr="00F52F2C">
              <w:t>1.3.</w:t>
            </w:r>
            <w:r w:rsidRPr="00F52F2C">
              <w:tab/>
              <w:t>Different colour matching systems are applied for specific functions.</w:t>
            </w:r>
          </w:p>
        </w:tc>
      </w:tr>
      <w:tr w:rsidTr="00A85D5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52F2C">
            <w:pPr>
              <w:pStyle w:val="List"/>
              <w:rPr>
                <w:lang w:val="en-NZ"/>
              </w:rPr>
            </w:pPr>
            <w:r w:rsidRPr="00F52F2C">
              <w:t>2.</w:t>
            </w:r>
            <w:r w:rsidRPr="00F52F2C">
              <w:tab/>
              <w:t>Identify and apply the theory of colour to signage.</w:t>
            </w:r>
          </w:p>
        </w:tc>
        <w:tc>
          <w:tcPr>
            <w:tcW w:w="5955" w:type="dxa"/>
            <w:tcBorders>
              <w:top w:val="nil"/>
              <w:left w:val="nil"/>
              <w:bottom w:val="nil"/>
              <w:right w:val="nil"/>
            </w:tcBorders>
            <w:tcMar>
              <w:top w:w="0" w:type="dxa"/>
              <w:left w:w="62" w:type="dxa"/>
              <w:bottom w:w="0" w:type="dxa"/>
              <w:right w:w="62" w:type="dxa"/>
            </w:tcMar>
          </w:tcPr>
          <w:p w:rsidR="00000000" w:rsidRPr="00F52F2C" w:rsidP="00F52F2C">
            <w:pPr>
              <w:pStyle w:val="List2"/>
            </w:pPr>
            <w:r w:rsidRPr="00F52F2C">
              <w:t>2.1.</w:t>
            </w:r>
            <w:r w:rsidRPr="00F52F2C">
              <w:tab/>
              <w:t>Principles of colour legibility and contrast</w:t>
            </w:r>
            <w:r w:rsidRPr="00F52F2C">
              <w:t xml:space="preserve"> are identified and applied to signage.</w:t>
            </w:r>
          </w:p>
          <w:p w:rsidR="00000000" w:rsidRPr="00F52F2C" w:rsidP="00F52F2C">
            <w:pPr>
              <w:pStyle w:val="List2"/>
            </w:pPr>
            <w:r w:rsidRPr="00F52F2C">
              <w:t>2.2.</w:t>
            </w:r>
            <w:r w:rsidRPr="00F52F2C">
              <w:tab/>
              <w:t xml:space="preserve">Principles of </w:t>
            </w:r>
            <w:r w:rsidRPr="00F52F2C">
              <w:rPr>
                <w:rStyle w:val="BoldandItalics"/>
              </w:rPr>
              <w:t>colour harmony</w:t>
            </w:r>
            <w:r w:rsidRPr="00F52F2C">
              <w:t xml:space="preserve"> are identified and applied to signage. </w:t>
            </w:r>
          </w:p>
          <w:p w:rsidR="00000000" w:rsidP="00F52F2C">
            <w:pPr>
              <w:pStyle w:val="List2"/>
              <w:rPr>
                <w:lang w:val="en-NZ"/>
              </w:rPr>
            </w:pPr>
            <w:r w:rsidRPr="00F52F2C">
              <w:t>2.3.</w:t>
            </w:r>
            <w:r w:rsidRPr="00F52F2C">
              <w:tab/>
            </w:r>
            <w:r w:rsidRPr="00F52F2C">
              <w:rPr>
                <w:rStyle w:val="BoldandItalics"/>
              </w:rPr>
              <w:t>Colour schemes</w:t>
            </w:r>
            <w:r w:rsidRPr="00F52F2C">
              <w:t xml:space="preserve"> are identified and applied to signage. </w:t>
            </w:r>
          </w:p>
        </w:tc>
      </w:tr>
      <w:tr w:rsidTr="00A85D5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52F2C">
            <w:pPr>
              <w:pStyle w:val="List"/>
              <w:rPr>
                <w:lang w:val="en-NZ"/>
              </w:rPr>
            </w:pPr>
            <w:r w:rsidRPr="00F52F2C">
              <w:t>3.</w:t>
            </w:r>
            <w:r w:rsidRPr="00F52F2C">
              <w:tab/>
              <w:t>Apply computer colour matching systems.</w:t>
            </w:r>
          </w:p>
        </w:tc>
        <w:tc>
          <w:tcPr>
            <w:tcW w:w="5955" w:type="dxa"/>
            <w:tcBorders>
              <w:top w:val="nil"/>
              <w:left w:val="nil"/>
              <w:bottom w:val="nil"/>
              <w:right w:val="nil"/>
            </w:tcBorders>
            <w:tcMar>
              <w:top w:w="0" w:type="dxa"/>
              <w:left w:w="62" w:type="dxa"/>
              <w:bottom w:w="0" w:type="dxa"/>
              <w:right w:w="62" w:type="dxa"/>
            </w:tcMar>
          </w:tcPr>
          <w:p w:rsidR="00000000" w:rsidRPr="00F52F2C" w:rsidP="00F52F2C">
            <w:pPr>
              <w:pStyle w:val="List2"/>
            </w:pPr>
            <w:r w:rsidRPr="00F52F2C">
              <w:t>3.1.</w:t>
            </w:r>
            <w:r w:rsidRPr="00F52F2C">
              <w:tab/>
            </w:r>
            <w:r w:rsidRPr="00F52F2C">
              <w:t>Colour matching by computer colour matching systems is applied to signage.</w:t>
            </w:r>
          </w:p>
        </w:tc>
      </w:tr>
    </w:tbl>
    <w:p w:rsidR="00A85D51" w:rsidP="00F52F2C">
      <w:pPr>
        <w:pStyle w:val="BodyText"/>
      </w:pPr>
    </w:p>
    <w:p w:rsidR="00A85D51" w:rsidP="00F52F2C">
      <w:pPr>
        <w:pStyle w:val="BodyText"/>
      </w:pPr>
    </w:p>
    <w:p w:rsidR="00000000" w:rsidRPr="00F52F2C" w:rsidP="00F52F2C">
      <w:pPr>
        <w:pStyle w:val="Heading1"/>
      </w:pPr>
      <w:bookmarkStart w:id="9" w:name="O_258344"/>
      <w:bookmarkEnd w:id="9"/>
      <w:r w:rsidRPr="00F52F2C">
        <w:t>Required Skills and Knowledge</w:t>
      </w:r>
    </w:p>
    <w:tbl>
      <w:tblPr>
        <w:tblW w:w="0" w:type="auto"/>
        <w:tblLayout w:type="fixed"/>
        <w:tblCellMar>
          <w:left w:w="62" w:type="dxa"/>
          <w:right w:w="62" w:type="dxa"/>
        </w:tblCellMar>
        <w:tblLook w:val="0000"/>
      </w:tblPr>
      <w:tblGrid>
        <w:gridCol w:w="8522"/>
      </w:tblGrid>
      <w:tr w:rsidTr="00A85D5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REQUIRED SKILLS AND KNOWLEDGE</w:t>
            </w:r>
          </w:p>
        </w:tc>
      </w:tr>
      <w:tr w:rsidTr="00A85D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t>This section describes the skills and knowledge required for this unit.</w:t>
            </w:r>
          </w:p>
        </w:tc>
      </w:tr>
      <w:tr w:rsidTr="00A85D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Requi</w:t>
            </w:r>
            <w:r w:rsidRPr="00F52F2C">
              <w:rPr>
                <w:rStyle w:val="SpecialBold"/>
              </w:rPr>
              <w:t>red skills</w:t>
            </w:r>
          </w:p>
        </w:tc>
      </w:tr>
      <w:tr w:rsidTr="00A85D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2F2C" w:rsidP="00F52F2C">
            <w:pPr>
              <w:pStyle w:val="BodyText"/>
            </w:pPr>
            <w:r w:rsidRPr="00F52F2C">
              <w:t>Required skills for this unit are:</w:t>
            </w:r>
          </w:p>
          <w:p w:rsidR="00000000" w:rsidRPr="00F52F2C" w:rsidP="00F52F2C">
            <w:pPr>
              <w:pStyle w:val="ListBullet"/>
            </w:pPr>
            <w:r w:rsidRPr="00F52F2C">
              <w:t>ability to apply design concepts and principles of colour</w:t>
            </w:r>
          </w:p>
          <w:p w:rsidR="00000000" w:rsidRPr="00F52F2C" w:rsidP="00F52F2C">
            <w:pPr>
              <w:pStyle w:val="ListBullet"/>
            </w:pPr>
            <w:r w:rsidRPr="00F52F2C">
              <w:t>communication skills to:</w:t>
            </w:r>
          </w:p>
          <w:p w:rsidR="00000000" w:rsidRPr="00F52F2C" w:rsidP="00F52F2C">
            <w:pPr>
              <w:pStyle w:val="ListBullet2"/>
            </w:pPr>
            <w:r w:rsidRPr="00F52F2C">
              <w:t>determine requirements</w:t>
            </w:r>
          </w:p>
          <w:p w:rsidR="00000000" w:rsidRPr="00F52F2C" w:rsidP="00F52F2C">
            <w:pPr>
              <w:pStyle w:val="ListBullet2"/>
            </w:pPr>
            <w:r w:rsidRPr="00F52F2C">
              <w:t>enable clear and direct communication, using questioning to identify and confirm requirements, share information, listen and understand</w:t>
            </w:r>
          </w:p>
          <w:p w:rsidR="00000000" w:rsidRPr="00F52F2C" w:rsidP="00F52F2C">
            <w:pPr>
              <w:pStyle w:val="ListBullet2"/>
            </w:pPr>
            <w:r w:rsidRPr="00F52F2C">
              <w:t>follow instructions</w:t>
            </w:r>
          </w:p>
          <w:p w:rsidR="00000000" w:rsidRPr="00F52F2C" w:rsidP="00F52F2C">
            <w:pPr>
              <w:pStyle w:val="ListBullet2"/>
            </w:pPr>
            <w:r w:rsidRPr="00F52F2C">
              <w:t>read and interpret:</w:t>
            </w:r>
          </w:p>
          <w:p w:rsidR="00000000" w:rsidRPr="00F52F2C" w:rsidP="00F52F2C">
            <w:pPr>
              <w:pStyle w:val="ListBullet3"/>
            </w:pPr>
            <w:r w:rsidRPr="00F52F2C">
              <w:t>charts and hand drawings</w:t>
            </w:r>
          </w:p>
          <w:p w:rsidR="00000000" w:rsidRPr="00F52F2C" w:rsidP="00F52F2C">
            <w:pPr>
              <w:pStyle w:val="ListBullet3"/>
            </w:pPr>
            <w:r w:rsidRPr="00F52F2C">
              <w:t>design principles</w:t>
            </w:r>
          </w:p>
          <w:p w:rsidR="00000000" w:rsidRPr="00F52F2C" w:rsidP="00F52F2C">
            <w:pPr>
              <w:pStyle w:val="ListBullet3"/>
            </w:pPr>
            <w:r w:rsidRPr="00F52F2C">
              <w:t>job drawings</w:t>
            </w:r>
          </w:p>
          <w:p w:rsidR="00000000" w:rsidRPr="00F52F2C" w:rsidP="00F52F2C">
            <w:pPr>
              <w:pStyle w:val="ListBullet3"/>
            </w:pPr>
            <w:r w:rsidRPr="00F52F2C">
              <w:t>manufacturer specifications and instructions</w:t>
            </w:r>
          </w:p>
          <w:p w:rsidR="00000000" w:rsidRPr="00F52F2C" w:rsidP="00F52F2C">
            <w:pPr>
              <w:pStyle w:val="ListBullet3"/>
            </w:pPr>
            <w:r w:rsidRPr="00F52F2C">
              <w:t>organisational work specifications</w:t>
            </w:r>
          </w:p>
          <w:p w:rsidR="00000000" w:rsidRPr="00F52F2C" w:rsidP="00F52F2C">
            <w:pPr>
              <w:pStyle w:val="ListBullet3"/>
            </w:pPr>
            <w:r w:rsidRPr="00F52F2C">
              <w:t xml:space="preserve">requirements and instructions issued by authorised organisational or </w:t>
            </w:r>
            <w:r w:rsidRPr="00F52F2C">
              <w:t>external personnel</w:t>
            </w:r>
          </w:p>
          <w:p w:rsidR="00000000" w:rsidRPr="00F52F2C" w:rsidP="00F52F2C">
            <w:pPr>
              <w:pStyle w:val="ListBullet2"/>
            </w:pPr>
            <w:r w:rsidRPr="00F52F2C">
              <w:t>report faults</w:t>
            </w:r>
          </w:p>
          <w:p w:rsidR="00000000" w:rsidRPr="00F52F2C" w:rsidP="00F52F2C">
            <w:pPr>
              <w:pStyle w:val="ListBullet2"/>
            </w:pPr>
            <w:r w:rsidRPr="00F52F2C">
              <w:t>use and interpret non-verbal communication</w:t>
            </w:r>
          </w:p>
          <w:p w:rsidR="00000000" w:rsidRPr="00F52F2C" w:rsidP="00F52F2C">
            <w:pPr>
              <w:pStyle w:val="ListBullet2"/>
            </w:pPr>
            <w:r w:rsidRPr="00F52F2C">
              <w:t>use language and concepts appr</w:t>
            </w:r>
            <w:r w:rsidRPr="00F52F2C">
              <w:t>opriate to cultural differences</w:t>
            </w:r>
          </w:p>
          <w:p w:rsidR="00000000" w:rsidP="00F52F2C">
            <w:pPr>
              <w:pStyle w:val="ListBullet"/>
              <w:rPr>
                <w:lang w:val="en-NZ"/>
              </w:rPr>
            </w:pPr>
            <w:r w:rsidRPr="00F52F2C">
              <w:t>problem solving skills to recognise, and take action to rectify, minor faults and problems.</w:t>
            </w:r>
          </w:p>
        </w:tc>
      </w:tr>
      <w:tr w:rsidTr="00A85D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Required knowledge</w:t>
            </w:r>
          </w:p>
        </w:tc>
      </w:tr>
      <w:tr w:rsidTr="00A85D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2F2C" w:rsidP="00F52F2C">
            <w:pPr>
              <w:pStyle w:val="BodyText"/>
            </w:pPr>
            <w:r w:rsidRPr="00F52F2C">
              <w:t>Required knowledge for this unit is:</w:t>
            </w:r>
          </w:p>
          <w:p w:rsidR="00000000" w:rsidRPr="00F52F2C" w:rsidP="00F52F2C">
            <w:pPr>
              <w:pStyle w:val="ListBullet"/>
            </w:pPr>
            <w:r w:rsidRPr="00F52F2C">
              <w:t>job safety analysis (JSA) and safe work method statements</w:t>
            </w:r>
          </w:p>
          <w:p w:rsidR="00000000" w:rsidRPr="00F52F2C" w:rsidP="00F52F2C">
            <w:pPr>
              <w:pStyle w:val="ListBullet"/>
            </w:pPr>
            <w:r w:rsidRPr="00F52F2C">
              <w:t>material safety data sheets (MSDS)</w:t>
            </w:r>
          </w:p>
          <w:p w:rsidR="00000000" w:rsidRPr="00F52F2C" w:rsidP="00F52F2C">
            <w:pPr>
              <w:pStyle w:val="ListBullet"/>
            </w:pPr>
            <w:r w:rsidRPr="00F52F2C">
              <w:t>quality assurance requirements, including:</w:t>
            </w:r>
          </w:p>
          <w:p w:rsidR="00000000" w:rsidRPr="00F52F2C" w:rsidP="00F52F2C">
            <w:pPr>
              <w:pStyle w:val="ListBullet2"/>
            </w:pPr>
            <w:r w:rsidRPr="00F52F2C">
              <w:t>Australian and international standards relevant to the sign industry</w:t>
            </w:r>
          </w:p>
          <w:p w:rsidR="00000000" w:rsidRPr="00F52F2C" w:rsidP="00F52F2C">
            <w:pPr>
              <w:pStyle w:val="ListBullet2"/>
            </w:pPr>
            <w:r w:rsidRPr="00F52F2C">
              <w:t>internal company quality assurance policy and risk management strategies</w:t>
            </w:r>
          </w:p>
          <w:p w:rsidR="00000000" w:rsidRPr="00F52F2C" w:rsidP="00F52F2C">
            <w:pPr>
              <w:pStyle w:val="ListBullet2"/>
            </w:pPr>
            <w:r w:rsidRPr="00F52F2C">
              <w:t>workplace operations and procedures</w:t>
            </w:r>
          </w:p>
          <w:p w:rsidR="00000000" w:rsidRPr="00F52F2C" w:rsidP="00F52F2C">
            <w:pPr>
              <w:pStyle w:val="ListBullet"/>
            </w:pPr>
            <w:r w:rsidRPr="00F52F2C">
              <w:t>relevant Australian and New Zealand standards and:</w:t>
            </w:r>
          </w:p>
          <w:p w:rsidR="00000000" w:rsidRPr="00F52F2C" w:rsidP="00F52F2C">
            <w:pPr>
              <w:pStyle w:val="ListBullet2"/>
            </w:pPr>
            <w:r w:rsidRPr="00F52F2C">
              <w:t>manufacturer specifications</w:t>
            </w:r>
          </w:p>
          <w:p w:rsidR="00000000" w:rsidRPr="00F52F2C" w:rsidP="00F52F2C">
            <w:pPr>
              <w:pStyle w:val="ListBullet2"/>
            </w:pPr>
            <w:r w:rsidRPr="00F52F2C">
              <w:t>other applicable codes or standard operating procedures relevant to the sector</w:t>
            </w:r>
          </w:p>
          <w:p w:rsidR="00000000" w:rsidRPr="00F52F2C" w:rsidP="00F52F2C">
            <w:pPr>
              <w:pStyle w:val="ListBullet"/>
            </w:pPr>
            <w:r w:rsidRPr="00F52F2C">
              <w:t>terminology and definitions used in signage design.</w:t>
            </w:r>
          </w:p>
        </w:tc>
      </w:tr>
    </w:tbl>
    <w:p w:rsidR="00A85D51" w:rsidP="00F52F2C">
      <w:pPr>
        <w:pStyle w:val="BodyText"/>
      </w:pPr>
    </w:p>
    <w:p w:rsidR="00A85D51" w:rsidP="00F52F2C">
      <w:pPr>
        <w:pStyle w:val="BodyText"/>
      </w:pPr>
    </w:p>
    <w:p w:rsidR="00000000" w:rsidRPr="00F52F2C" w:rsidP="00F52F2C">
      <w:pPr>
        <w:pStyle w:val="AllowPageBreak"/>
      </w:pPr>
    </w:p>
    <w:p w:rsidR="00000000" w:rsidRPr="00F52F2C" w:rsidP="00F52F2C">
      <w:pPr>
        <w:pStyle w:val="Heading1"/>
      </w:pPr>
      <w:bookmarkStart w:id="10" w:name="O_242378"/>
      <w:bookmarkEnd w:id="10"/>
      <w:r w:rsidRPr="00F52F2C">
        <w:t>Evidence Guide</w:t>
      </w:r>
    </w:p>
    <w:tbl>
      <w:tblPr>
        <w:tblW w:w="0" w:type="auto"/>
        <w:tblLayout w:type="fixed"/>
        <w:tblCellMar>
          <w:left w:w="62" w:type="dxa"/>
          <w:right w:w="62" w:type="dxa"/>
        </w:tblCellMar>
        <w:tblLook w:val="0000"/>
      </w:tblPr>
      <w:tblGrid>
        <w:gridCol w:w="3480"/>
        <w:gridCol w:w="5042"/>
      </w:tblGrid>
      <w:tr w:rsidTr="00A85D5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52F2C">
            <w:pPr>
              <w:pStyle w:val="BodyText"/>
              <w:rPr>
                <w:lang w:val="en-NZ"/>
              </w:rPr>
            </w:pPr>
            <w:r w:rsidRPr="00F52F2C">
              <w:rPr>
                <w:rStyle w:val="SpecialBold"/>
              </w:rPr>
              <w:t>EVIDENCE GUIDE</w:t>
            </w:r>
          </w:p>
        </w:tc>
      </w:tr>
      <w:tr w:rsidTr="00A85D5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52F2C">
            <w:pPr>
              <w:pStyle w:val="BodyText"/>
              <w:rPr>
                <w:lang w:val="en-NZ"/>
              </w:rPr>
            </w:pPr>
            <w:r w:rsidRPr="00F52F2C">
              <w:t>The evidence guide provides advice on assessment and must be read in conjunction with the performance criteria, required skills and knowledge, range statement and the Assessment Guidelines for the Training Package.</w:t>
            </w:r>
          </w:p>
        </w:tc>
      </w:tr>
      <w:tr w:rsidTr="00A85D51">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Overview of assessment</w:t>
            </w:r>
          </w:p>
        </w:tc>
        <w:tc>
          <w:tcPr>
            <w:tcW w:w="5042"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t>This unit of competency could be assessed in the workplace or a close simulation of the workplace environment, provided that simulated or project-based assessment techniques fully replicate construction workplace conditions, material</w:t>
            </w:r>
            <w:r w:rsidRPr="00F52F2C">
              <w:t xml:space="preserve">s, activities, responsibilities and procedures. </w:t>
            </w:r>
          </w:p>
        </w:tc>
      </w:tr>
      <w:tr w:rsidTr="00A85D51">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Critical aspects for assessment and evidence required to demonstrate competency in this unit</w:t>
            </w:r>
          </w:p>
        </w:tc>
        <w:tc>
          <w:tcPr>
            <w:tcW w:w="5042" w:type="dxa"/>
            <w:tcBorders>
              <w:top w:val="nil"/>
              <w:left w:val="nil"/>
              <w:bottom w:val="nil"/>
              <w:right w:val="nil"/>
            </w:tcBorders>
            <w:tcMar>
              <w:top w:w="0" w:type="dxa"/>
              <w:left w:w="62" w:type="dxa"/>
              <w:bottom w:w="0" w:type="dxa"/>
              <w:right w:w="62" w:type="dxa"/>
            </w:tcMar>
          </w:tcPr>
          <w:p w:rsidR="00000000" w:rsidRPr="00F52F2C" w:rsidP="00F52F2C">
            <w:pPr>
              <w:pStyle w:val="BodyText"/>
            </w:pPr>
            <w:r w:rsidRPr="00F52F2C">
              <w:t>A person who demonstrates competency in this unit must be able to provide evidence of:</w:t>
            </w:r>
          </w:p>
          <w:p w:rsidR="00000000" w:rsidRPr="00F52F2C" w:rsidP="00F52F2C">
            <w:pPr>
              <w:pStyle w:val="ListBullet"/>
            </w:pPr>
            <w:r w:rsidRPr="00F52F2C">
              <w:t>understanding and applyin</w:t>
            </w:r>
            <w:r w:rsidRPr="00F52F2C">
              <w:t>g:</w:t>
            </w:r>
          </w:p>
          <w:p w:rsidR="00000000" w:rsidRPr="00F52F2C" w:rsidP="00F52F2C">
            <w:pPr>
              <w:pStyle w:val="ListBullet2"/>
            </w:pPr>
            <w:r w:rsidRPr="00F52F2C">
              <w:t>principles of colour</w:t>
            </w:r>
          </w:p>
          <w:p w:rsidR="00000000" w:rsidRPr="00F52F2C" w:rsidP="00F52F2C">
            <w:pPr>
              <w:pStyle w:val="ListBullet2"/>
            </w:pPr>
            <w:r w:rsidRPr="00F52F2C">
              <w:t>colour theory</w:t>
            </w:r>
          </w:p>
          <w:p w:rsidR="00000000" w:rsidRPr="00F52F2C" w:rsidP="00F52F2C">
            <w:pPr>
              <w:pStyle w:val="ListBullet2"/>
            </w:pPr>
            <w:r w:rsidRPr="00F52F2C">
              <w:t>colour matching</w:t>
            </w:r>
          </w:p>
          <w:p w:rsidR="00000000" w:rsidRPr="00F52F2C" w:rsidP="00F52F2C">
            <w:pPr>
              <w:pStyle w:val="ListBullet2"/>
            </w:pPr>
            <w:r w:rsidRPr="00F52F2C">
              <w:t>signage for visual impact</w:t>
            </w:r>
          </w:p>
          <w:p w:rsidR="00000000" w:rsidP="00F52F2C">
            <w:pPr>
              <w:pStyle w:val="ListBullet"/>
              <w:rPr>
                <w:lang w:val="en-NZ"/>
              </w:rPr>
            </w:pPr>
            <w:r w:rsidRPr="00F52F2C">
              <w:t>applying appropriate software in order to design and apply the principles of colour to signage.</w:t>
            </w:r>
          </w:p>
        </w:tc>
      </w:tr>
      <w:tr w:rsidTr="00A85D51">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Context of and specific resources for assessment</w:t>
            </w:r>
          </w:p>
        </w:tc>
        <w:tc>
          <w:tcPr>
            <w:tcW w:w="5042" w:type="dxa"/>
            <w:tcBorders>
              <w:top w:val="nil"/>
              <w:left w:val="nil"/>
              <w:bottom w:val="nil"/>
              <w:right w:val="nil"/>
            </w:tcBorders>
            <w:tcMar>
              <w:top w:w="0" w:type="dxa"/>
              <w:left w:w="62" w:type="dxa"/>
              <w:bottom w:w="0" w:type="dxa"/>
              <w:right w:w="62" w:type="dxa"/>
            </w:tcMar>
          </w:tcPr>
          <w:p w:rsidR="00000000" w:rsidRPr="00F52F2C" w:rsidP="00F52F2C">
            <w:pPr>
              <w:pStyle w:val="BodyText"/>
            </w:pPr>
            <w:r w:rsidRPr="00F52F2C">
              <w:t>This competency is to be assessed using standard and authorised work practices, safety requirements and environmental constraints.</w:t>
            </w:r>
          </w:p>
          <w:p w:rsidR="00000000" w:rsidRPr="00F52F2C" w:rsidP="00F52F2C">
            <w:pPr>
              <w:pStyle w:val="BodyText"/>
            </w:pPr>
            <w:r w:rsidRPr="00F52F2C">
              <w:t>Assessment of essential underpinning knowledge will usually be conducted in an off-site context.</w:t>
            </w:r>
          </w:p>
          <w:p w:rsidR="00000000" w:rsidRPr="00F52F2C" w:rsidP="00F52F2C">
            <w:pPr>
              <w:pStyle w:val="BodyText"/>
            </w:pPr>
            <w:r w:rsidRPr="00F52F2C">
              <w:t>Assessment is to comply with</w:t>
            </w:r>
            <w:r w:rsidRPr="00F52F2C">
              <w:t xml:space="preserve"> relevant regulatory or Australian standards' requirements.</w:t>
            </w:r>
          </w:p>
          <w:p w:rsidR="00000000" w:rsidRPr="00F52F2C" w:rsidP="00F52F2C">
            <w:pPr>
              <w:pStyle w:val="BodyText"/>
            </w:pPr>
            <w:r w:rsidRPr="00F52F2C">
              <w:t>Resource implications for assessment include:</w:t>
            </w:r>
          </w:p>
          <w:p w:rsidR="00000000" w:rsidRPr="00F52F2C" w:rsidP="00F52F2C">
            <w:pPr>
              <w:pStyle w:val="ListBullet"/>
            </w:pPr>
            <w:r w:rsidRPr="00F52F2C">
              <w:t>an induction procedure and requirement</w:t>
            </w:r>
          </w:p>
          <w:p w:rsidR="00000000" w:rsidRPr="00F52F2C" w:rsidP="00F52F2C">
            <w:pPr>
              <w:pStyle w:val="ListBullet"/>
            </w:pPr>
            <w:r w:rsidRPr="00F52F2C">
              <w:t>realistic tasks or simulated tasks covering the mandatory task requirements</w:t>
            </w:r>
          </w:p>
          <w:p w:rsidR="00000000" w:rsidRPr="00F52F2C" w:rsidP="00F52F2C">
            <w:pPr>
              <w:pStyle w:val="ListBullet"/>
            </w:pPr>
            <w:r w:rsidRPr="00F52F2C">
              <w:t>relevant specifications and work i</w:t>
            </w:r>
            <w:r w:rsidRPr="00F52F2C">
              <w:t>nstructions</w:t>
            </w:r>
          </w:p>
          <w:p w:rsidR="00000000" w:rsidRPr="00F52F2C" w:rsidP="00F52F2C">
            <w:pPr>
              <w:pStyle w:val="ListBullet"/>
            </w:pPr>
            <w:r w:rsidRPr="00F52F2C">
              <w:t>tools and equipment appropriate to using colour for signage</w:t>
            </w:r>
          </w:p>
          <w:p w:rsidR="00000000" w:rsidRPr="00F52F2C" w:rsidP="00F52F2C">
            <w:pPr>
              <w:pStyle w:val="ListBullet"/>
            </w:pPr>
            <w:r w:rsidRPr="00F52F2C">
              <w:t>support materials appropriate to activity</w:t>
            </w:r>
          </w:p>
          <w:p w:rsidR="00000000" w:rsidRPr="00F52F2C" w:rsidP="00F52F2C">
            <w:pPr>
              <w:pStyle w:val="ListBullet"/>
            </w:pPr>
            <w:r w:rsidRPr="00F52F2C">
              <w:t>workplace instructions relating to using colour for signage</w:t>
            </w:r>
          </w:p>
          <w:p w:rsidR="00000000" w:rsidRPr="00F52F2C" w:rsidP="00F52F2C">
            <w:pPr>
              <w:pStyle w:val="ListBullet"/>
            </w:pPr>
            <w:r w:rsidRPr="00F52F2C">
              <w:t>material safety data sheets</w:t>
            </w:r>
          </w:p>
          <w:p w:rsidR="00000000" w:rsidRPr="00F52F2C" w:rsidP="00F52F2C">
            <w:pPr>
              <w:pStyle w:val="ListBullet"/>
            </w:pPr>
            <w:r w:rsidRPr="00F52F2C">
              <w:t>research resources, including industry-related systems</w:t>
            </w:r>
            <w:r w:rsidRPr="00F52F2C">
              <w:t xml:space="preserve"> information.</w:t>
            </w:r>
          </w:p>
          <w:p w:rsidR="00000000" w:rsidP="00F52F2C">
            <w:pPr>
              <w:pStyle w:val="BodyText"/>
              <w:rPr>
                <w:lang w:val="en-NZ"/>
              </w:rPr>
            </w:pPr>
            <w:r w:rsidRPr="00F52F2C">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A85D51">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Meth</w:t>
            </w:r>
            <w:r w:rsidRPr="00F52F2C">
              <w:rPr>
                <w:rStyle w:val="SpecialBold"/>
              </w:rPr>
              <w:t>od of assessment</w:t>
            </w:r>
          </w:p>
        </w:tc>
        <w:tc>
          <w:tcPr>
            <w:tcW w:w="5042" w:type="dxa"/>
            <w:tcBorders>
              <w:top w:val="nil"/>
              <w:left w:val="nil"/>
              <w:bottom w:val="nil"/>
              <w:right w:val="nil"/>
            </w:tcBorders>
            <w:tcMar>
              <w:top w:w="0" w:type="dxa"/>
              <w:left w:w="62" w:type="dxa"/>
              <w:bottom w:w="0" w:type="dxa"/>
              <w:right w:w="62" w:type="dxa"/>
            </w:tcMar>
          </w:tcPr>
          <w:p w:rsidR="00000000" w:rsidRPr="00F52F2C" w:rsidP="00F52F2C">
            <w:pPr>
              <w:pStyle w:val="BodyText"/>
            </w:pPr>
            <w:r w:rsidRPr="00F52F2C">
              <w:t>Assessment methods must:</w:t>
            </w:r>
          </w:p>
          <w:p w:rsidR="00000000" w:rsidRPr="00F52F2C" w:rsidP="00F52F2C">
            <w:pPr>
              <w:pStyle w:val="ListBullet"/>
            </w:pPr>
            <w:r w:rsidRPr="00F52F2C">
              <w:t>satisfy the endorsed Assessment Guidelines of the Construction, Plumbing and Services Training Package</w:t>
            </w:r>
          </w:p>
          <w:p w:rsidR="00000000" w:rsidRPr="00F52F2C" w:rsidP="00F52F2C">
            <w:pPr>
              <w:pStyle w:val="ListBullet"/>
            </w:pPr>
            <w:r w:rsidRPr="00F52F2C">
              <w:t>include direct o</w:t>
            </w:r>
            <w:r w:rsidRPr="00F52F2C">
              <w:t>bservation of tasks in real or simulated work conditions, with questioning to confirm the ability to consistently identify and correctly interpret the essential underpinning knowledge required for practical application</w:t>
            </w:r>
          </w:p>
          <w:p w:rsidR="00000000" w:rsidRPr="00F52F2C" w:rsidP="00F52F2C">
            <w:pPr>
              <w:pStyle w:val="ListBullet"/>
            </w:pPr>
            <w:r w:rsidRPr="00F52F2C">
              <w:t>reinforce the integration of employab</w:t>
            </w:r>
            <w:r w:rsidRPr="00F52F2C">
              <w:t>ility skills with workplace tasks and job roles</w:t>
            </w:r>
          </w:p>
          <w:p w:rsidR="00000000" w:rsidRPr="00F52F2C" w:rsidP="00F52F2C">
            <w:pPr>
              <w:pStyle w:val="ListBullet"/>
            </w:pPr>
            <w:r w:rsidRPr="00F52F2C">
              <w:t>confirm that competency is verified and able to be transferred to other circumstances and environments.</w:t>
            </w:r>
          </w:p>
          <w:p w:rsidR="00000000" w:rsidRPr="00F52F2C" w:rsidP="00F52F2C">
            <w:pPr>
              <w:pStyle w:val="BodyText"/>
            </w:pPr>
            <w:r w:rsidRPr="00F52F2C">
              <w:t>Validity and sufficiency of evidence requires that:</w:t>
            </w:r>
          </w:p>
          <w:p w:rsidR="00000000" w:rsidRPr="00F52F2C" w:rsidP="00F52F2C">
            <w:pPr>
              <w:pStyle w:val="ListBullet"/>
            </w:pPr>
            <w:r w:rsidRPr="00F52F2C">
              <w:t>competency will need to be demonstrated over a peri</w:t>
            </w:r>
            <w:r w:rsidRPr="00F52F2C">
              <w:t>od of time reflecting the scope of the role and the practical requirements of the workplace</w:t>
            </w:r>
          </w:p>
          <w:p w:rsidR="00000000" w:rsidRPr="00F52F2C" w:rsidP="00F52F2C">
            <w:pPr>
              <w:pStyle w:val="ListBullet"/>
            </w:pPr>
            <w:r w:rsidRPr="00F52F2C">
              <w:t>where the assessment is part of a structured learning experience the evidence collected must relate to a number of performances assessed at different points in time</w:t>
            </w:r>
            <w:r w:rsidRPr="00F52F2C">
              <w:t xml:space="preserve"> and separated by further learning and practice, with a decision on competency only taken at the point when the assessor has complete confidence in the person's demonstrated ability and applied knowledge</w:t>
            </w:r>
          </w:p>
          <w:p w:rsidR="00000000" w:rsidRPr="00F52F2C" w:rsidP="00F52F2C">
            <w:pPr>
              <w:pStyle w:val="ListBullet"/>
            </w:pPr>
            <w:r w:rsidRPr="00F52F2C">
              <w:t>all assessment that is part of a structured learning</w:t>
            </w:r>
            <w:r w:rsidRPr="00F52F2C">
              <w:t xml:space="preserve"> experience must include a combination of direct, indirect and supplementary evidence.</w:t>
            </w:r>
          </w:p>
          <w:p w:rsidR="00000000" w:rsidRPr="00F52F2C" w:rsidP="00F52F2C">
            <w:pPr>
              <w:pStyle w:val="BodyText"/>
            </w:pPr>
            <w:r w:rsidRPr="00F52F2C">
              <w:t>Assessment processes and techniques should as far as is practical take into account the language, literacy and numeracy capacity of the candidate in relation to the comp</w:t>
            </w:r>
            <w:r w:rsidRPr="00F52F2C">
              <w:t>etency being assessed.</w:t>
            </w:r>
          </w:p>
          <w:p w:rsidR="00000000" w:rsidRPr="00F52F2C" w:rsidP="00F52F2C">
            <w:pPr>
              <w:pStyle w:val="BodyText"/>
            </w:pPr>
            <w:r w:rsidRPr="00F52F2C">
              <w:t xml:space="preserve">Supplementary evidence of competency may be obtained from relevant authenticated documentation from third parties, such as existing supervisors, team leaders or specialist training staff. </w:t>
            </w:r>
          </w:p>
        </w:tc>
      </w:tr>
    </w:tbl>
    <w:p w:rsidR="00A85D51" w:rsidP="00F52F2C">
      <w:pPr>
        <w:pStyle w:val="BodyText"/>
      </w:pPr>
    </w:p>
    <w:p w:rsidR="00A85D51" w:rsidP="00F52F2C">
      <w:pPr>
        <w:pStyle w:val="BodyText"/>
      </w:pPr>
    </w:p>
    <w:p w:rsidR="00000000" w:rsidRPr="00F52F2C" w:rsidP="00F52F2C">
      <w:pPr>
        <w:pStyle w:val="Heading1"/>
      </w:pPr>
      <w:bookmarkStart w:id="11" w:name="O_250361"/>
      <w:bookmarkEnd w:id="11"/>
      <w:r w:rsidRPr="00F52F2C">
        <w:t>Range Statement</w:t>
      </w:r>
    </w:p>
    <w:tbl>
      <w:tblPr>
        <w:tblW w:w="0" w:type="auto"/>
        <w:tblLayout w:type="fixed"/>
        <w:tblCellMar>
          <w:left w:w="62" w:type="dxa"/>
          <w:right w:w="62" w:type="dxa"/>
        </w:tblCellMar>
        <w:tblLook w:val="0000"/>
      </w:tblPr>
      <w:tblGrid>
        <w:gridCol w:w="3474"/>
        <w:gridCol w:w="5048"/>
      </w:tblGrid>
      <w:tr w:rsidTr="00A85D5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52F2C">
            <w:pPr>
              <w:pStyle w:val="BodyText"/>
              <w:rPr>
                <w:lang w:val="en-NZ"/>
              </w:rPr>
            </w:pPr>
            <w:r w:rsidRPr="00F52F2C">
              <w:rPr>
                <w:rStyle w:val="SpecialBold"/>
              </w:rPr>
              <w:t>RANGE STATEMENT</w:t>
            </w:r>
          </w:p>
        </w:tc>
      </w:tr>
      <w:tr w:rsidTr="00A85D5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52F2C">
            <w:pPr>
              <w:pStyle w:val="BodyText"/>
              <w:rPr>
                <w:lang w:val="en-NZ"/>
              </w:rPr>
            </w:pPr>
            <w:r w:rsidRPr="00F52F2C">
              <w:t>The range statement relates to the unit of competency as a whole. It allows for different work environments and situations that may affect performance. Bold italicised wording, if used in the performance criteria, is detailed below. Essen</w:t>
            </w:r>
            <w:r w:rsidRPr="00F52F2C">
              <w:t>tial operating conditions that may be present with training and assessment (depending on the work situation, needs of the candidate, accessibility of the item, and local industry and regional contexts) may also be included.</w:t>
            </w:r>
          </w:p>
        </w:tc>
      </w:tr>
      <w:tr w:rsidTr="00A85D51">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F52F2C">
            <w:pPr>
              <w:pStyle w:val="List2"/>
              <w:rPr>
                <w:lang w:val="en-NZ"/>
              </w:rPr>
            </w:pPr>
            <w:r w:rsidRPr="00F52F2C">
              <w:t>1.1.</w:t>
            </w:r>
            <w:r w:rsidRPr="00F52F2C">
              <w:tab/>
            </w:r>
            <w:r w:rsidRPr="00F52F2C">
              <w:rPr>
                <w:rStyle w:val="BoldandItalics"/>
              </w:rPr>
              <w:t>Colour matching systems</w:t>
            </w:r>
            <w:r w:rsidRPr="00F52F2C">
              <w:t xml:space="preserve"> i</w:t>
            </w:r>
            <w:r w:rsidRPr="00F52F2C">
              <w:t xml:space="preserve">nclude: </w:t>
            </w:r>
          </w:p>
        </w:tc>
        <w:tc>
          <w:tcPr>
            <w:tcW w:w="5048" w:type="dxa"/>
            <w:tcBorders>
              <w:top w:val="nil"/>
              <w:left w:val="nil"/>
              <w:bottom w:val="nil"/>
              <w:right w:val="nil"/>
            </w:tcBorders>
            <w:tcMar>
              <w:top w:w="0" w:type="dxa"/>
              <w:left w:w="62" w:type="dxa"/>
              <w:bottom w:w="0" w:type="dxa"/>
              <w:right w:w="62" w:type="dxa"/>
            </w:tcMar>
          </w:tcPr>
          <w:p w:rsidR="00000000" w:rsidRPr="00F52F2C" w:rsidP="00F52F2C">
            <w:pPr>
              <w:pStyle w:val="ListBullet"/>
            </w:pPr>
            <w:r w:rsidRPr="00F52F2C">
              <w:t>black and white</w:t>
            </w:r>
          </w:p>
          <w:p w:rsidR="00000000" w:rsidRPr="00F52F2C" w:rsidP="00F52F2C">
            <w:pPr>
              <w:pStyle w:val="ListBullet"/>
            </w:pPr>
            <w:r w:rsidRPr="00F52F2C">
              <w:t>cyan, magenta, yellow and black (CMYK)</w:t>
            </w:r>
          </w:p>
          <w:p w:rsidR="00000000" w:rsidRPr="00F52F2C" w:rsidP="00F52F2C">
            <w:pPr>
              <w:pStyle w:val="ListBullet"/>
            </w:pPr>
            <w:r w:rsidRPr="00F52F2C">
              <w:t>grey scale</w:t>
            </w:r>
          </w:p>
          <w:p w:rsidR="00000000" w:rsidRPr="00F52F2C" w:rsidP="00F52F2C">
            <w:pPr>
              <w:pStyle w:val="ListBullet"/>
            </w:pPr>
            <w:r w:rsidRPr="00F52F2C">
              <w:t>pantone matching system (PMS)</w:t>
            </w:r>
          </w:p>
          <w:p w:rsidR="00000000" w:rsidP="00F52F2C">
            <w:pPr>
              <w:pStyle w:val="ListBullet"/>
              <w:rPr>
                <w:lang w:val="en-NZ"/>
              </w:rPr>
            </w:pPr>
            <w:r w:rsidRPr="00F52F2C">
              <w:t>red, green and blue (RGB).</w:t>
            </w:r>
          </w:p>
        </w:tc>
      </w:tr>
      <w:tr w:rsidTr="00A85D51">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F52F2C">
            <w:pPr>
              <w:pStyle w:val="List2"/>
              <w:rPr>
                <w:lang w:val="en-NZ"/>
              </w:rPr>
            </w:pPr>
            <w:r w:rsidRPr="00F52F2C">
              <w:t>1.2.</w:t>
            </w:r>
            <w:r w:rsidRPr="00F52F2C">
              <w:tab/>
            </w:r>
            <w:r w:rsidRPr="00F52F2C">
              <w:rPr>
                <w:rStyle w:val="BoldandItalics"/>
              </w:rPr>
              <w:t>Colour harmony</w:t>
            </w:r>
            <w:r w:rsidRPr="00F52F2C">
              <w:t xml:space="preserve"> includes: </w:t>
            </w:r>
          </w:p>
        </w:tc>
        <w:tc>
          <w:tcPr>
            <w:tcW w:w="5048" w:type="dxa"/>
            <w:tcBorders>
              <w:top w:val="nil"/>
              <w:left w:val="nil"/>
              <w:bottom w:val="nil"/>
              <w:right w:val="nil"/>
            </w:tcBorders>
            <w:tcMar>
              <w:top w:w="0" w:type="dxa"/>
              <w:left w:w="62" w:type="dxa"/>
              <w:bottom w:w="0" w:type="dxa"/>
              <w:right w:w="62" w:type="dxa"/>
            </w:tcMar>
          </w:tcPr>
          <w:p w:rsidR="00000000" w:rsidRPr="00F52F2C" w:rsidP="00F52F2C">
            <w:pPr>
              <w:pStyle w:val="ListBullet"/>
            </w:pPr>
            <w:r w:rsidRPr="00F52F2C">
              <w:t>analogous</w:t>
            </w:r>
          </w:p>
          <w:p w:rsidR="00000000" w:rsidRPr="00F52F2C" w:rsidP="00F52F2C">
            <w:pPr>
              <w:pStyle w:val="ListBullet"/>
            </w:pPr>
            <w:r w:rsidRPr="00F52F2C">
              <w:t xml:space="preserve">complementary </w:t>
            </w:r>
          </w:p>
          <w:p w:rsidR="00000000" w:rsidRPr="00F52F2C" w:rsidP="00F52F2C">
            <w:pPr>
              <w:pStyle w:val="ListBullet"/>
            </w:pPr>
            <w:r w:rsidRPr="00F52F2C">
              <w:t>monochromatic</w:t>
            </w:r>
          </w:p>
          <w:p w:rsidR="00000000" w:rsidP="00F52F2C">
            <w:pPr>
              <w:pStyle w:val="ListBullet"/>
              <w:rPr>
                <w:lang w:val="en-NZ"/>
              </w:rPr>
            </w:pPr>
            <w:r w:rsidRPr="00F52F2C">
              <w:t>sp lit complementary.</w:t>
            </w:r>
          </w:p>
        </w:tc>
      </w:tr>
      <w:tr w:rsidTr="00A85D51">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F52F2C">
            <w:pPr>
              <w:pStyle w:val="List2"/>
              <w:rPr>
                <w:lang w:val="en-NZ"/>
              </w:rPr>
            </w:pPr>
            <w:r w:rsidRPr="00F52F2C">
              <w:t>1.3.</w:t>
            </w:r>
            <w:r w:rsidRPr="00F52F2C">
              <w:tab/>
            </w:r>
            <w:r w:rsidRPr="00F52F2C">
              <w:rPr>
                <w:rStyle w:val="BoldandItalics"/>
              </w:rPr>
              <w:t>Colour schemes</w:t>
            </w:r>
            <w:r w:rsidRPr="00F52F2C">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F52F2C" w:rsidP="00F52F2C">
            <w:pPr>
              <w:pStyle w:val="ListBullet"/>
            </w:pPr>
            <w:r w:rsidRPr="00F52F2C">
              <w:t>analogous</w:t>
            </w:r>
          </w:p>
          <w:p w:rsidR="00000000" w:rsidRPr="00F52F2C" w:rsidP="00F52F2C">
            <w:pPr>
              <w:pStyle w:val="ListBullet"/>
            </w:pPr>
            <w:r w:rsidRPr="00F52F2C">
              <w:t>complementary</w:t>
            </w:r>
          </w:p>
          <w:p w:rsidR="00000000" w:rsidRPr="00F52F2C" w:rsidP="00F52F2C">
            <w:pPr>
              <w:pStyle w:val="ListBullet"/>
            </w:pPr>
            <w:r w:rsidRPr="00F52F2C">
              <w:t>monochromatic</w:t>
            </w:r>
          </w:p>
          <w:p w:rsidR="00000000" w:rsidRPr="00F52F2C" w:rsidP="00F52F2C">
            <w:pPr>
              <w:pStyle w:val="ListBullet"/>
            </w:pPr>
            <w:r w:rsidRPr="00F52F2C">
              <w:t>split complementary.</w:t>
            </w:r>
          </w:p>
        </w:tc>
      </w:tr>
    </w:tbl>
    <w:p w:rsidR="00A85D51" w:rsidP="00F52F2C">
      <w:pPr>
        <w:pStyle w:val="BodyText"/>
      </w:pPr>
    </w:p>
    <w:p w:rsidR="00A85D51" w:rsidP="00F52F2C">
      <w:pPr>
        <w:pStyle w:val="BodyText"/>
      </w:pPr>
    </w:p>
    <w:p w:rsidR="00000000" w:rsidRPr="00F52F2C" w:rsidP="00F52F2C">
      <w:pPr>
        <w:pStyle w:val="Heading1"/>
      </w:pPr>
      <w:bookmarkStart w:id="12" w:name="O_198548"/>
      <w:bookmarkEnd w:id="12"/>
      <w:r w:rsidRPr="00F52F2C">
        <w:t>Unit Sector(s)</w:t>
      </w:r>
    </w:p>
    <w:tbl>
      <w:tblPr>
        <w:tblW w:w="0" w:type="auto"/>
        <w:tblLayout w:type="fixed"/>
        <w:tblCellMar>
          <w:left w:w="62" w:type="dxa"/>
          <w:right w:w="62" w:type="dxa"/>
        </w:tblCellMar>
        <w:tblLook w:val="0000"/>
      </w:tblPr>
      <w:tblGrid>
        <w:gridCol w:w="2511"/>
        <w:gridCol w:w="6011"/>
      </w:tblGrid>
      <w:tr w:rsidTr="00A85D51">
        <w:tblPrEx>
          <w:tblW w:w="0" w:type="auto"/>
          <w:tblLayout w:type="fixed"/>
          <w:tblCellMar>
            <w:left w:w="62" w:type="dxa"/>
            <w:right w:w="62" w:type="dxa"/>
          </w:tblCellMar>
          <w:tblLook w:val="0000"/>
        </w:tblPrEx>
        <w:trPr>
          <w:tblHeader/>
        </w:trPr>
        <w:tc>
          <w:tcPr>
            <w:tcW w:w="2511"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Unit sector</w:t>
            </w:r>
          </w:p>
        </w:tc>
        <w:tc>
          <w:tcPr>
            <w:tcW w:w="6011" w:type="dxa"/>
            <w:tcBorders>
              <w:top w:val="nil"/>
              <w:left w:val="nil"/>
              <w:bottom w:val="nil"/>
              <w:right w:val="nil"/>
            </w:tcBorders>
            <w:tcMar>
              <w:top w:w="0" w:type="dxa"/>
              <w:left w:w="62" w:type="dxa"/>
              <w:bottom w:w="0" w:type="dxa"/>
              <w:right w:w="62" w:type="dxa"/>
            </w:tcMar>
          </w:tcPr>
          <w:p w:rsidR="00000000" w:rsidRPr="00F52F2C" w:rsidP="00F52F2C">
            <w:pPr>
              <w:pStyle w:val="BodyText"/>
            </w:pPr>
            <w:r w:rsidRPr="00F52F2C">
              <w:t>Construction</w:t>
            </w:r>
          </w:p>
        </w:tc>
      </w:tr>
    </w:tbl>
    <w:p w:rsidR="00A85D51" w:rsidP="00F52F2C">
      <w:pPr>
        <w:pStyle w:val="BodyText"/>
      </w:pPr>
    </w:p>
    <w:p w:rsidR="00A85D51" w:rsidP="00F52F2C">
      <w:pPr>
        <w:pStyle w:val="BodyText"/>
      </w:pPr>
    </w:p>
    <w:p w:rsidR="00000000" w:rsidRPr="00F52F2C" w:rsidP="00F52F2C">
      <w:pPr>
        <w:pStyle w:val="Heading1"/>
      </w:pPr>
      <w:bookmarkStart w:id="13" w:name="O_198545"/>
      <w:bookmarkEnd w:id="13"/>
      <w:r w:rsidRPr="00F52F2C">
        <w:t>Co-requisite units</w:t>
      </w:r>
    </w:p>
    <w:tbl>
      <w:tblPr>
        <w:tblW w:w="0" w:type="auto"/>
        <w:tblLayout w:type="fixed"/>
        <w:tblCellMar>
          <w:left w:w="62" w:type="dxa"/>
          <w:right w:w="62" w:type="dxa"/>
        </w:tblCellMar>
        <w:tblLook w:val="0000"/>
      </w:tblPr>
      <w:tblGrid>
        <w:gridCol w:w="2519"/>
        <w:gridCol w:w="2123"/>
        <w:gridCol w:w="3880"/>
      </w:tblGrid>
      <w:tr w:rsidTr="00A85D51">
        <w:tblPrEx>
          <w:tblW w:w="0" w:type="auto"/>
          <w:tblLayout w:type="fixed"/>
          <w:tblCellMar>
            <w:left w:w="62" w:type="dxa"/>
            <w:right w:w="62" w:type="dxa"/>
          </w:tblCellMar>
          <w:tblLook w:val="0000"/>
        </w:tblPrEx>
        <w:trPr>
          <w:tblHeader/>
        </w:trPr>
        <w:tc>
          <w:tcPr>
            <w:tcW w:w="2519"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Co-requisite units</w:t>
            </w:r>
          </w:p>
        </w:tc>
        <w:tc>
          <w:tcPr>
            <w:tcW w:w="6003" w:type="dxa"/>
            <w:gridSpan w:val="2"/>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t>Nil</w:t>
            </w:r>
          </w:p>
        </w:tc>
      </w:tr>
      <w:tr w:rsidTr="00A85D51">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80"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p>
        </w:tc>
      </w:tr>
      <w:tr w:rsidTr="00A85D51">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80" w:type="dxa"/>
            <w:tcBorders>
              <w:top w:val="nil"/>
              <w:left w:val="nil"/>
              <w:bottom w:val="nil"/>
              <w:right w:val="nil"/>
            </w:tcBorders>
            <w:tcMar>
              <w:top w:w="0" w:type="dxa"/>
              <w:left w:w="62" w:type="dxa"/>
              <w:bottom w:w="0" w:type="dxa"/>
              <w:right w:w="62" w:type="dxa"/>
            </w:tcMar>
          </w:tcPr>
          <w:p w:rsidR="00000000" w:rsidRPr="00F52F2C" w:rsidP="00F52F2C">
            <w:pPr>
              <w:pStyle w:val="BodyText"/>
            </w:pPr>
          </w:p>
        </w:tc>
      </w:tr>
    </w:tbl>
    <w:p w:rsidR="00A85D51" w:rsidP="00F52F2C">
      <w:pPr>
        <w:pStyle w:val="BodyText"/>
      </w:pPr>
    </w:p>
    <w:p w:rsidR="00A85D51" w:rsidP="00F52F2C">
      <w:pPr>
        <w:pStyle w:val="BodyText"/>
      </w:pPr>
    </w:p>
    <w:p w:rsidR="00000000" w:rsidRPr="00F52F2C" w:rsidP="00F52F2C">
      <w:pPr>
        <w:pStyle w:val="Heading1"/>
      </w:pPr>
      <w:bookmarkStart w:id="14" w:name="O_198547"/>
      <w:bookmarkEnd w:id="14"/>
      <w:r w:rsidRPr="00F52F2C">
        <w:t>Functional area</w:t>
      </w:r>
    </w:p>
    <w:tbl>
      <w:tblPr>
        <w:tblW w:w="0" w:type="auto"/>
        <w:tblLayout w:type="fixed"/>
        <w:tblCellMar>
          <w:left w:w="62" w:type="dxa"/>
          <w:right w:w="62" w:type="dxa"/>
        </w:tblCellMar>
        <w:tblLook w:val="0000"/>
      </w:tblPr>
      <w:tblGrid>
        <w:gridCol w:w="2609"/>
        <w:gridCol w:w="5913"/>
      </w:tblGrid>
      <w:tr w:rsidTr="00A85D51">
        <w:tblPrEx>
          <w:tblW w:w="0" w:type="auto"/>
          <w:tblLayout w:type="fixed"/>
          <w:tblCellMar>
            <w:left w:w="62" w:type="dxa"/>
            <w:right w:w="62" w:type="dxa"/>
          </w:tblCellMar>
          <w:tblLook w:val="0000"/>
        </w:tblPrEx>
        <w:trPr>
          <w:tblHeader/>
        </w:trPr>
        <w:tc>
          <w:tcPr>
            <w:tcW w:w="2609" w:type="dxa"/>
            <w:tcBorders>
              <w:top w:val="nil"/>
              <w:left w:val="nil"/>
              <w:bottom w:val="nil"/>
              <w:right w:val="nil"/>
            </w:tcBorders>
            <w:tcMar>
              <w:top w:w="0" w:type="dxa"/>
              <w:left w:w="62" w:type="dxa"/>
              <w:bottom w:w="0" w:type="dxa"/>
              <w:right w:w="62" w:type="dxa"/>
            </w:tcMar>
          </w:tcPr>
          <w:p w:rsidR="00000000" w:rsidP="00F52F2C">
            <w:pPr>
              <w:pStyle w:val="BodyText"/>
              <w:rPr>
                <w:lang w:val="en-NZ"/>
              </w:rPr>
            </w:pPr>
            <w:r w:rsidRPr="00F52F2C">
              <w:rPr>
                <w:rStyle w:val="SpecialBold"/>
              </w:rPr>
              <w:t>Functional area</w:t>
            </w:r>
          </w:p>
        </w:tc>
        <w:tc>
          <w:tcPr>
            <w:tcW w:w="5913" w:type="dxa"/>
            <w:tcBorders>
              <w:top w:val="nil"/>
              <w:left w:val="nil"/>
              <w:bottom w:val="nil"/>
              <w:right w:val="nil"/>
            </w:tcBorders>
            <w:tcMar>
              <w:top w:w="0" w:type="dxa"/>
              <w:left w:w="62" w:type="dxa"/>
              <w:bottom w:w="0" w:type="dxa"/>
              <w:right w:w="62" w:type="dxa"/>
            </w:tcMar>
          </w:tcPr>
          <w:p w:rsidR="00000000" w:rsidRPr="00F52F2C" w:rsidP="00F52F2C">
            <w:pPr>
              <w:pStyle w:val="BodyText"/>
            </w:pPr>
          </w:p>
        </w:tc>
      </w:tr>
    </w:tbl>
    <w:p w:rsidR="00A85D51" w:rsidP="00F52F2C">
      <w:pPr>
        <w:pStyle w:val="BodyText"/>
      </w:pPr>
    </w:p>
    <w:p w:rsidR="00A85D51" w:rsidP="00F52F2C">
      <w:pPr>
        <w:pStyle w:val="BodyText"/>
      </w:pPr>
    </w:p>
    <w:p w:rsidR="00000000" w:rsidRPr="00F52F2C" w:rsidP="00F52F2C"/>
    <w:sectPr w:rsidSect="00F52F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D51" w:rsidP="00A85D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D51" w:rsidP="00F52F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85D51" w:rsidP="00F52F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85D51" w:rsidP="00F52F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D51" w:rsidP="00A85D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D51" w:rsidP="00F52F2C">
    <w:pPr>
      <w:pStyle w:val="Header"/>
      <w:framePr w:wrap="around"/>
    </w:pPr>
    <w:r>
      <w:fldChar w:fldCharType="begin"/>
    </w:r>
    <w:r>
      <w:instrText xml:space="preserve"> TITLE   \* MERGEFORMAT </w:instrText>
    </w:r>
    <w:r>
      <w:fldChar w:fldCharType="separate"/>
    </w:r>
    <w:r>
      <w:t>CPCCSI2001A Use colour for signage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5D51" w:rsidP="00F52F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FC6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20C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848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F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2F2C"/>
    <w:pPr>
      <w:spacing w:before="360" w:after="60"/>
      <w:outlineLvl w:val="0"/>
    </w:pPr>
    <w:rPr>
      <w:sz w:val="32"/>
    </w:rPr>
  </w:style>
  <w:style w:type="paragraph" w:styleId="Heading2">
    <w:name w:val="heading 2"/>
    <w:basedOn w:val="HeadingBase"/>
    <w:next w:val="BodyText"/>
    <w:link w:val="Heading2Char"/>
    <w:qFormat/>
    <w:rsid w:val="00F52F2C"/>
    <w:pPr>
      <w:keepLines/>
      <w:spacing w:before="240" w:after="120"/>
      <w:outlineLvl w:val="1"/>
    </w:pPr>
    <w:rPr>
      <w:sz w:val="28"/>
      <w:szCs w:val="40"/>
    </w:rPr>
  </w:style>
  <w:style w:type="paragraph" w:styleId="Heading3">
    <w:name w:val="heading 3"/>
    <w:basedOn w:val="HeadingBase"/>
    <w:next w:val="BodyText"/>
    <w:link w:val="Heading3Char"/>
    <w:qFormat/>
    <w:rsid w:val="00F52F2C"/>
    <w:pPr>
      <w:spacing w:before="180" w:after="120"/>
      <w:outlineLvl w:val="2"/>
    </w:pPr>
    <w:rPr>
      <w:spacing w:val="-10"/>
      <w:kern w:val="32"/>
    </w:rPr>
  </w:style>
  <w:style w:type="paragraph" w:styleId="Heading4">
    <w:name w:val="heading 4"/>
    <w:basedOn w:val="HeadingBase"/>
    <w:next w:val="BodyText"/>
    <w:link w:val="Heading4Char"/>
    <w:qFormat/>
    <w:rsid w:val="00F52F2C"/>
    <w:pPr>
      <w:spacing w:before="160" w:after="120"/>
      <w:outlineLvl w:val="3"/>
    </w:pPr>
    <w:rPr>
      <w:sz w:val="22"/>
    </w:rPr>
  </w:style>
  <w:style w:type="paragraph" w:styleId="Heading5">
    <w:name w:val="heading 5"/>
    <w:basedOn w:val="HeadingBase"/>
    <w:next w:val="Normal"/>
    <w:link w:val="Heading5Char"/>
    <w:qFormat/>
    <w:rsid w:val="00F52F2C"/>
    <w:pPr>
      <w:spacing w:before="80"/>
      <w:outlineLvl w:val="4"/>
    </w:pPr>
    <w:rPr>
      <w:color w:val="918585"/>
      <w:sz w:val="20"/>
    </w:rPr>
  </w:style>
  <w:style w:type="paragraph" w:styleId="Heading6">
    <w:name w:val="heading 6"/>
    <w:basedOn w:val="HeadingBase"/>
    <w:next w:val="Normal"/>
    <w:link w:val="Heading6Char"/>
    <w:qFormat/>
    <w:rsid w:val="00F52F2C"/>
    <w:pPr>
      <w:spacing w:before="60"/>
      <w:outlineLvl w:val="5"/>
    </w:pPr>
    <w:rPr>
      <w:color w:val="918585"/>
      <w:sz w:val="20"/>
    </w:rPr>
  </w:style>
  <w:style w:type="paragraph" w:styleId="Heading7">
    <w:name w:val="heading 7"/>
    <w:basedOn w:val="Normal"/>
    <w:next w:val="Normal"/>
    <w:link w:val="Heading7Char"/>
    <w:qFormat/>
    <w:rsid w:val="00F52F2C"/>
    <w:pPr>
      <w:ind w:left="720"/>
      <w:outlineLvl w:val="6"/>
    </w:pPr>
    <w:rPr>
      <w:i/>
    </w:rPr>
  </w:style>
  <w:style w:type="paragraph" w:styleId="Heading8">
    <w:name w:val="heading 8"/>
    <w:basedOn w:val="Normal"/>
    <w:next w:val="Normal"/>
    <w:link w:val="Heading8Char"/>
    <w:qFormat/>
    <w:rsid w:val="00F52F2C"/>
    <w:pPr>
      <w:ind w:left="720"/>
      <w:outlineLvl w:val="7"/>
    </w:pPr>
    <w:rPr>
      <w:i/>
    </w:rPr>
  </w:style>
  <w:style w:type="paragraph" w:styleId="Heading9">
    <w:name w:val="heading 9"/>
    <w:basedOn w:val="Normal"/>
    <w:next w:val="Normal"/>
    <w:link w:val="Heading9Char"/>
    <w:qFormat/>
    <w:rsid w:val="00F52F2C"/>
    <w:pPr>
      <w:ind w:left="720"/>
      <w:outlineLvl w:val="8"/>
    </w:pPr>
    <w:rPr>
      <w:i/>
    </w:rPr>
  </w:style>
  <w:style w:type="character" w:default="1" w:styleId="DefaultParagraphFont">
    <w:name w:val="Default Paragraph Font"/>
    <w:uiPriority w:val="1"/>
    <w:unhideWhenUsed/>
    <w:rsid w:val="00F52F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F2C"/>
  </w:style>
  <w:style w:type="character" w:customStyle="1" w:styleId="Heading1Char">
    <w:name w:val="Heading 1 Char"/>
    <w:basedOn w:val="DefaultParagraphFont"/>
    <w:link w:val="Heading1"/>
    <w:rsid w:val="00F52F2C"/>
    <w:rPr>
      <w:rFonts w:ascii="Times New Roman" w:eastAsia="Times New Roman" w:hAnsi="Times New Roman" w:cs="Times New Roman"/>
      <w:b/>
      <w:sz w:val="32"/>
      <w:szCs w:val="20"/>
      <w:lang w:eastAsia="en-US"/>
    </w:rPr>
  </w:style>
  <w:style w:type="paragraph" w:styleId="BodyText">
    <w:name w:val="Body Text"/>
    <w:basedOn w:val="Normal"/>
    <w:link w:val="BodyTextChar"/>
    <w:rsid w:val="00F52F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2F2C"/>
    <w:rPr>
      <w:rFonts w:ascii="Times New Roman" w:eastAsia="Times New Roman" w:hAnsi="Times New Roman" w:cs="Times New Roman"/>
      <w:sz w:val="24"/>
      <w:lang w:val="en-US" w:eastAsia="en-US"/>
    </w:rPr>
  </w:style>
  <w:style w:type="paragraph" w:styleId="Footer">
    <w:name w:val="footer"/>
    <w:basedOn w:val="Normal"/>
    <w:link w:val="FooterChar"/>
    <w:rsid w:val="00F52F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F2C"/>
    <w:rPr>
      <w:rFonts w:ascii="Times New Roman" w:eastAsia="Times New Roman" w:hAnsi="Times New Roman" w:cs="Times New Roman"/>
      <w:sz w:val="16"/>
      <w:lang w:val="en-US" w:eastAsia="en-US"/>
    </w:rPr>
  </w:style>
  <w:style w:type="paragraph" w:styleId="List">
    <w:name w:val="List"/>
    <w:basedOn w:val="BodyText"/>
    <w:next w:val="BodyText"/>
    <w:rsid w:val="00F52F2C"/>
    <w:pPr>
      <w:tabs>
        <w:tab w:val="left" w:pos="340"/>
      </w:tabs>
      <w:spacing w:before="60" w:after="60"/>
      <w:ind w:left="340" w:hanging="340"/>
    </w:pPr>
  </w:style>
  <w:style w:type="paragraph" w:styleId="ListBullet">
    <w:name w:val="List Bullet"/>
    <w:basedOn w:val="List"/>
    <w:rsid w:val="00F52F2C"/>
    <w:pPr>
      <w:numPr>
        <w:numId w:val="14"/>
      </w:numPr>
      <w:tabs>
        <w:tab w:val="clear" w:pos="340"/>
      </w:tabs>
      <w:spacing w:before="40" w:after="40"/>
    </w:pPr>
  </w:style>
  <w:style w:type="character" w:customStyle="1" w:styleId="SpecialBold">
    <w:name w:val="Special Bold"/>
    <w:basedOn w:val="DefaultParagraphFont"/>
    <w:rsid w:val="00F52F2C"/>
    <w:rPr>
      <w:b/>
      <w:spacing w:val="0"/>
    </w:rPr>
  </w:style>
  <w:style w:type="paragraph" w:styleId="ListBullet2">
    <w:name w:val="List Bullet 2"/>
    <w:basedOn w:val="List2"/>
    <w:rsid w:val="00F52F2C"/>
    <w:pPr>
      <w:numPr>
        <w:numId w:val="15"/>
      </w:numPr>
      <w:tabs>
        <w:tab w:val="clear" w:pos="680"/>
      </w:tabs>
    </w:pPr>
  </w:style>
  <w:style w:type="paragraph" w:styleId="Header">
    <w:name w:val="header"/>
    <w:basedOn w:val="Normal"/>
    <w:link w:val="HeaderChar"/>
    <w:rsid w:val="00F52F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F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2F2C"/>
    <w:pPr>
      <w:spacing w:before="240" w:after="120"/>
      <w:outlineLvl w:val="0"/>
    </w:pPr>
    <w:rPr>
      <w:rFonts w:ascii="Times New Roman" w:hAnsi="Times New Roman"/>
      <w:b/>
      <w:sz w:val="28"/>
    </w:rPr>
  </w:style>
  <w:style w:type="paragraph" w:customStyle="1" w:styleId="AllowPageBreak">
    <w:name w:val="AllowPageBreak"/>
    <w:rsid w:val="00F52F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2F2C"/>
    <w:pPr>
      <w:tabs>
        <w:tab w:val="left" w:pos="680"/>
      </w:tabs>
      <w:spacing w:before="60" w:after="60"/>
      <w:ind w:left="680" w:hanging="340"/>
    </w:pPr>
  </w:style>
  <w:style w:type="paragraph" w:styleId="ListBullet3">
    <w:name w:val="List Bullet 3"/>
    <w:basedOn w:val="List3"/>
    <w:rsid w:val="00F52F2C"/>
    <w:pPr>
      <w:numPr>
        <w:numId w:val="3"/>
      </w:numPr>
      <w:tabs>
        <w:tab w:val="clear" w:pos="1021"/>
      </w:tabs>
      <w:ind w:left="1037" w:hanging="357"/>
    </w:pPr>
  </w:style>
  <w:style w:type="character" w:customStyle="1" w:styleId="BoldandItalics">
    <w:name w:val="Bold and Italics"/>
    <w:qFormat/>
    <w:rsid w:val="00F52F2C"/>
    <w:rPr>
      <w:b/>
      <w:i/>
      <w:u w:val="none"/>
    </w:rPr>
  </w:style>
  <w:style w:type="character" w:customStyle="1" w:styleId="Heading2Char">
    <w:name w:val="Heading 2 Char"/>
    <w:basedOn w:val="DefaultParagraphFont"/>
    <w:link w:val="Heading2"/>
    <w:rsid w:val="00F52F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F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F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F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F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F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2F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2F2C"/>
    <w:rPr>
      <w:rFonts w:ascii="Courier New" w:eastAsia="Times New Roman" w:hAnsi="Courier New" w:cs="Times New Roman"/>
      <w:i/>
      <w:szCs w:val="20"/>
      <w:lang w:val="en-US" w:eastAsia="en-US"/>
    </w:rPr>
  </w:style>
  <w:style w:type="paragraph" w:customStyle="1" w:styleId="HeadingBase">
    <w:name w:val="Heading Base"/>
    <w:rsid w:val="00F52F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F2C"/>
    <w:pPr>
      <w:tabs>
        <w:tab w:val="right" w:leader="dot" w:pos="9072"/>
      </w:tabs>
      <w:ind w:left="567"/>
    </w:pPr>
    <w:rPr>
      <w:szCs w:val="22"/>
    </w:rPr>
  </w:style>
  <w:style w:type="paragraph" w:customStyle="1" w:styleId="TOCBase">
    <w:name w:val="TOC Base"/>
    <w:rsid w:val="00F52F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F2C"/>
    <w:pPr>
      <w:tabs>
        <w:tab w:val="right" w:leader="dot" w:pos="9072"/>
      </w:tabs>
      <w:spacing w:before="40" w:after="40"/>
      <w:ind w:left="284"/>
    </w:pPr>
    <w:rPr>
      <w:rFonts w:ascii="Times New Roman" w:hAnsi="Times New Roman"/>
    </w:rPr>
  </w:style>
  <w:style w:type="paragraph" w:styleId="TOC1">
    <w:name w:val="toc 1"/>
    <w:basedOn w:val="TOCBase"/>
    <w:next w:val="Normal"/>
    <w:rsid w:val="00F52F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2F2C"/>
    <w:pPr>
      <w:spacing w:before="5040"/>
      <w:jc w:val="center"/>
    </w:pPr>
    <w:rPr>
      <w:sz w:val="48"/>
      <w:szCs w:val="72"/>
      <w:lang w:val="en-US"/>
    </w:rPr>
  </w:style>
  <w:style w:type="character" w:customStyle="1" w:styleId="TitleChar">
    <w:name w:val="Title Char"/>
    <w:basedOn w:val="DefaultParagraphFont"/>
    <w:link w:val="Title"/>
    <w:rsid w:val="00F52F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F2C"/>
    <w:pPr>
      <w:tabs>
        <w:tab w:val="left" w:pos="3600"/>
        <w:tab w:val="left" w:pos="3958"/>
      </w:tabs>
    </w:pPr>
  </w:style>
  <w:style w:type="paragraph" w:customStyle="1" w:styleId="Note">
    <w:name w:val="Note"/>
    <w:basedOn w:val="BodyText"/>
    <w:rsid w:val="00F52F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F2C"/>
    <w:pPr>
      <w:framePr w:wrap="auto" w:hAnchor="text" w:y="6049"/>
    </w:pPr>
    <w:rPr>
      <w:color w:val="000000"/>
      <w:sz w:val="40"/>
    </w:rPr>
  </w:style>
  <w:style w:type="paragraph" w:customStyle="1" w:styleId="TOCTitle">
    <w:name w:val="TOCTitle"/>
    <w:basedOn w:val="Heading1"/>
    <w:rsid w:val="00F52F2C"/>
    <w:pPr>
      <w:spacing w:after="240"/>
      <w:jc w:val="center"/>
      <w:outlineLvl w:val="9"/>
    </w:pPr>
    <w:rPr>
      <w:caps/>
    </w:rPr>
  </w:style>
  <w:style w:type="paragraph" w:customStyle="1" w:styleId="Version">
    <w:name w:val="Version"/>
    <w:rsid w:val="00F52F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F2C"/>
    <w:pPr>
      <w:keepNext w:val="0"/>
      <w:tabs>
        <w:tab w:val="right" w:pos="4176"/>
      </w:tabs>
      <w:ind w:left="198" w:hanging="198"/>
    </w:pPr>
    <w:rPr>
      <w:rFonts w:ascii="Garamond" w:hAnsi="Garamond"/>
    </w:rPr>
  </w:style>
  <w:style w:type="paragraph" w:styleId="IndexHeading">
    <w:name w:val="index heading"/>
    <w:basedOn w:val="Normal"/>
    <w:next w:val="Index1"/>
    <w:semiHidden/>
    <w:rsid w:val="00F52F2C"/>
    <w:pPr>
      <w:spacing w:before="120" w:after="120"/>
    </w:pPr>
    <w:rPr>
      <w:rFonts w:ascii="Arial" w:hAnsi="Arial"/>
      <w:b/>
      <w:color w:val="918585"/>
      <w:sz w:val="24"/>
    </w:rPr>
  </w:style>
  <w:style w:type="paragraph" w:customStyle="1" w:styleId="Chapter">
    <w:name w:val="Chapter"/>
    <w:basedOn w:val="Normal"/>
    <w:rsid w:val="00F52F2C"/>
    <w:pPr>
      <w:spacing w:before="240"/>
    </w:pPr>
    <w:rPr>
      <w:rFonts w:ascii="Times New Roman" w:hAnsi="Times New Roman"/>
      <w:smallCaps/>
      <w:spacing w:val="80"/>
      <w:sz w:val="28"/>
    </w:rPr>
  </w:style>
  <w:style w:type="paragraph" w:customStyle="1" w:styleId="InChapter">
    <w:name w:val="InChapter"/>
    <w:basedOn w:val="Heading3"/>
    <w:rsid w:val="00F52F2C"/>
    <w:pPr>
      <w:spacing w:after="240"/>
      <w:outlineLvl w:val="9"/>
    </w:pPr>
    <w:rPr>
      <w:noProof/>
    </w:rPr>
  </w:style>
  <w:style w:type="paragraph" w:styleId="Index2">
    <w:name w:val="index 2"/>
    <w:basedOn w:val="Normal"/>
    <w:next w:val="Normal"/>
    <w:semiHidden/>
    <w:rsid w:val="00F52F2C"/>
    <w:pPr>
      <w:tabs>
        <w:tab w:val="right" w:pos="4176"/>
      </w:tabs>
      <w:ind w:left="568" w:hanging="284"/>
    </w:pPr>
    <w:rPr>
      <w:rFonts w:ascii="Garamond" w:hAnsi="Garamond"/>
    </w:rPr>
  </w:style>
  <w:style w:type="paragraph" w:customStyle="1" w:styleId="Byline">
    <w:name w:val="Byline"/>
    <w:rsid w:val="00F52F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F2C"/>
    <w:pPr>
      <w:tabs>
        <w:tab w:val="clear" w:pos="3600"/>
        <w:tab w:val="clear" w:pos="3958"/>
      </w:tabs>
      <w:jc w:val="right"/>
    </w:pPr>
  </w:style>
  <w:style w:type="character" w:styleId="Emphasis">
    <w:name w:val="Emphasis"/>
    <w:basedOn w:val="DefaultParagraphFont"/>
    <w:qFormat/>
    <w:rsid w:val="00F52F2C"/>
    <w:rPr>
      <w:i/>
    </w:rPr>
  </w:style>
  <w:style w:type="paragraph" w:styleId="Caption">
    <w:name w:val="caption"/>
    <w:basedOn w:val="BodyText"/>
    <w:next w:val="Normal"/>
    <w:qFormat/>
    <w:rsid w:val="00F52F2C"/>
    <w:pPr>
      <w:framePr w:w="2268" w:hSpace="181" w:vSpace="181" w:wrap="around" w:vAnchor="text" w:hAnchor="page" w:x="1135" w:y="285" w:anchorLock="1"/>
    </w:pPr>
    <w:rPr>
      <w:i/>
    </w:rPr>
  </w:style>
  <w:style w:type="paragraph" w:customStyle="1" w:styleId="MiniTOCTitle">
    <w:name w:val="MiniTOCTitle"/>
    <w:basedOn w:val="Heading4"/>
    <w:rsid w:val="00F52F2C"/>
    <w:pPr>
      <w:spacing w:before="240"/>
      <w:outlineLvl w:val="9"/>
    </w:pPr>
    <w:rPr>
      <w:noProof/>
      <w:sz w:val="24"/>
    </w:rPr>
  </w:style>
  <w:style w:type="paragraph" w:customStyle="1" w:styleId="MiniTOCItem">
    <w:name w:val="MiniTOCItem"/>
    <w:basedOn w:val="ListBullet"/>
    <w:rsid w:val="00F52F2C"/>
    <w:pPr>
      <w:numPr>
        <w:numId w:val="0"/>
      </w:numPr>
      <w:tabs>
        <w:tab w:val="right" w:leader="dot" w:pos="6521"/>
      </w:tabs>
      <w:spacing w:before="0" w:after="0"/>
    </w:pPr>
  </w:style>
  <w:style w:type="paragraph" w:customStyle="1" w:styleId="TOFTitle">
    <w:name w:val="TOFTitle"/>
    <w:basedOn w:val="TOCTitle"/>
    <w:rsid w:val="00F52F2C"/>
  </w:style>
  <w:style w:type="paragraph" w:styleId="TableofFigures">
    <w:name w:val="table of figures"/>
    <w:basedOn w:val="Normal"/>
    <w:next w:val="Normal"/>
    <w:semiHidden/>
    <w:rsid w:val="00F52F2C"/>
    <w:pPr>
      <w:tabs>
        <w:tab w:val="right" w:leader="dot" w:pos="9072"/>
      </w:tabs>
      <w:ind w:left="970" w:hanging="403"/>
    </w:pPr>
    <w:rPr>
      <w:rFonts w:ascii="Times New Roman" w:hAnsi="Times New Roman"/>
      <w:b/>
    </w:rPr>
  </w:style>
  <w:style w:type="paragraph" w:styleId="ListNumber">
    <w:name w:val="List Number"/>
    <w:basedOn w:val="List"/>
    <w:rsid w:val="00F52F2C"/>
    <w:pPr>
      <w:numPr>
        <w:numId w:val="12"/>
      </w:numPr>
    </w:pPr>
  </w:style>
  <w:style w:type="character" w:customStyle="1" w:styleId="WingdingSymbols">
    <w:name w:val="Wingding Symbols"/>
    <w:rsid w:val="00F52F2C"/>
    <w:rPr>
      <w:rFonts w:ascii="Wingdings" w:hAnsi="Wingdings"/>
    </w:rPr>
  </w:style>
  <w:style w:type="paragraph" w:customStyle="1" w:styleId="TableHeading">
    <w:name w:val="Table Heading"/>
    <w:basedOn w:val="HeadingBase"/>
    <w:rsid w:val="00F52F2C"/>
    <w:pPr>
      <w:keepLines/>
      <w:pBdr>
        <w:bottom w:val="single" w:sz="6" w:space="1" w:color="918585"/>
      </w:pBdr>
      <w:spacing w:before="240"/>
    </w:pPr>
  </w:style>
  <w:style w:type="character" w:customStyle="1" w:styleId="HotSpot">
    <w:name w:val="HotSpot"/>
    <w:rsid w:val="00F52F2C"/>
    <w:rPr>
      <w:color w:val="0033CC"/>
      <w:u w:val="none"/>
    </w:rPr>
  </w:style>
  <w:style w:type="paragraph" w:customStyle="1" w:styleId="BodyTextRight">
    <w:name w:val="Body Text Right"/>
    <w:basedOn w:val="BodyText"/>
    <w:rsid w:val="00F52F2C"/>
    <w:pPr>
      <w:spacing w:before="0" w:after="0"/>
      <w:jc w:val="right"/>
    </w:pPr>
  </w:style>
  <w:style w:type="paragraph" w:styleId="Index3">
    <w:name w:val="index 3"/>
    <w:basedOn w:val="ListNumber2"/>
    <w:next w:val="Normal"/>
    <w:semiHidden/>
    <w:rsid w:val="00F52F2C"/>
    <w:pPr>
      <w:numPr>
        <w:numId w:val="0"/>
      </w:numPr>
      <w:tabs>
        <w:tab w:val="right" w:leader="dot" w:pos="4176"/>
      </w:tabs>
    </w:pPr>
  </w:style>
  <w:style w:type="paragraph" w:styleId="ListNumber2">
    <w:name w:val="List Number 2"/>
    <w:basedOn w:val="List2"/>
    <w:rsid w:val="00F52F2C"/>
    <w:pPr>
      <w:numPr>
        <w:numId w:val="11"/>
      </w:numPr>
      <w:tabs>
        <w:tab w:val="clear" w:pos="1060"/>
      </w:tabs>
    </w:pPr>
  </w:style>
  <w:style w:type="paragraph" w:customStyle="1" w:styleId="MarginNote">
    <w:name w:val="Margin Note"/>
    <w:basedOn w:val="BodyText"/>
    <w:rsid w:val="00F52F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F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F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2F2C"/>
    <w:rPr>
      <w:sz w:val="32"/>
    </w:rPr>
  </w:style>
  <w:style w:type="paragraph" w:customStyle="1" w:styleId="HeadingProcedure">
    <w:name w:val="Heading Procedure"/>
    <w:basedOn w:val="HeadingBase"/>
    <w:next w:val="Normal"/>
    <w:rsid w:val="00F52F2C"/>
    <w:pPr>
      <w:tabs>
        <w:tab w:val="left" w:pos="0"/>
      </w:tabs>
      <w:spacing w:before="120" w:after="60"/>
    </w:pPr>
    <w:rPr>
      <w:i/>
      <w:color w:val="918585"/>
      <w:sz w:val="22"/>
    </w:rPr>
  </w:style>
  <w:style w:type="paragraph" w:customStyle="1" w:styleId="TableBodyText">
    <w:name w:val="Table Body Text"/>
    <w:basedOn w:val="BodyText"/>
    <w:rsid w:val="00F52F2C"/>
    <w:pPr>
      <w:spacing w:before="60" w:after="60"/>
    </w:pPr>
  </w:style>
  <w:style w:type="paragraph" w:styleId="ListContinue">
    <w:name w:val="List Continue"/>
    <w:basedOn w:val="List"/>
    <w:rsid w:val="00F52F2C"/>
    <w:pPr>
      <w:ind w:firstLine="0"/>
    </w:pPr>
  </w:style>
  <w:style w:type="paragraph" w:customStyle="1" w:styleId="ListNote">
    <w:name w:val="List Note"/>
    <w:basedOn w:val="List"/>
    <w:rsid w:val="00F52F2C"/>
    <w:pPr>
      <w:pBdr>
        <w:top w:val="single" w:sz="6" w:space="2" w:color="918585"/>
        <w:bottom w:val="single" w:sz="6" w:space="2" w:color="918585"/>
      </w:pBdr>
      <w:tabs>
        <w:tab w:val="left" w:pos="1021"/>
      </w:tabs>
      <w:ind w:firstLine="0"/>
    </w:pPr>
  </w:style>
  <w:style w:type="paragraph" w:customStyle="1" w:styleId="Warning">
    <w:name w:val="Warning"/>
    <w:basedOn w:val="BodyText"/>
    <w:rsid w:val="00F52F2C"/>
    <w:pPr>
      <w:shd w:val="clear" w:color="auto" w:fill="D9D9D9"/>
      <w:tabs>
        <w:tab w:val="left" w:pos="992"/>
      </w:tabs>
      <w:ind w:left="119" w:right="119"/>
    </w:pPr>
    <w:rPr>
      <w:sz w:val="20"/>
    </w:rPr>
  </w:style>
  <w:style w:type="paragraph" w:customStyle="1" w:styleId="MarginIcons">
    <w:name w:val="Margin Icons"/>
    <w:basedOn w:val="BodyText"/>
    <w:rsid w:val="00F52F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F2C"/>
    <w:rPr>
      <w:rFonts w:ascii="Courier New" w:hAnsi="Courier New"/>
    </w:rPr>
  </w:style>
  <w:style w:type="paragraph" w:customStyle="1" w:styleId="NoteBullet">
    <w:name w:val="Note Bullet"/>
    <w:basedOn w:val="Note"/>
    <w:rsid w:val="00F52F2C"/>
    <w:pPr>
      <w:tabs>
        <w:tab w:val="clear" w:pos="680"/>
      </w:tabs>
      <w:spacing w:before="60" w:after="60"/>
    </w:pPr>
  </w:style>
  <w:style w:type="paragraph" w:customStyle="1" w:styleId="SubHeading2">
    <w:name w:val="SubHeading2"/>
    <w:basedOn w:val="HeadingBase"/>
    <w:rsid w:val="00F52F2C"/>
    <w:pPr>
      <w:spacing w:before="240" w:after="60"/>
    </w:pPr>
    <w:rPr>
      <w:sz w:val="20"/>
    </w:rPr>
  </w:style>
  <w:style w:type="paragraph" w:customStyle="1" w:styleId="SubHeading1">
    <w:name w:val="SubHeading1"/>
    <w:basedOn w:val="HeadingBase"/>
    <w:rsid w:val="00F52F2C"/>
    <w:pPr>
      <w:spacing w:before="240" w:after="60"/>
    </w:pPr>
    <w:rPr>
      <w:color w:val="918585"/>
      <w:sz w:val="22"/>
    </w:rPr>
  </w:style>
  <w:style w:type="paragraph" w:customStyle="1" w:styleId="SideHeading">
    <w:name w:val="Side Heading"/>
    <w:basedOn w:val="HeadingBase"/>
    <w:rsid w:val="00F52F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F2C"/>
    <w:pPr>
      <w:numPr>
        <w:numId w:val="13"/>
      </w:numPr>
    </w:pPr>
  </w:style>
  <w:style w:type="paragraph" w:styleId="PlainText">
    <w:name w:val="Plain Text"/>
    <w:basedOn w:val="Normal"/>
    <w:link w:val="PlainTextChar"/>
    <w:rsid w:val="00F52F2C"/>
    <w:rPr>
      <w:sz w:val="20"/>
    </w:rPr>
  </w:style>
  <w:style w:type="character" w:customStyle="1" w:styleId="PlainTextChar">
    <w:name w:val="Plain Text Char"/>
    <w:basedOn w:val="DefaultParagraphFont"/>
    <w:link w:val="PlainText"/>
    <w:rsid w:val="00F52F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2F2C"/>
    <w:rPr>
      <w:b/>
      <w:smallCaps/>
    </w:rPr>
  </w:style>
  <w:style w:type="paragraph" w:customStyle="1" w:styleId="TableListNumber">
    <w:name w:val="Table List Number"/>
    <w:basedOn w:val="ListNumber"/>
    <w:rsid w:val="00F52F2C"/>
    <w:pPr>
      <w:numPr>
        <w:numId w:val="0"/>
      </w:numPr>
    </w:pPr>
  </w:style>
  <w:style w:type="paragraph" w:styleId="TOC4">
    <w:name w:val="toc 4"/>
    <w:basedOn w:val="TOCBase"/>
    <w:next w:val="Normal"/>
    <w:semiHidden/>
    <w:rsid w:val="00F52F2C"/>
    <w:pPr>
      <w:tabs>
        <w:tab w:val="right" w:leader="dot" w:pos="9071"/>
      </w:tabs>
      <w:ind w:left="1701"/>
    </w:pPr>
  </w:style>
  <w:style w:type="paragraph" w:customStyle="1" w:styleId="ListAlpha">
    <w:name w:val="List Alpha"/>
    <w:basedOn w:val="List"/>
    <w:rsid w:val="00F52F2C"/>
    <w:pPr>
      <w:numPr>
        <w:numId w:val="10"/>
      </w:numPr>
    </w:pPr>
  </w:style>
  <w:style w:type="paragraph" w:customStyle="1" w:styleId="ListAlpha2">
    <w:name w:val="List Alpha 2"/>
    <w:basedOn w:val="List2"/>
    <w:rsid w:val="00F52F2C"/>
    <w:pPr>
      <w:numPr>
        <w:numId w:val="9"/>
      </w:numPr>
    </w:pPr>
  </w:style>
  <w:style w:type="paragraph" w:styleId="List3">
    <w:name w:val="List 3"/>
    <w:basedOn w:val="BodyText"/>
    <w:rsid w:val="00F52F2C"/>
    <w:pPr>
      <w:tabs>
        <w:tab w:val="left" w:pos="1021"/>
      </w:tabs>
      <w:spacing w:before="60" w:after="60"/>
      <w:ind w:left="1020" w:hanging="340"/>
    </w:pPr>
  </w:style>
  <w:style w:type="paragraph" w:styleId="List4">
    <w:name w:val="List 4"/>
    <w:basedOn w:val="BodyText"/>
    <w:rsid w:val="00F52F2C"/>
    <w:pPr>
      <w:tabs>
        <w:tab w:val="left" w:pos="1361"/>
      </w:tabs>
      <w:spacing w:before="60" w:after="60"/>
      <w:ind w:left="1361" w:hanging="340"/>
    </w:pPr>
  </w:style>
  <w:style w:type="paragraph" w:styleId="List5">
    <w:name w:val="List 5"/>
    <w:basedOn w:val="BodyText"/>
    <w:rsid w:val="00F52F2C"/>
    <w:pPr>
      <w:tabs>
        <w:tab w:val="left" w:pos="1701"/>
      </w:tabs>
      <w:spacing w:before="60" w:after="60"/>
      <w:ind w:left="1701" w:hanging="340"/>
    </w:pPr>
  </w:style>
  <w:style w:type="paragraph" w:styleId="ListBullet4">
    <w:name w:val="List Bullet 4"/>
    <w:basedOn w:val="List4"/>
    <w:rsid w:val="00F52F2C"/>
    <w:pPr>
      <w:numPr>
        <w:numId w:val="4"/>
      </w:numPr>
    </w:pPr>
  </w:style>
  <w:style w:type="paragraph" w:styleId="ListBullet5">
    <w:name w:val="List Bullet 5"/>
    <w:basedOn w:val="List5"/>
    <w:rsid w:val="00F52F2C"/>
    <w:pPr>
      <w:numPr>
        <w:numId w:val="5"/>
      </w:numPr>
    </w:pPr>
  </w:style>
  <w:style w:type="paragraph" w:styleId="ListContinue2">
    <w:name w:val="List Continue 2"/>
    <w:basedOn w:val="List2"/>
    <w:rsid w:val="00F52F2C"/>
    <w:pPr>
      <w:ind w:firstLine="0"/>
    </w:pPr>
  </w:style>
  <w:style w:type="paragraph" w:styleId="ListContinue3">
    <w:name w:val="List Continue 3"/>
    <w:basedOn w:val="List3"/>
    <w:rsid w:val="00F52F2C"/>
    <w:pPr>
      <w:ind w:left="1021" w:firstLine="0"/>
    </w:pPr>
  </w:style>
  <w:style w:type="paragraph" w:styleId="ListContinue4">
    <w:name w:val="List Continue 4"/>
    <w:basedOn w:val="List4"/>
    <w:rsid w:val="00F52F2C"/>
    <w:pPr>
      <w:ind w:firstLine="0"/>
    </w:pPr>
  </w:style>
  <w:style w:type="paragraph" w:styleId="ListContinue5">
    <w:name w:val="List Continue 5"/>
    <w:basedOn w:val="List5"/>
    <w:rsid w:val="00F52F2C"/>
    <w:pPr>
      <w:ind w:firstLine="0"/>
    </w:pPr>
  </w:style>
  <w:style w:type="paragraph" w:styleId="ListNumber3">
    <w:name w:val="List Number 3"/>
    <w:basedOn w:val="List3"/>
    <w:rsid w:val="00F52F2C"/>
    <w:pPr>
      <w:numPr>
        <w:numId w:val="6"/>
      </w:numPr>
    </w:pPr>
  </w:style>
  <w:style w:type="paragraph" w:styleId="ListNumber4">
    <w:name w:val="List Number 4"/>
    <w:basedOn w:val="List4"/>
    <w:rsid w:val="00F52F2C"/>
    <w:pPr>
      <w:numPr>
        <w:numId w:val="7"/>
      </w:numPr>
    </w:pPr>
  </w:style>
  <w:style w:type="paragraph" w:styleId="ListNumber5">
    <w:name w:val="List Number 5"/>
    <w:basedOn w:val="List5"/>
    <w:rsid w:val="00F52F2C"/>
    <w:pPr>
      <w:numPr>
        <w:numId w:val="8"/>
      </w:numPr>
    </w:pPr>
  </w:style>
  <w:style w:type="paragraph" w:styleId="BlockText">
    <w:name w:val="Block Text"/>
    <w:basedOn w:val="Normal"/>
    <w:rsid w:val="00F52F2C"/>
    <w:pPr>
      <w:spacing w:after="120"/>
      <w:ind w:left="1440" w:right="1440"/>
    </w:pPr>
  </w:style>
  <w:style w:type="character" w:customStyle="1" w:styleId="Subscript">
    <w:name w:val="Subscript"/>
    <w:basedOn w:val="DefaultParagraphFont"/>
    <w:rsid w:val="00F52F2C"/>
    <w:rPr>
      <w:sz w:val="16"/>
      <w:vertAlign w:val="subscript"/>
    </w:rPr>
  </w:style>
  <w:style w:type="character" w:customStyle="1" w:styleId="Superscript">
    <w:name w:val="Superscript"/>
    <w:basedOn w:val="DefaultParagraphFont"/>
    <w:rsid w:val="00F52F2C"/>
    <w:rPr>
      <w:sz w:val="16"/>
      <w:vertAlign w:val="superscript"/>
    </w:rPr>
  </w:style>
  <w:style w:type="character" w:customStyle="1" w:styleId="Symbols">
    <w:name w:val="Symbols"/>
    <w:basedOn w:val="DefaultParagraphFont"/>
    <w:rsid w:val="00F52F2C"/>
    <w:rPr>
      <w:rFonts w:ascii="Symbol" w:hAnsi="Symbol"/>
    </w:rPr>
  </w:style>
  <w:style w:type="character" w:customStyle="1" w:styleId="MenuOptions">
    <w:name w:val="Menu Options"/>
    <w:basedOn w:val="DefaultParagraphFont"/>
    <w:rsid w:val="00F52F2C"/>
    <w:rPr>
      <w:rFonts w:ascii="Arial Narrow" w:hAnsi="Arial Narrow"/>
      <w:smallCaps/>
    </w:rPr>
  </w:style>
  <w:style w:type="character" w:customStyle="1" w:styleId="Buttons">
    <w:name w:val="Buttons"/>
    <w:basedOn w:val="DefaultParagraphFont"/>
    <w:rsid w:val="00F52F2C"/>
    <w:rPr>
      <w:b/>
    </w:rPr>
  </w:style>
  <w:style w:type="character" w:customStyle="1" w:styleId="Underlined">
    <w:name w:val="Underlined"/>
    <w:basedOn w:val="DefaultParagraphFont"/>
    <w:rsid w:val="00F52F2C"/>
    <w:rPr>
      <w:u w:val="single"/>
    </w:rPr>
  </w:style>
  <w:style w:type="paragraph" w:customStyle="1" w:styleId="TableBodyTextRight">
    <w:name w:val="Table Body Text Right"/>
    <w:basedOn w:val="TableBodyText"/>
    <w:rsid w:val="00F52F2C"/>
    <w:pPr>
      <w:widowControl w:val="0"/>
      <w:autoSpaceDE w:val="0"/>
      <w:autoSpaceDN w:val="0"/>
      <w:adjustRightInd w:val="0"/>
      <w:jc w:val="right"/>
    </w:pPr>
    <w:rPr>
      <w:rFonts w:cs="Arial"/>
      <w:szCs w:val="18"/>
    </w:rPr>
  </w:style>
  <w:style w:type="paragraph" w:customStyle="1" w:styleId="CopyrightText">
    <w:name w:val="Copyright Text"/>
    <w:basedOn w:val="BodyText"/>
    <w:rsid w:val="00F52F2C"/>
    <w:rPr>
      <w:sz w:val="18"/>
    </w:rPr>
  </w:style>
  <w:style w:type="paragraph" w:customStyle="1" w:styleId="BodySmallRight">
    <w:name w:val="Body Small Right"/>
    <w:basedOn w:val="BodyTextRight"/>
    <w:rsid w:val="00F52F2C"/>
    <w:rPr>
      <w:sz w:val="18"/>
      <w:szCs w:val="18"/>
    </w:rPr>
  </w:style>
  <w:style w:type="paragraph" w:customStyle="1" w:styleId="MarginEdition">
    <w:name w:val="Margin Edition"/>
    <w:basedOn w:val="MarginNote"/>
    <w:rsid w:val="00F52F2C"/>
    <w:pPr>
      <w:spacing w:before="0" w:after="0"/>
    </w:pPr>
    <w:rPr>
      <w:rFonts w:ascii="Times New Roman" w:hAnsi="Times New Roman"/>
      <w:color w:val="999999"/>
    </w:rPr>
  </w:style>
  <w:style w:type="paragraph" w:customStyle="1" w:styleId="Spacer">
    <w:name w:val="Spacer"/>
    <w:basedOn w:val="Normal"/>
    <w:rsid w:val="00F52F2C"/>
    <w:rPr>
      <w:sz w:val="2"/>
      <w:szCs w:val="2"/>
    </w:rPr>
  </w:style>
  <w:style w:type="character" w:customStyle="1" w:styleId="Small">
    <w:name w:val="Small"/>
    <w:basedOn w:val="DefaultParagraphFont"/>
    <w:rsid w:val="00F52F2C"/>
    <w:rPr>
      <w:sz w:val="16"/>
    </w:rPr>
  </w:style>
  <w:style w:type="paragraph" w:customStyle="1" w:styleId="WideTable">
    <w:name w:val="Wide Table"/>
    <w:basedOn w:val="Normal"/>
    <w:rsid w:val="00F52F2C"/>
    <w:pPr>
      <w:ind w:left="-1418"/>
    </w:pPr>
    <w:rPr>
      <w:sz w:val="2"/>
      <w:szCs w:val="2"/>
    </w:rPr>
  </w:style>
  <w:style w:type="character" w:styleId="PageNumber">
    <w:name w:val="page number"/>
    <w:basedOn w:val="DefaultParagraphFont"/>
    <w:rsid w:val="00F52F2C"/>
  </w:style>
  <w:style w:type="paragraph" w:styleId="Quote">
    <w:name w:val="Quote"/>
    <w:basedOn w:val="Heading1"/>
    <w:link w:val="QuoteChar"/>
    <w:qFormat/>
    <w:rsid w:val="00F52F2C"/>
    <w:rPr>
      <w:b w:val="0"/>
      <w:sz w:val="72"/>
      <w:szCs w:val="72"/>
      <w:lang w:val="en-NZ"/>
    </w:rPr>
  </w:style>
  <w:style w:type="character" w:customStyle="1" w:styleId="QuoteChar">
    <w:name w:val="Quote Char"/>
    <w:basedOn w:val="DefaultParagraphFont"/>
    <w:link w:val="Quote"/>
    <w:rsid w:val="00F52F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F2C"/>
    <w:pPr>
      <w:pageBreakBefore/>
    </w:pPr>
  </w:style>
  <w:style w:type="paragraph" w:customStyle="1" w:styleId="Border">
    <w:name w:val="Border"/>
    <w:basedOn w:val="Normal"/>
    <w:qFormat/>
    <w:rsid w:val="00F52F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F2C"/>
    <w:rPr>
      <w:b/>
      <w:bCs/>
      <w:i/>
      <w:iCs/>
      <w:color w:val="auto"/>
    </w:rPr>
  </w:style>
  <w:style w:type="paragraph" w:styleId="IntenseQuote">
    <w:name w:val="Intense Quote"/>
    <w:basedOn w:val="Normal"/>
    <w:next w:val="Normal"/>
    <w:link w:val="IntenseQuoteChar"/>
    <w:uiPriority w:val="30"/>
    <w:qFormat/>
    <w:rsid w:val="00F52F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F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2F2C"/>
    <w:rPr>
      <w:smallCaps/>
      <w:color w:val="auto"/>
      <w:u w:val="single"/>
    </w:rPr>
  </w:style>
  <w:style w:type="character" w:styleId="IntenseReference">
    <w:name w:val="Intense Reference"/>
    <w:basedOn w:val="DefaultParagraphFont"/>
    <w:uiPriority w:val="32"/>
    <w:qFormat/>
    <w:rsid w:val="00F52F2C"/>
    <w:rPr>
      <w:b/>
      <w:bCs/>
      <w:smallCaps/>
      <w:color w:val="auto"/>
      <w:spacing w:val="5"/>
      <w:u w:val="single"/>
    </w:rPr>
  </w:style>
  <w:style w:type="paragraph" w:customStyle="1" w:styleId="2ColumnHeading">
    <w:name w:val="2Column Heading"/>
    <w:basedOn w:val="BodyText"/>
    <w:qFormat/>
    <w:rsid w:val="00F52F2C"/>
    <w:pPr>
      <w:spacing w:after="60"/>
      <w:ind w:left="-2268"/>
    </w:pPr>
    <w:rPr>
      <w:b/>
    </w:rPr>
  </w:style>
  <w:style w:type="paragraph" w:customStyle="1" w:styleId="Heading1TOC">
    <w:name w:val="Heading1 TOC"/>
    <w:basedOn w:val="Normal"/>
    <w:qFormat/>
    <w:rsid w:val="00F52F2C"/>
    <w:pPr>
      <w:spacing w:before="240" w:after="120"/>
    </w:pPr>
    <w:rPr>
      <w:rFonts w:ascii="Times New Roman" w:hAnsi="Times New Roman"/>
      <w:b/>
      <w:sz w:val="32"/>
    </w:rPr>
  </w:style>
  <w:style w:type="paragraph" w:customStyle="1" w:styleId="Heading2TOC">
    <w:name w:val="Heading2 TOC"/>
    <w:basedOn w:val="Normal"/>
    <w:qFormat/>
    <w:rsid w:val="00F52F2C"/>
    <w:pPr>
      <w:spacing w:before="240" w:after="60"/>
    </w:pPr>
    <w:rPr>
      <w:rFonts w:ascii="Times New Roman" w:hAnsi="Times New Roman"/>
      <w:b/>
      <w:sz w:val="28"/>
    </w:rPr>
  </w:style>
  <w:style w:type="character" w:customStyle="1" w:styleId="Underline">
    <w:name w:val="Underline"/>
    <w:basedOn w:val="DefaultParagraphFont"/>
    <w:qFormat/>
    <w:rsid w:val="00F52F2C"/>
    <w:rPr>
      <w:u w:val="single"/>
    </w:rPr>
  </w:style>
  <w:style w:type="paragraph" w:styleId="BalloonText">
    <w:name w:val="Balloon Text"/>
    <w:basedOn w:val="Normal"/>
    <w:link w:val="BalloonTextChar"/>
    <w:rsid w:val="00F52F2C"/>
    <w:rPr>
      <w:rFonts w:ascii="Tahoma" w:hAnsi="Tahoma" w:cs="Tahoma"/>
      <w:sz w:val="16"/>
      <w:szCs w:val="16"/>
    </w:rPr>
  </w:style>
  <w:style w:type="character" w:customStyle="1" w:styleId="BalloonTextChar">
    <w:name w:val="Balloon Text Char"/>
    <w:basedOn w:val="DefaultParagraphFont"/>
    <w:link w:val="BalloonText"/>
    <w:rsid w:val="00F52F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2F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2F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1124</Words>
  <Characters>7097</Characters>
  <Application>Microsoft Office Word</Application>
  <DocSecurity>0</DocSecurity>
  <Lines>269</Lines>
  <Paragraphs>136</Paragraphs>
  <ScaleCrop>false</ScaleCrop>
  <Company>Author-it Software Corporation Ltd.</Company>
  <LinksUpToDate>false</LinksUpToDate>
  <CharactersWithSpaces>8155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CPCCSI2001A Use colour for signage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2012-05-26T05:35:00Z</dcterms:created>
  <dcterms:modified xsi:type="dcterms:W3CDTF">2012-05-26T05:35:00Z</dcterms:modified>
</cp:coreProperties>
</file>