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682" w:rsidP="00337682">
      <w:pPr>
        <w:pStyle w:val="Title"/>
      </w:pPr>
      <w:r>
        <w:fldChar w:fldCharType="begin"/>
      </w:r>
      <w:r>
        <w:instrText xml:space="preserve"> TITLE   \* MERGEFORMAT </w:instrText>
      </w:r>
      <w:r>
        <w:fldChar w:fldCharType="separate"/>
      </w:r>
      <w:r>
        <w:t>CPCCSH3005A Apply and trim decorative finishes</w:t>
      </w:r>
      <w:r>
        <w:fldChar w:fldCharType="end"/>
      </w:r>
    </w:p>
    <w:p w:rsidR="00337682" w:rsidP="00337682">
      <w:pPr>
        <w:pStyle w:val="Version"/>
        <w:sectPr w:rsidSect="00C952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2EA" w:rsidP="00C952EA">
      <w:pPr>
        <w:pStyle w:val="SuperHeading"/>
      </w:pPr>
      <w:r w:rsidRPr="00C952EA">
        <w:t>CPCCSH3005A Apply and trim decorative finishes</w:t>
      </w:r>
    </w:p>
    <w:p w:rsidR="00000000" w:rsidRPr="00C952EA" w:rsidP="00C952EA">
      <w:pPr>
        <w:pStyle w:val="Heading1"/>
      </w:pPr>
      <w:bookmarkStart w:id="1" w:name="O_269680"/>
      <w:bookmarkEnd w:id="1"/>
      <w:r w:rsidRPr="00C952EA">
        <w:t>Modification History</w:t>
      </w:r>
    </w:p>
    <w:p w:rsidR="00000000" w:rsidRPr="00C952EA" w:rsidP="00C952EA">
      <w:pPr>
        <w:pStyle w:val="BodyText"/>
      </w:pPr>
      <w:r w:rsidRPr="00C952EA">
        <w:t>Not Applicable</w:t>
      </w:r>
    </w:p>
    <w:p w:rsidR="00000000" w:rsidRPr="00C952EA" w:rsidP="00C952EA">
      <w:pPr>
        <w:pStyle w:val="AllowPageBreak"/>
      </w:pPr>
    </w:p>
    <w:p w:rsidR="00000000" w:rsidRPr="00C952EA" w:rsidP="00C952EA">
      <w:pPr>
        <w:pStyle w:val="Heading1"/>
      </w:pPr>
      <w:bookmarkStart w:id="2" w:name="O_198536"/>
      <w:bookmarkEnd w:id="2"/>
      <w:r w:rsidRPr="00C952EA">
        <w:t>Unit Descriptor</w:t>
      </w:r>
    </w:p>
    <w:tbl>
      <w:tblPr>
        <w:tblW w:w="9368" w:type="dxa"/>
        <w:tblLayout w:type="fixed"/>
        <w:tblCellMar>
          <w:left w:w="62" w:type="dxa"/>
          <w:right w:w="62" w:type="dxa"/>
        </w:tblCellMar>
        <w:tblLook w:val="0000"/>
      </w:tblPr>
      <w:tblGrid>
        <w:gridCol w:w="2748"/>
        <w:gridCol w:w="6620"/>
      </w:tblGrid>
      <w:tr w:rsidTr="00337682">
        <w:tblPrEx>
          <w:tblW w:w="936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SpecialBold"/>
              </w:rPr>
              <w:t>Unit descriptor</w:t>
            </w:r>
          </w:p>
        </w:tc>
        <w:tc>
          <w:tcPr>
            <w:tcW w:w="6620" w:type="dxa"/>
            <w:tcBorders>
              <w:top w:val="nil"/>
              <w:left w:val="nil"/>
              <w:bottom w:val="nil"/>
              <w:right w:val="nil"/>
            </w:tcBorders>
            <w:tcMar>
              <w:top w:w="0" w:type="dxa"/>
              <w:left w:w="62" w:type="dxa"/>
              <w:bottom w:w="0" w:type="dxa"/>
              <w:right w:w="62" w:type="dxa"/>
            </w:tcMar>
          </w:tcPr>
          <w:p w:rsidR="00000000" w:rsidRPr="00C952EA" w:rsidP="00C952EA">
            <w:pPr>
              <w:pStyle w:val="BodyText"/>
            </w:pPr>
            <w:r w:rsidRPr="00C952EA">
              <w:t>This unit specifies the outcomes required to prepare and apply decorative and ornamental edgings and add</w:t>
            </w:r>
            <w:r w:rsidRPr="00C952EA">
              <w:t>-ons as finishes to specified designs.</w:t>
            </w:r>
          </w:p>
        </w:tc>
      </w:tr>
    </w:tbl>
    <w:p w:rsidR="00337682" w:rsidP="00C952EA">
      <w:pPr>
        <w:pStyle w:val="BodyText"/>
      </w:pPr>
    </w:p>
    <w:p w:rsidR="00337682" w:rsidP="00C952EA">
      <w:pPr>
        <w:pStyle w:val="BodyText"/>
      </w:pPr>
    </w:p>
    <w:p w:rsidR="00000000" w:rsidRPr="00C952EA" w:rsidP="00C952EA">
      <w:pPr>
        <w:pStyle w:val="Heading1"/>
      </w:pPr>
      <w:bookmarkStart w:id="3" w:name="O_198539"/>
      <w:bookmarkEnd w:id="3"/>
      <w:r w:rsidRPr="00C952EA">
        <w:t>Application of the Unit</w:t>
      </w:r>
    </w:p>
    <w:tbl>
      <w:tblPr>
        <w:tblW w:w="9368" w:type="dxa"/>
        <w:tblLayout w:type="fixed"/>
        <w:tblCellMar>
          <w:left w:w="62" w:type="dxa"/>
          <w:right w:w="62" w:type="dxa"/>
        </w:tblCellMar>
        <w:tblLook w:val="0000"/>
      </w:tblPr>
      <w:tblGrid>
        <w:gridCol w:w="2748"/>
        <w:gridCol w:w="6620"/>
      </w:tblGrid>
      <w:tr w:rsidTr="00337682">
        <w:tblPrEx>
          <w:tblW w:w="936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SpecialBold"/>
              </w:rPr>
              <w:t>Application of the unit</w:t>
            </w:r>
          </w:p>
        </w:tc>
        <w:tc>
          <w:tcPr>
            <w:tcW w:w="6620" w:type="dxa"/>
            <w:tcBorders>
              <w:top w:val="nil"/>
              <w:left w:val="nil"/>
              <w:bottom w:val="nil"/>
              <w:right w:val="nil"/>
            </w:tcBorders>
            <w:tcMar>
              <w:top w:w="0" w:type="dxa"/>
              <w:left w:w="62" w:type="dxa"/>
              <w:bottom w:w="0" w:type="dxa"/>
              <w:right w:w="62" w:type="dxa"/>
            </w:tcMar>
          </w:tcPr>
          <w:p w:rsidR="00000000" w:rsidRPr="00C952EA" w:rsidP="00C952EA">
            <w:pPr>
              <w:pStyle w:val="BodyText"/>
            </w:pPr>
            <w:r w:rsidRPr="00C952EA">
              <w:t xml:space="preserve">This unit of competency supports the achievement of skills and knowledge to apply decorative and ornamental edgings and add-ons used to provide </w:t>
            </w:r>
            <w:r w:rsidRPr="00C952EA">
              <w:t xml:space="preserve">finishes to a specified design, and may include working with others and as a member of a team. </w:t>
            </w:r>
          </w:p>
        </w:tc>
      </w:tr>
    </w:tbl>
    <w:p w:rsidR="00337682" w:rsidP="00C952EA">
      <w:pPr>
        <w:pStyle w:val="BodyText"/>
      </w:pPr>
    </w:p>
    <w:p w:rsidR="00337682" w:rsidP="00C952EA">
      <w:pPr>
        <w:pStyle w:val="BodyText"/>
      </w:pPr>
    </w:p>
    <w:p w:rsidR="00000000" w:rsidRPr="00C952EA" w:rsidP="00C952EA">
      <w:pPr>
        <w:pStyle w:val="Heading1"/>
      </w:pPr>
      <w:bookmarkStart w:id="4" w:name="O_277940"/>
      <w:bookmarkEnd w:id="4"/>
      <w:r w:rsidRPr="00C952EA">
        <w:t>Licensing/Regulatory Information</w:t>
      </w:r>
    </w:p>
    <w:p w:rsidR="00000000" w:rsidRPr="00C952EA" w:rsidP="00C952EA">
      <w:pPr>
        <w:pStyle w:val="BodyText"/>
      </w:pPr>
      <w:r w:rsidRPr="00C952EA">
        <w:t>Not Applicable</w:t>
      </w:r>
    </w:p>
    <w:p w:rsidR="00000000" w:rsidRPr="00C952EA" w:rsidP="00C952EA">
      <w:pPr>
        <w:pStyle w:val="AllowPageBreak"/>
      </w:pPr>
    </w:p>
    <w:p w:rsidR="00000000" w:rsidRPr="00C952EA" w:rsidP="00C952EA">
      <w:pPr>
        <w:pStyle w:val="Heading1"/>
      </w:pPr>
      <w:bookmarkStart w:id="5" w:name="O_198538"/>
      <w:bookmarkEnd w:id="5"/>
      <w:r w:rsidRPr="00C952EA">
        <w:t>Pre-Requisites</w:t>
      </w:r>
    </w:p>
    <w:tbl>
      <w:tblPr>
        <w:tblW w:w="9368" w:type="dxa"/>
        <w:tblLayout w:type="fixed"/>
        <w:tblCellMar>
          <w:left w:w="62" w:type="dxa"/>
          <w:right w:w="62" w:type="dxa"/>
        </w:tblCellMar>
        <w:tblLook w:val="0000"/>
      </w:tblPr>
      <w:tblGrid>
        <w:gridCol w:w="2696"/>
        <w:gridCol w:w="2527"/>
        <w:gridCol w:w="4145"/>
      </w:tblGrid>
      <w:tr w:rsidTr="00337682">
        <w:tblPrEx>
          <w:tblW w:w="9368" w:type="dxa"/>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SpecialBold"/>
              </w:rPr>
              <w:t>Prerequisite units</w:t>
            </w:r>
          </w:p>
        </w:tc>
        <w:tc>
          <w:tcPr>
            <w:tcW w:w="6672" w:type="dxa"/>
            <w:gridSpan w:val="2"/>
            <w:tcBorders>
              <w:top w:val="nil"/>
              <w:left w:val="nil"/>
              <w:bottom w:val="nil"/>
              <w:right w:val="nil"/>
            </w:tcBorders>
            <w:tcMar>
              <w:top w:w="0" w:type="dxa"/>
              <w:left w:w="62" w:type="dxa"/>
              <w:bottom w:w="0" w:type="dxa"/>
              <w:right w:w="62" w:type="dxa"/>
            </w:tcMar>
          </w:tcPr>
          <w:p w:rsidR="00000000" w:rsidP="00C952EA">
            <w:pPr>
              <w:pStyle w:val="BodyText"/>
              <w:rPr>
                <w:lang w:val="en-NZ"/>
              </w:rPr>
            </w:pPr>
          </w:p>
        </w:tc>
      </w:tr>
      <w:tr w:rsidTr="00337682">
        <w:tblPrEx>
          <w:tblW w:w="9368" w:type="dxa"/>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t>CPCCOHS2001A</w:t>
            </w:r>
          </w:p>
        </w:tc>
        <w:tc>
          <w:tcPr>
            <w:tcW w:w="4145"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t>Apply OHS requirements, policies and procedures in the construction industry</w:t>
            </w:r>
          </w:p>
        </w:tc>
      </w:tr>
      <w:tr w:rsidTr="00337682">
        <w:tblPrEx>
          <w:tblW w:w="9368" w:type="dxa"/>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5" w:type="dxa"/>
            <w:tcBorders>
              <w:top w:val="nil"/>
              <w:left w:val="nil"/>
              <w:bottom w:val="nil"/>
              <w:right w:val="nil"/>
            </w:tcBorders>
            <w:tcMar>
              <w:top w:w="0" w:type="dxa"/>
              <w:left w:w="62" w:type="dxa"/>
              <w:bottom w:w="0" w:type="dxa"/>
              <w:right w:w="62" w:type="dxa"/>
            </w:tcMar>
          </w:tcPr>
          <w:p w:rsidR="00000000" w:rsidRPr="00C952EA" w:rsidP="00C952EA">
            <w:pPr>
              <w:pStyle w:val="BodyText"/>
            </w:pPr>
          </w:p>
        </w:tc>
      </w:tr>
    </w:tbl>
    <w:p w:rsidR="00337682" w:rsidP="00C952EA">
      <w:pPr>
        <w:pStyle w:val="BodyText"/>
      </w:pPr>
    </w:p>
    <w:p w:rsidR="00337682" w:rsidP="00C952EA">
      <w:pPr>
        <w:pStyle w:val="BodyText"/>
      </w:pPr>
    </w:p>
    <w:p w:rsidR="00000000" w:rsidRPr="00C952EA" w:rsidP="00C952EA">
      <w:pPr>
        <w:pStyle w:val="Heading1"/>
      </w:pPr>
      <w:bookmarkStart w:id="6" w:name="O_198537"/>
      <w:bookmarkEnd w:id="6"/>
      <w:r w:rsidRPr="00C952EA">
        <w:t>Employability Skills Information</w:t>
      </w:r>
    </w:p>
    <w:tbl>
      <w:tblPr>
        <w:tblW w:w="9368" w:type="dxa"/>
        <w:tblLayout w:type="fixed"/>
        <w:tblCellMar>
          <w:left w:w="62" w:type="dxa"/>
          <w:right w:w="62" w:type="dxa"/>
        </w:tblCellMar>
        <w:tblLook w:val="0000"/>
      </w:tblPr>
      <w:tblGrid>
        <w:gridCol w:w="2748"/>
        <w:gridCol w:w="6620"/>
      </w:tblGrid>
      <w:tr w:rsidTr="00337682">
        <w:tblPrEx>
          <w:tblW w:w="936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SpecialBold"/>
              </w:rPr>
              <w:t>Employability skills</w:t>
            </w:r>
          </w:p>
        </w:tc>
        <w:tc>
          <w:tcPr>
            <w:tcW w:w="6620" w:type="dxa"/>
            <w:tcBorders>
              <w:top w:val="nil"/>
              <w:left w:val="nil"/>
              <w:bottom w:val="nil"/>
              <w:right w:val="nil"/>
            </w:tcBorders>
            <w:tcMar>
              <w:top w:w="0" w:type="dxa"/>
              <w:left w:w="62" w:type="dxa"/>
              <w:bottom w:w="0" w:type="dxa"/>
              <w:right w:w="62" w:type="dxa"/>
            </w:tcMar>
          </w:tcPr>
          <w:p w:rsidR="00000000" w:rsidRPr="00C952EA" w:rsidP="00C952EA">
            <w:pPr>
              <w:pStyle w:val="BodyText"/>
            </w:pPr>
            <w:r w:rsidRPr="00C952EA">
              <w:t>This unit contains employability skills.</w:t>
            </w:r>
          </w:p>
        </w:tc>
      </w:tr>
    </w:tbl>
    <w:p w:rsidR="00337682" w:rsidP="00C952EA">
      <w:pPr>
        <w:pStyle w:val="BodyText"/>
      </w:pPr>
    </w:p>
    <w:p w:rsidR="00337682" w:rsidP="00C952EA">
      <w:pPr>
        <w:pStyle w:val="BodyText"/>
      </w:pPr>
    </w:p>
    <w:p w:rsidR="00000000" w:rsidRPr="00C952EA" w:rsidP="00C952EA">
      <w:pPr>
        <w:pStyle w:val="Heading1"/>
      </w:pPr>
      <w:bookmarkStart w:id="7" w:name="O_287726"/>
      <w:bookmarkEnd w:id="7"/>
      <w:r w:rsidRPr="00C952EA">
        <w:t>Elements and Performance Criteria Pre-Content</w:t>
      </w:r>
    </w:p>
    <w:tbl>
      <w:tblPr>
        <w:tblW w:w="0" w:type="auto"/>
        <w:tblLayout w:type="fixed"/>
        <w:tblCellMar>
          <w:left w:w="62" w:type="dxa"/>
          <w:right w:w="62" w:type="dxa"/>
        </w:tblCellMar>
        <w:tblLook w:val="0000"/>
      </w:tblPr>
      <w:tblGrid>
        <w:gridCol w:w="2567"/>
        <w:gridCol w:w="5955"/>
      </w:tblGrid>
      <w:tr w:rsidTr="0033768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C952EA">
            <w:pPr>
              <w:pStyle w:val="BodyText"/>
              <w:rPr>
                <w:lang w:val="en-NZ"/>
              </w:rPr>
            </w:pPr>
            <w:r w:rsidRPr="00C952EA">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C952EA" w:rsidP="00C952EA">
            <w:pPr>
              <w:pStyle w:val="BodyText"/>
            </w:pPr>
            <w:r w:rsidRPr="00C952EA">
              <w:t>Performance criteria describe the performance needed to demonstrate achievement of the element. Where bold italicised text is used, further info</w:t>
            </w:r>
            <w:r w:rsidRPr="00C952EA">
              <w:t>rmation is detailed in the required skills and knowledge section and the range statement. Assessment of performance is to be consistent with the evidence guide.</w:t>
            </w:r>
          </w:p>
        </w:tc>
      </w:tr>
    </w:tbl>
    <w:p w:rsidR="00000000" w:rsidRPr="00C952EA" w:rsidP="00C952EA">
      <w:pPr>
        <w:pStyle w:val="BodyText"/>
      </w:pPr>
    </w:p>
    <w:p w:rsidR="00000000" w:rsidRPr="00C952EA" w:rsidP="00C952EA">
      <w:pPr>
        <w:pStyle w:val="AllowPageBreak"/>
      </w:pPr>
    </w:p>
    <w:p w:rsidR="00000000" w:rsidRPr="00C952EA" w:rsidP="00C952EA">
      <w:pPr>
        <w:pStyle w:val="Heading1"/>
      </w:pPr>
      <w:bookmarkStart w:id="8" w:name="O_234393"/>
      <w:bookmarkEnd w:id="8"/>
      <w:r w:rsidRPr="00C952EA">
        <w:t>Elements and Performance Criteria</w:t>
      </w:r>
    </w:p>
    <w:tbl>
      <w:tblPr>
        <w:tblW w:w="0" w:type="auto"/>
        <w:tblLayout w:type="fixed"/>
        <w:tblCellMar>
          <w:left w:w="62" w:type="dxa"/>
          <w:right w:w="62" w:type="dxa"/>
        </w:tblCellMar>
        <w:tblLook w:val="0000"/>
      </w:tblPr>
      <w:tblGrid>
        <w:gridCol w:w="2567"/>
        <w:gridCol w:w="5955"/>
      </w:tblGrid>
      <w:tr w:rsidTr="0033768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C952EA" w:rsidP="00C952EA">
            <w:pPr>
              <w:pStyle w:val="BodyText"/>
            </w:pPr>
            <w:r w:rsidRPr="00C952EA">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C952EA">
            <w:pPr>
              <w:pStyle w:val="BodyText"/>
              <w:rPr>
                <w:lang w:val="en-NZ"/>
              </w:rPr>
            </w:pPr>
            <w:r w:rsidRPr="00C952EA">
              <w:rPr>
                <w:rStyle w:val="SpecialBold"/>
              </w:rPr>
              <w:t>PERFORMANCE CRITERIA</w:t>
            </w:r>
          </w:p>
        </w:tc>
      </w:tr>
      <w:tr w:rsidTr="003376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952EA">
            <w:pPr>
              <w:pStyle w:val="List"/>
              <w:rPr>
                <w:lang w:val="en-NZ"/>
              </w:rPr>
            </w:pPr>
            <w:r w:rsidRPr="00C952EA">
              <w:t>1.</w:t>
            </w:r>
            <w:r w:rsidRPr="00C952EA">
              <w:tab/>
            </w:r>
            <w:r w:rsidRPr="00C952EA">
              <w:t>Plan and prepare.</w:t>
            </w:r>
          </w:p>
        </w:tc>
        <w:tc>
          <w:tcPr>
            <w:tcW w:w="5955" w:type="dxa"/>
            <w:tcBorders>
              <w:top w:val="nil"/>
              <w:left w:val="nil"/>
              <w:bottom w:val="nil"/>
              <w:right w:val="nil"/>
            </w:tcBorders>
            <w:tcMar>
              <w:top w:w="0" w:type="dxa"/>
              <w:left w:w="62" w:type="dxa"/>
              <w:bottom w:w="0" w:type="dxa"/>
              <w:right w:w="62" w:type="dxa"/>
            </w:tcMar>
          </w:tcPr>
          <w:p w:rsidR="00000000" w:rsidRPr="00C952EA" w:rsidP="00C952EA">
            <w:pPr>
              <w:pStyle w:val="List2"/>
            </w:pPr>
            <w:r w:rsidRPr="00C952EA">
              <w:t>1.1.</w:t>
            </w:r>
            <w:r w:rsidRPr="00C952EA">
              <w:tab/>
              <w:t xml:space="preserve">Work instructions and operational details are obtained using relevant </w:t>
            </w:r>
            <w:r w:rsidRPr="00C952EA">
              <w:rPr>
                <w:rStyle w:val="BoldandItalics"/>
              </w:rPr>
              <w:t>information</w:t>
            </w:r>
            <w:r w:rsidRPr="00C952EA">
              <w:t xml:space="preserve">, confirmed and applied for </w:t>
            </w:r>
            <w:r w:rsidRPr="00C952EA">
              <w:rPr>
                <w:rStyle w:val="BoldandItalics"/>
              </w:rPr>
              <w:t>planning and preparation</w:t>
            </w:r>
            <w:r w:rsidRPr="00C952EA">
              <w:t xml:space="preserve"> purposes. </w:t>
            </w:r>
          </w:p>
          <w:p w:rsidR="00000000" w:rsidRPr="00C952EA" w:rsidP="00C952EA">
            <w:pPr>
              <w:pStyle w:val="List2"/>
            </w:pPr>
            <w:r w:rsidRPr="00C952EA">
              <w:t>1.2.</w:t>
            </w:r>
            <w:r w:rsidRPr="00C952EA">
              <w:tab/>
            </w:r>
            <w:r w:rsidRPr="00C952EA">
              <w:rPr>
                <w:rStyle w:val="BoldandItalics"/>
              </w:rPr>
              <w:t>Safety</w:t>
            </w:r>
            <w:r w:rsidRPr="00C952EA">
              <w:t xml:space="preserve"> (</w:t>
            </w:r>
            <w:r w:rsidRPr="00C952EA">
              <w:rPr>
                <w:rStyle w:val="BoldandItalics"/>
              </w:rPr>
              <w:t>OHS</w:t>
            </w:r>
            <w:r w:rsidRPr="00C952EA">
              <w:t>) requirements are followed in accordance with safety plans and policies</w:t>
            </w:r>
            <w:r w:rsidRPr="00C952EA">
              <w:t xml:space="preserve">. </w:t>
            </w:r>
          </w:p>
          <w:p w:rsidR="00000000" w:rsidRPr="00C952EA" w:rsidP="00C952EA">
            <w:pPr>
              <w:pStyle w:val="List2"/>
            </w:pPr>
            <w:r w:rsidRPr="00C952EA">
              <w:t>1.3.</w:t>
            </w:r>
            <w:r w:rsidRPr="00C952EA">
              <w:tab/>
              <w:t>Signage and barricade requirements are identified and implemented.</w:t>
            </w:r>
          </w:p>
          <w:p w:rsidR="00000000" w:rsidRPr="00C952EA" w:rsidP="00C952EA">
            <w:pPr>
              <w:pStyle w:val="List2"/>
            </w:pPr>
            <w:r w:rsidRPr="00C952EA">
              <w:t>1.4.</w:t>
            </w:r>
            <w:r w:rsidRPr="00C952EA">
              <w:tab/>
            </w:r>
            <w:r w:rsidRPr="00C952EA">
              <w:rPr>
                <w:rStyle w:val="BoldandItalics"/>
              </w:rPr>
              <w:t>Tools and equipment</w:t>
            </w:r>
            <w:r w:rsidRPr="00C952EA">
              <w:t xml:space="preserve"> selected to carry out tasks are consistent with job requirements, checked for serviceability and any faults are rectified or reported prior to commencement.</w:t>
            </w:r>
            <w:r w:rsidRPr="00C952EA">
              <w:t xml:space="preserve"> </w:t>
            </w:r>
          </w:p>
          <w:p w:rsidR="00000000" w:rsidRPr="00C952EA" w:rsidP="00C952EA">
            <w:pPr>
              <w:pStyle w:val="List2"/>
            </w:pPr>
            <w:r w:rsidRPr="00C952EA">
              <w:t>1.5.</w:t>
            </w:r>
            <w:r w:rsidRPr="00C952EA">
              <w:tab/>
              <w:t>Appropriate personal protective equipment selected, correctly fitted and used.</w:t>
            </w:r>
          </w:p>
          <w:p w:rsidR="00000000" w:rsidRPr="00C952EA" w:rsidP="00C952EA">
            <w:pPr>
              <w:pStyle w:val="List2"/>
            </w:pPr>
            <w:r w:rsidRPr="00C952EA">
              <w:t>1.6.</w:t>
            </w:r>
            <w:r w:rsidRPr="00C952EA">
              <w:tab/>
              <w:t xml:space="preserve">Material quantity requirements are calculated in accordance with plans, specifications and </w:t>
            </w:r>
            <w:r w:rsidRPr="00C952EA">
              <w:rPr>
                <w:rStyle w:val="BoldandItalics"/>
              </w:rPr>
              <w:t>quality requirements</w:t>
            </w:r>
            <w:r w:rsidRPr="00C952EA">
              <w:t xml:space="preserve">. </w:t>
            </w:r>
          </w:p>
          <w:p w:rsidR="00000000" w:rsidRPr="00C952EA" w:rsidP="00C952EA">
            <w:pPr>
              <w:pStyle w:val="List2"/>
            </w:pPr>
            <w:r w:rsidRPr="00C952EA">
              <w:t>1.7.</w:t>
            </w:r>
            <w:r w:rsidRPr="00C952EA">
              <w:tab/>
              <w:t xml:space="preserve">Materials appropriate to the work application </w:t>
            </w:r>
            <w:r w:rsidRPr="00C952EA">
              <w:t>are identified, obtained, prepared, safely handled and located ready for use.</w:t>
            </w:r>
          </w:p>
          <w:p w:rsidR="00000000" w:rsidP="00C952EA">
            <w:pPr>
              <w:pStyle w:val="List2"/>
              <w:rPr>
                <w:lang w:val="en-NZ"/>
              </w:rPr>
            </w:pPr>
            <w:r w:rsidRPr="00C952EA">
              <w:t>1.8.</w:t>
            </w:r>
            <w:r w:rsidRPr="00C952EA">
              <w:tab/>
            </w:r>
            <w:r w:rsidRPr="00C952EA">
              <w:rPr>
                <w:rStyle w:val="BoldandItalics"/>
              </w:rPr>
              <w:t>Environmental requirements</w:t>
            </w:r>
            <w:r w:rsidRPr="00C952EA">
              <w:t xml:space="preserve"> are identified for the project in accordance with environmental plans and </w:t>
            </w:r>
            <w:r w:rsidRPr="00C952EA">
              <w:rPr>
                <w:rStyle w:val="BoldandItalics"/>
              </w:rPr>
              <w:t>statutory and regulatory authority</w:t>
            </w:r>
            <w:r w:rsidRPr="00C952EA">
              <w:t xml:space="preserve"> requirements, and are applied. </w:t>
            </w:r>
          </w:p>
        </w:tc>
      </w:tr>
      <w:tr w:rsidTr="003376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952EA">
            <w:pPr>
              <w:pStyle w:val="List"/>
              <w:rPr>
                <w:lang w:val="en-NZ"/>
              </w:rPr>
            </w:pPr>
            <w:r w:rsidRPr="00C952EA">
              <w:t>2.</w:t>
            </w:r>
            <w:r w:rsidRPr="00C952EA">
              <w:tab/>
              <w:t>I</w:t>
            </w:r>
            <w:r w:rsidRPr="00C952EA">
              <w:t>dentify types of decorative finishes and requirements for fixing.</w:t>
            </w:r>
          </w:p>
        </w:tc>
        <w:tc>
          <w:tcPr>
            <w:tcW w:w="5955" w:type="dxa"/>
            <w:tcBorders>
              <w:top w:val="nil"/>
              <w:left w:val="nil"/>
              <w:bottom w:val="nil"/>
              <w:right w:val="nil"/>
            </w:tcBorders>
            <w:tcMar>
              <w:top w:w="0" w:type="dxa"/>
              <w:left w:w="62" w:type="dxa"/>
              <w:bottom w:w="0" w:type="dxa"/>
              <w:right w:w="62" w:type="dxa"/>
            </w:tcMar>
          </w:tcPr>
          <w:p w:rsidR="00000000" w:rsidRPr="00C952EA" w:rsidP="00C952EA">
            <w:pPr>
              <w:pStyle w:val="List2"/>
            </w:pPr>
            <w:r w:rsidRPr="00C952EA">
              <w:t>2.1.</w:t>
            </w:r>
            <w:r w:rsidRPr="00C952EA">
              <w:tab/>
              <w:t xml:space="preserve">Types of </w:t>
            </w:r>
            <w:r w:rsidRPr="00C952EA">
              <w:rPr>
                <w:rStyle w:val="BoldandItalics"/>
              </w:rPr>
              <w:t>decorative add</w:t>
            </w:r>
            <w:r w:rsidRPr="00C952EA">
              <w:t>-</w:t>
            </w:r>
            <w:r w:rsidRPr="00C952EA">
              <w:rPr>
                <w:rStyle w:val="BoldandItalics"/>
              </w:rPr>
              <w:t>ons and finishes</w:t>
            </w:r>
            <w:r w:rsidRPr="00C952EA">
              <w:t xml:space="preserve"> are identified and applied. </w:t>
            </w:r>
          </w:p>
          <w:p w:rsidR="00000000" w:rsidP="00C952EA">
            <w:pPr>
              <w:pStyle w:val="List2"/>
              <w:rPr>
                <w:lang w:val="en-NZ"/>
              </w:rPr>
            </w:pPr>
            <w:r w:rsidRPr="00C952EA">
              <w:t>2.2.</w:t>
            </w:r>
            <w:r w:rsidRPr="00C952EA">
              <w:tab/>
              <w:t xml:space="preserve">Methods of fixing and finishing </w:t>
            </w:r>
            <w:r w:rsidRPr="00C952EA">
              <w:rPr>
                <w:rStyle w:val="BoldandItalics"/>
              </w:rPr>
              <w:t>add</w:t>
            </w:r>
            <w:r w:rsidRPr="00C952EA">
              <w:t>-</w:t>
            </w:r>
            <w:r w:rsidRPr="00C952EA">
              <w:rPr>
                <w:rStyle w:val="BoldandItalics"/>
              </w:rPr>
              <w:t>ons</w:t>
            </w:r>
            <w:r w:rsidRPr="00C952EA">
              <w:t xml:space="preserve"> are identified and applied. </w:t>
            </w:r>
          </w:p>
        </w:tc>
      </w:tr>
      <w:tr w:rsidTr="003376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952EA">
            <w:pPr>
              <w:pStyle w:val="List"/>
              <w:rPr>
                <w:lang w:val="en-NZ"/>
              </w:rPr>
            </w:pPr>
            <w:r w:rsidRPr="00C952EA">
              <w:t>3.</w:t>
            </w:r>
            <w:r w:rsidRPr="00C952EA">
              <w:tab/>
              <w:t>Carry out f</w:t>
            </w:r>
            <w:r w:rsidRPr="00C952EA">
              <w:t>ixing processes and finishing techniques.</w:t>
            </w:r>
          </w:p>
        </w:tc>
        <w:tc>
          <w:tcPr>
            <w:tcW w:w="5955" w:type="dxa"/>
            <w:tcBorders>
              <w:top w:val="nil"/>
              <w:left w:val="nil"/>
              <w:bottom w:val="nil"/>
              <w:right w:val="nil"/>
            </w:tcBorders>
            <w:tcMar>
              <w:top w:w="0" w:type="dxa"/>
              <w:left w:w="62" w:type="dxa"/>
              <w:bottom w:w="0" w:type="dxa"/>
              <w:right w:w="62" w:type="dxa"/>
            </w:tcMar>
          </w:tcPr>
          <w:p w:rsidR="00000000" w:rsidRPr="00C952EA" w:rsidP="00C952EA">
            <w:pPr>
              <w:pStyle w:val="List2"/>
            </w:pPr>
            <w:r w:rsidRPr="00C952EA">
              <w:t>3.1.</w:t>
            </w:r>
            <w:r w:rsidRPr="00C952EA">
              <w:tab/>
              <w:t xml:space="preserve">Preparation requirements for </w:t>
            </w:r>
            <w:r w:rsidRPr="00C952EA">
              <w:rPr>
                <w:rStyle w:val="BoldandItalics"/>
              </w:rPr>
              <w:t>fixing</w:t>
            </w:r>
            <w:r w:rsidRPr="00C952EA">
              <w:t xml:space="preserve"> of add-ons are carried out to instructions and specifications. </w:t>
            </w:r>
          </w:p>
          <w:p w:rsidR="00000000" w:rsidRPr="00C952EA" w:rsidP="00C952EA">
            <w:pPr>
              <w:pStyle w:val="List2"/>
            </w:pPr>
            <w:r w:rsidRPr="00C952EA">
              <w:t>3.2.</w:t>
            </w:r>
            <w:r w:rsidRPr="00C952EA">
              <w:tab/>
              <w:t>Decorative add-ons are fitted and fixed according to instructions and specifications.</w:t>
            </w:r>
          </w:p>
          <w:p w:rsidR="00000000" w:rsidP="00C952EA">
            <w:pPr>
              <w:pStyle w:val="List2"/>
              <w:rPr>
                <w:lang w:val="en-NZ"/>
              </w:rPr>
            </w:pPr>
            <w:r w:rsidRPr="00C952EA">
              <w:t>3.3.</w:t>
            </w:r>
            <w:r w:rsidRPr="00C952EA">
              <w:tab/>
              <w:t>Applied add-o</w:t>
            </w:r>
            <w:r w:rsidRPr="00C952EA">
              <w:t>ns are trimmed and finished to specifications.</w:t>
            </w:r>
          </w:p>
        </w:tc>
      </w:tr>
      <w:tr w:rsidTr="003376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952EA">
            <w:pPr>
              <w:pStyle w:val="List"/>
              <w:rPr>
                <w:lang w:val="en-NZ"/>
              </w:rPr>
            </w:pPr>
            <w:r w:rsidRPr="00C952EA">
              <w:t>4.</w:t>
            </w:r>
            <w:r w:rsidRPr="00C952EA">
              <w:tab/>
              <w:t>Clean up.</w:t>
            </w:r>
          </w:p>
        </w:tc>
        <w:tc>
          <w:tcPr>
            <w:tcW w:w="5955" w:type="dxa"/>
            <w:tcBorders>
              <w:top w:val="nil"/>
              <w:left w:val="nil"/>
              <w:bottom w:val="nil"/>
              <w:right w:val="nil"/>
            </w:tcBorders>
            <w:tcMar>
              <w:top w:w="0" w:type="dxa"/>
              <w:left w:w="62" w:type="dxa"/>
              <w:bottom w:w="0" w:type="dxa"/>
              <w:right w:w="62" w:type="dxa"/>
            </w:tcMar>
          </w:tcPr>
          <w:p w:rsidR="00000000" w:rsidRPr="00C952EA" w:rsidP="00C952EA">
            <w:pPr>
              <w:pStyle w:val="List2"/>
            </w:pPr>
            <w:r w:rsidRPr="00C952EA">
              <w:t>4.1.</w:t>
            </w:r>
            <w:r w:rsidRPr="00C952EA">
              <w:tab/>
              <w:t>Work area is cleared and waste material disposed of safely.</w:t>
            </w:r>
          </w:p>
          <w:p w:rsidR="00000000" w:rsidRPr="00C952EA" w:rsidP="00C952EA">
            <w:pPr>
              <w:pStyle w:val="List2"/>
            </w:pPr>
            <w:r w:rsidRPr="00C952EA">
              <w:t>4.2.</w:t>
            </w:r>
            <w:r w:rsidRPr="00C952EA">
              <w:tab/>
              <w:t>Tools and equipment are cleaned, maintained and stored.</w:t>
            </w:r>
          </w:p>
        </w:tc>
      </w:tr>
    </w:tbl>
    <w:p w:rsidR="00337682" w:rsidP="00C952EA">
      <w:pPr>
        <w:pStyle w:val="BodyText"/>
      </w:pPr>
    </w:p>
    <w:p w:rsidR="00337682" w:rsidP="00C952EA">
      <w:pPr>
        <w:pStyle w:val="BodyText"/>
      </w:pPr>
    </w:p>
    <w:p w:rsidR="00000000" w:rsidRPr="00C952EA" w:rsidP="00C952EA">
      <w:pPr>
        <w:pStyle w:val="Heading1"/>
      </w:pPr>
      <w:bookmarkStart w:id="9" w:name="O_258343"/>
      <w:bookmarkEnd w:id="9"/>
      <w:r w:rsidRPr="00C952EA">
        <w:t>Required Skills and Knowledge</w:t>
      </w:r>
    </w:p>
    <w:tbl>
      <w:tblPr>
        <w:tblW w:w="0" w:type="auto"/>
        <w:tblLayout w:type="fixed"/>
        <w:tblCellMar>
          <w:left w:w="62" w:type="dxa"/>
          <w:right w:w="62" w:type="dxa"/>
        </w:tblCellMar>
        <w:tblLook w:val="0000"/>
      </w:tblPr>
      <w:tblGrid>
        <w:gridCol w:w="8522"/>
      </w:tblGrid>
      <w:tr w:rsidTr="0033768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SpecialBold"/>
              </w:rPr>
              <w:t>REQUIRED SKILLS AND KNOWLEDGE</w:t>
            </w:r>
          </w:p>
        </w:tc>
      </w:tr>
      <w:tr w:rsidTr="003376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t>This section describes the skills and knowledge required for this unit.</w:t>
            </w:r>
          </w:p>
        </w:tc>
      </w:tr>
      <w:tr w:rsidTr="003376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SpecialBold"/>
              </w:rPr>
              <w:t>Required skills</w:t>
            </w:r>
          </w:p>
        </w:tc>
      </w:tr>
      <w:tr w:rsidTr="003376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52EA" w:rsidP="00C952EA">
            <w:pPr>
              <w:pStyle w:val="BodyText"/>
            </w:pPr>
            <w:r w:rsidRPr="00C952EA">
              <w:t>Required skills for this unit are:</w:t>
            </w:r>
          </w:p>
          <w:p w:rsidR="00000000" w:rsidRPr="00C952EA" w:rsidP="00C952EA">
            <w:pPr>
              <w:pStyle w:val="ListBullet"/>
            </w:pPr>
            <w:r w:rsidRPr="00C952EA">
              <w:t xml:space="preserve">ability to recognise procedures, respond to change and contribute to workplace responsibilities, </w:t>
            </w:r>
            <w:r w:rsidRPr="00C952EA">
              <w:t>such as current work site environmental or sustainability frameworks or management systems</w:t>
            </w:r>
          </w:p>
          <w:p w:rsidR="00000000" w:rsidRPr="00C952EA" w:rsidP="00C952EA">
            <w:pPr>
              <w:pStyle w:val="ListBullet"/>
            </w:pPr>
            <w:r w:rsidRPr="00C952EA">
              <w:t>communication skills to:</w:t>
            </w:r>
          </w:p>
          <w:p w:rsidR="00000000" w:rsidRPr="00C952EA" w:rsidP="00C952EA">
            <w:pPr>
              <w:pStyle w:val="ListBullet2"/>
            </w:pPr>
            <w:r w:rsidRPr="00C952EA">
              <w:t>enable clear and direct communication, using questioning to identify and confirm requirements, share information, listen and understand</w:t>
            </w:r>
          </w:p>
          <w:p w:rsidR="00000000" w:rsidRPr="00C952EA" w:rsidP="00C952EA">
            <w:pPr>
              <w:pStyle w:val="ListBullet2"/>
            </w:pPr>
            <w:r w:rsidRPr="00C952EA">
              <w:t>fol</w:t>
            </w:r>
            <w:r w:rsidRPr="00C952EA">
              <w:t>low instructions</w:t>
            </w:r>
          </w:p>
          <w:p w:rsidR="00000000" w:rsidRPr="00C952EA" w:rsidP="00C952EA">
            <w:pPr>
              <w:pStyle w:val="ListBullet2"/>
            </w:pPr>
            <w:r w:rsidRPr="00C952EA">
              <w:t>read and interpret drawings and specifications</w:t>
            </w:r>
          </w:p>
          <w:p w:rsidR="00000000" w:rsidRPr="00C952EA" w:rsidP="00C952EA">
            <w:pPr>
              <w:pStyle w:val="ListBullet2"/>
            </w:pPr>
            <w:r w:rsidRPr="00C952EA">
              <w:t>use and interpret non-verbal communication</w:t>
            </w:r>
          </w:p>
          <w:p w:rsidR="00000000" w:rsidRPr="00C952EA" w:rsidP="00C952EA">
            <w:pPr>
              <w:pStyle w:val="ListBullet2"/>
            </w:pPr>
            <w:r w:rsidRPr="00C952EA">
              <w:t>use language and concepts appropriate to cultural differences</w:t>
            </w:r>
          </w:p>
          <w:p w:rsidR="00000000" w:rsidRPr="00C952EA" w:rsidP="00C952EA">
            <w:pPr>
              <w:pStyle w:val="ListBullet"/>
            </w:pPr>
            <w:r w:rsidRPr="00C952EA">
              <w:t xml:space="preserve">innovation skills to select appropriate tools and equipment, respond to workplace </w:t>
            </w:r>
            <w:r w:rsidRPr="00C952EA">
              <w:t>challenges and put ideas into action</w:t>
            </w:r>
          </w:p>
          <w:p w:rsidR="00000000" w:rsidRPr="00C952EA" w:rsidP="00C952EA">
            <w:pPr>
              <w:pStyle w:val="ListBullet"/>
            </w:pPr>
            <w:r w:rsidRPr="00C952EA">
              <w:t>numeracy skills to apply measurements and calculations</w:t>
            </w:r>
          </w:p>
          <w:p w:rsidR="00000000" w:rsidRPr="00C952EA" w:rsidP="00C952EA">
            <w:pPr>
              <w:pStyle w:val="ListBullet"/>
            </w:pPr>
            <w:r w:rsidRPr="00C952EA">
              <w:t>problem solving skills to recognise and take action to rectify minor faults and problems</w:t>
            </w:r>
          </w:p>
          <w:p w:rsidR="00000000" w:rsidP="00C952EA">
            <w:pPr>
              <w:pStyle w:val="ListBullet"/>
              <w:rPr>
                <w:lang w:val="en-NZ"/>
              </w:rPr>
            </w:pPr>
            <w:r w:rsidRPr="00C952EA">
              <w:t>teamwork skills to be able to work with others to action tasks and relate t</w:t>
            </w:r>
            <w:r w:rsidRPr="00C952EA">
              <w:t>o people from a range of cultural, social, ethnic backgrounds and with varying physical and mental abilities.</w:t>
            </w:r>
          </w:p>
        </w:tc>
      </w:tr>
      <w:tr w:rsidTr="003376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SpecialBold"/>
              </w:rPr>
              <w:t>Required knowledge</w:t>
            </w:r>
          </w:p>
        </w:tc>
      </w:tr>
      <w:tr w:rsidTr="003376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52EA" w:rsidP="00C952EA">
            <w:pPr>
              <w:pStyle w:val="BodyText"/>
            </w:pPr>
            <w:r w:rsidRPr="00C952EA">
              <w:t>Required knowledge for this unit is:</w:t>
            </w:r>
          </w:p>
          <w:p w:rsidR="00000000" w:rsidRPr="00C952EA" w:rsidP="00C952EA">
            <w:pPr>
              <w:pStyle w:val="ListBullet"/>
            </w:pPr>
            <w:r w:rsidRPr="00C952EA">
              <w:t>commonly used decorative and ornamental finishes</w:t>
            </w:r>
          </w:p>
          <w:p w:rsidR="00000000" w:rsidRPr="00C952EA" w:rsidP="00C952EA">
            <w:pPr>
              <w:pStyle w:val="ListBullet"/>
            </w:pPr>
            <w:r w:rsidRPr="00C952EA">
              <w:t>fixings and fasteners relevant to affixing decorative edgings and add-ons</w:t>
            </w:r>
          </w:p>
          <w:p w:rsidR="00000000" w:rsidRPr="00C952EA" w:rsidP="00C952EA">
            <w:pPr>
              <w:pStyle w:val="ListBullet"/>
            </w:pPr>
            <w:r w:rsidRPr="00C952EA">
              <w:t>interpretation of drawings and specifications</w:t>
            </w:r>
          </w:p>
          <w:p w:rsidR="00000000" w:rsidRPr="00C952EA" w:rsidP="00C952EA">
            <w:pPr>
              <w:pStyle w:val="ListBullet"/>
            </w:pPr>
            <w:r w:rsidRPr="00C952EA">
              <w:t>job safety analysis (JSA) and safe work method statements</w:t>
            </w:r>
          </w:p>
          <w:p w:rsidR="00000000" w:rsidRPr="00C952EA" w:rsidP="00C952EA">
            <w:pPr>
              <w:pStyle w:val="ListBullet"/>
            </w:pPr>
            <w:r w:rsidRPr="00C952EA">
              <w:t>materials and their characteristics relevant to decorative edgings and add-ons</w:t>
            </w:r>
          </w:p>
          <w:p w:rsidR="00000000" w:rsidRPr="00C952EA" w:rsidP="00C952EA">
            <w:pPr>
              <w:pStyle w:val="ListBullet"/>
            </w:pPr>
            <w:r w:rsidRPr="00C952EA">
              <w:t>measuring and setting out related to decorative finishes</w:t>
            </w:r>
          </w:p>
          <w:p w:rsidR="00000000" w:rsidRPr="00C952EA" w:rsidP="00C952EA">
            <w:pPr>
              <w:pStyle w:val="ListBullet"/>
            </w:pPr>
            <w:r w:rsidRPr="00C952EA">
              <w:t>organisation's quality assurance requirements</w:t>
            </w:r>
          </w:p>
          <w:p w:rsidR="00000000" w:rsidRPr="00C952EA" w:rsidP="00C952EA">
            <w:pPr>
              <w:pStyle w:val="ListBullet"/>
            </w:pPr>
            <w:r w:rsidRPr="00C952EA">
              <w:t>workplace and environment safety requirements.</w:t>
            </w:r>
          </w:p>
        </w:tc>
      </w:tr>
    </w:tbl>
    <w:p w:rsidR="00337682" w:rsidP="00C952EA">
      <w:pPr>
        <w:pStyle w:val="BodyText"/>
      </w:pPr>
    </w:p>
    <w:p w:rsidR="00337682" w:rsidP="00C952EA">
      <w:pPr>
        <w:pStyle w:val="BodyText"/>
      </w:pPr>
    </w:p>
    <w:p w:rsidR="00000000" w:rsidRPr="00C952EA" w:rsidP="00C952EA">
      <w:pPr>
        <w:pStyle w:val="AllowPageBreak"/>
      </w:pPr>
    </w:p>
    <w:p w:rsidR="00000000" w:rsidRPr="00C952EA" w:rsidP="00C952EA">
      <w:pPr>
        <w:pStyle w:val="Heading1"/>
      </w:pPr>
      <w:bookmarkStart w:id="10" w:name="O_242377"/>
      <w:bookmarkEnd w:id="10"/>
      <w:r w:rsidRPr="00C952EA">
        <w:t>Evidence Guide</w:t>
      </w:r>
    </w:p>
    <w:tbl>
      <w:tblPr>
        <w:tblW w:w="9287" w:type="dxa"/>
        <w:tblLayout w:type="fixed"/>
        <w:tblCellMar>
          <w:left w:w="62" w:type="dxa"/>
          <w:right w:w="62" w:type="dxa"/>
        </w:tblCellMar>
        <w:tblLook w:val="0000"/>
      </w:tblPr>
      <w:tblGrid>
        <w:gridCol w:w="3800"/>
        <w:gridCol w:w="5487"/>
      </w:tblGrid>
      <w:tr w:rsidTr="00337682">
        <w:tblPrEx>
          <w:tblW w:w="9287" w:type="dxa"/>
          <w:tblLayout w:type="fixed"/>
          <w:tblCellMar>
            <w:left w:w="62" w:type="dxa"/>
            <w:right w:w="62" w:type="dxa"/>
          </w:tblCellMar>
          <w:tblLook w:val="0000"/>
        </w:tblPrEx>
        <w:trPr>
          <w:tblHeader/>
        </w:trPr>
        <w:tc>
          <w:tcPr>
            <w:tcW w:w="9287" w:type="dxa"/>
            <w:gridSpan w:val="2"/>
            <w:tcBorders>
              <w:top w:val="nil"/>
              <w:left w:val="nil"/>
              <w:bottom w:val="single" w:sz="6" w:space="0" w:color="auto"/>
              <w:right w:val="nil"/>
            </w:tcBorders>
            <w:tcMar>
              <w:top w:w="0" w:type="dxa"/>
              <w:left w:w="62" w:type="dxa"/>
              <w:bottom w:w="0" w:type="dxa"/>
              <w:right w:w="62" w:type="dxa"/>
            </w:tcMar>
          </w:tcPr>
          <w:p w:rsidR="00000000" w:rsidP="00C952EA">
            <w:pPr>
              <w:pStyle w:val="BodyText"/>
              <w:rPr>
                <w:lang w:val="en-NZ"/>
              </w:rPr>
            </w:pPr>
            <w:r w:rsidRPr="00C952EA">
              <w:rPr>
                <w:rStyle w:val="SpecialBold"/>
              </w:rPr>
              <w:t>EVIDENCE GUIDE</w:t>
            </w:r>
          </w:p>
        </w:tc>
      </w:tr>
      <w:tr w:rsidTr="00337682">
        <w:tblPrEx>
          <w:tblW w:w="9287" w:type="dxa"/>
          <w:tblLayout w:type="fixed"/>
          <w:tblCellMar>
            <w:left w:w="62" w:type="dxa"/>
            <w:right w:w="62" w:type="dxa"/>
          </w:tblCellMar>
          <w:tblLook w:val="0000"/>
        </w:tblPrEx>
        <w:tc>
          <w:tcPr>
            <w:tcW w:w="9287" w:type="dxa"/>
            <w:gridSpan w:val="2"/>
            <w:tcBorders>
              <w:top w:val="single" w:sz="6" w:space="0" w:color="auto"/>
              <w:left w:val="nil"/>
              <w:bottom w:val="nil"/>
              <w:right w:val="nil"/>
            </w:tcBorders>
            <w:tcMar>
              <w:top w:w="0" w:type="dxa"/>
              <w:left w:w="62" w:type="dxa"/>
              <w:bottom w:w="0" w:type="dxa"/>
              <w:right w:w="62" w:type="dxa"/>
            </w:tcMar>
          </w:tcPr>
          <w:p w:rsidR="00000000" w:rsidP="00C952EA">
            <w:pPr>
              <w:pStyle w:val="BodyText"/>
              <w:rPr>
                <w:lang w:val="en-NZ"/>
              </w:rPr>
            </w:pPr>
            <w:r w:rsidRPr="00C952EA">
              <w:t>The evidence guide provides advice on assessment and must be read in conjunction with the performance criteria, required skills and knowledge, range statement and the Assessment Guidelines for the Training Package.</w:t>
            </w:r>
          </w:p>
        </w:tc>
      </w:tr>
      <w:tr w:rsidTr="00337682">
        <w:tblPrEx>
          <w:tblW w:w="9287" w:type="dxa"/>
          <w:tblLayout w:type="fixed"/>
          <w:tblCellMar>
            <w:left w:w="62" w:type="dxa"/>
            <w:right w:w="62" w:type="dxa"/>
          </w:tblCellMar>
          <w:tblLook w:val="0000"/>
        </w:tblPrEx>
        <w:tc>
          <w:tcPr>
            <w:tcW w:w="3800"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SpecialBold"/>
              </w:rPr>
              <w:t>Overview of assessment</w:t>
            </w:r>
          </w:p>
        </w:tc>
        <w:tc>
          <w:tcPr>
            <w:tcW w:w="5487"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t>This unit of com</w:t>
            </w:r>
            <w:r w:rsidRPr="00C952EA">
              <w:t>petency could be assessed in the workplace or a close simulation of the workplace environment, provided that simulated or project-based assessment techniques fully replicate construction workplace conditions, materials, activities, responsibilities and pro</w:t>
            </w:r>
            <w:r w:rsidRPr="00C952EA">
              <w:t xml:space="preserve">cedures. </w:t>
            </w:r>
          </w:p>
        </w:tc>
      </w:tr>
      <w:tr w:rsidTr="00337682">
        <w:tblPrEx>
          <w:tblW w:w="9287" w:type="dxa"/>
          <w:tblLayout w:type="fixed"/>
          <w:tblCellMar>
            <w:left w:w="62" w:type="dxa"/>
            <w:right w:w="62" w:type="dxa"/>
          </w:tblCellMar>
          <w:tblLook w:val="0000"/>
        </w:tblPrEx>
        <w:tc>
          <w:tcPr>
            <w:tcW w:w="3800"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SpecialBold"/>
              </w:rPr>
              <w:t>Critical aspects for assessment and evidence required to demonstrate competency in this unit</w:t>
            </w:r>
          </w:p>
        </w:tc>
        <w:tc>
          <w:tcPr>
            <w:tcW w:w="5487" w:type="dxa"/>
            <w:tcBorders>
              <w:top w:val="nil"/>
              <w:left w:val="nil"/>
              <w:bottom w:val="nil"/>
              <w:right w:val="nil"/>
            </w:tcBorders>
            <w:tcMar>
              <w:top w:w="0" w:type="dxa"/>
              <w:left w:w="62" w:type="dxa"/>
              <w:bottom w:w="0" w:type="dxa"/>
              <w:right w:w="62" w:type="dxa"/>
            </w:tcMar>
          </w:tcPr>
          <w:p w:rsidR="00000000" w:rsidRPr="00C952EA" w:rsidP="00C952EA">
            <w:pPr>
              <w:pStyle w:val="BodyText"/>
            </w:pPr>
            <w:r w:rsidRPr="00C952EA">
              <w:t>A person who demonstrates competency in this unit must be able to select finishes, and fix and finish at least two types of decorative add-ons in two di</w:t>
            </w:r>
            <w:r w:rsidRPr="00C952EA">
              <w:t>fferent materials listed in the range statement, providing evidence of the ability to:</w:t>
            </w:r>
          </w:p>
          <w:p w:rsidR="00000000" w:rsidRPr="00C952EA" w:rsidP="00C952EA">
            <w:pPr>
              <w:pStyle w:val="ListBullet"/>
            </w:pPr>
            <w:r w:rsidRPr="00C952EA">
              <w:t>comply with OHS regulations applicable to workplace operations</w:t>
            </w:r>
          </w:p>
          <w:p w:rsidR="00000000" w:rsidRPr="00C952EA" w:rsidP="00C952EA">
            <w:pPr>
              <w:pStyle w:val="ListBullet"/>
            </w:pPr>
            <w:r w:rsidRPr="00C952EA">
              <w:t>apply organisational quality procedures and processes within the context of applying decorative finishes</w:t>
            </w:r>
          </w:p>
          <w:p w:rsidR="00000000" w:rsidRPr="00C952EA" w:rsidP="00C952EA">
            <w:pPr>
              <w:pStyle w:val="ListBullet"/>
            </w:pPr>
            <w:r w:rsidRPr="00C952EA">
              <w:t>identify four designed decorative or ornamental finishes to be applied in application projects</w:t>
            </w:r>
          </w:p>
          <w:p w:rsidR="00000000" w:rsidRPr="00C952EA" w:rsidP="00C952EA">
            <w:pPr>
              <w:pStyle w:val="ListBullet"/>
            </w:pPr>
            <w:r w:rsidRPr="00C952EA">
              <w:t>identify and select required materials and components for project</w:t>
            </w:r>
          </w:p>
          <w:p w:rsidR="00000000" w:rsidRPr="00C952EA" w:rsidP="00C952EA">
            <w:pPr>
              <w:pStyle w:val="ListBullet"/>
            </w:pPr>
            <w:r w:rsidRPr="00C952EA">
              <w:t>select and use appropriate processes, tools and equipment for application tasks</w:t>
            </w:r>
          </w:p>
          <w:p w:rsidR="00000000" w:rsidRPr="00C952EA" w:rsidP="00C952EA">
            <w:pPr>
              <w:pStyle w:val="ListBullet"/>
            </w:pPr>
            <w:r w:rsidRPr="00C952EA">
              <w:t>appropriately a</w:t>
            </w:r>
            <w:r w:rsidRPr="00C952EA">
              <w:t>nd accurately set out materials and locate for placement</w:t>
            </w:r>
          </w:p>
          <w:p w:rsidR="00000000" w:rsidRPr="00C952EA" w:rsidP="00C952EA">
            <w:pPr>
              <w:pStyle w:val="ListBullet"/>
            </w:pPr>
            <w:r w:rsidRPr="00C952EA">
              <w:t>adopt safe and effective handling procedures for movement and placement of materials and components</w:t>
            </w:r>
          </w:p>
          <w:p w:rsidR="00000000" w:rsidRPr="00C952EA" w:rsidP="00C952EA">
            <w:pPr>
              <w:pStyle w:val="ListBullet"/>
            </w:pPr>
            <w:r w:rsidRPr="00C952EA">
              <w:t>safely and efficiently fix or secure two separate add-ons into place</w:t>
            </w:r>
          </w:p>
          <w:p w:rsidR="00000000" w:rsidRPr="00C952EA" w:rsidP="00C952EA">
            <w:pPr>
              <w:pStyle w:val="ListBullet"/>
            </w:pPr>
            <w:r w:rsidRPr="00C952EA">
              <w:t>apply appropriate and efficien</w:t>
            </w:r>
            <w:r w:rsidRPr="00C952EA">
              <w:t>t applications of at least two specified finishes</w:t>
            </w:r>
          </w:p>
          <w:p w:rsidR="00000000" w:rsidRPr="00C952EA" w:rsidP="00C952EA">
            <w:pPr>
              <w:pStyle w:val="ListBullet"/>
            </w:pPr>
            <w:r w:rsidRPr="00C952EA">
              <w:t>identify typical faults and problems that occur and action required to rectify them</w:t>
            </w:r>
          </w:p>
          <w:p w:rsidR="00000000" w:rsidP="00C952EA">
            <w:pPr>
              <w:pStyle w:val="ListBullet"/>
              <w:rPr>
                <w:lang w:val="en-NZ"/>
              </w:rPr>
            </w:pPr>
            <w:r w:rsidRPr="00C952EA">
              <w:t>communicate with others to ensure safe and effective workplace operations.</w:t>
            </w:r>
          </w:p>
        </w:tc>
      </w:tr>
      <w:tr w:rsidTr="00337682">
        <w:tblPrEx>
          <w:tblW w:w="9287" w:type="dxa"/>
          <w:tblLayout w:type="fixed"/>
          <w:tblCellMar>
            <w:left w:w="62" w:type="dxa"/>
            <w:right w:w="62" w:type="dxa"/>
          </w:tblCellMar>
          <w:tblLook w:val="0000"/>
        </w:tblPrEx>
        <w:tc>
          <w:tcPr>
            <w:tcW w:w="3800"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SpecialBold"/>
              </w:rPr>
              <w:t>Context of and specific resources for assessme</w:t>
            </w:r>
            <w:r w:rsidRPr="00C952EA">
              <w:rPr>
                <w:rStyle w:val="SpecialBold"/>
              </w:rPr>
              <w:t>nt</w:t>
            </w:r>
          </w:p>
        </w:tc>
        <w:tc>
          <w:tcPr>
            <w:tcW w:w="5487" w:type="dxa"/>
            <w:tcBorders>
              <w:top w:val="nil"/>
              <w:left w:val="nil"/>
              <w:bottom w:val="nil"/>
              <w:right w:val="nil"/>
            </w:tcBorders>
            <w:tcMar>
              <w:top w:w="0" w:type="dxa"/>
              <w:left w:w="62" w:type="dxa"/>
              <w:bottom w:w="0" w:type="dxa"/>
              <w:right w:w="62" w:type="dxa"/>
            </w:tcMar>
          </w:tcPr>
          <w:p w:rsidR="00000000" w:rsidRPr="00C952EA" w:rsidP="00C952EA">
            <w:pPr>
              <w:pStyle w:val="BodyText"/>
            </w:pPr>
            <w:r w:rsidRPr="00C952EA">
              <w:t>This competency is to be assessed using standard and authorised work practices, safety requirements and environmental constraints.</w:t>
            </w:r>
          </w:p>
          <w:p w:rsidR="00000000" w:rsidRPr="00C952EA" w:rsidP="00C952EA">
            <w:pPr>
              <w:pStyle w:val="BodyText"/>
            </w:pPr>
            <w:r w:rsidRPr="00C952EA">
              <w:t>Assessment of essential underpinning knowledge will usually be conducted in an off-site context.</w:t>
            </w:r>
          </w:p>
          <w:p w:rsidR="00000000" w:rsidRPr="00C952EA" w:rsidP="00C952EA">
            <w:pPr>
              <w:pStyle w:val="BodyText"/>
            </w:pPr>
            <w:r w:rsidRPr="00C952EA">
              <w:t>Assessment is to comply w</w:t>
            </w:r>
            <w:r w:rsidRPr="00C952EA">
              <w:t>ith relevant regulatory or Australian standards' requirements.</w:t>
            </w:r>
          </w:p>
          <w:p w:rsidR="00000000" w:rsidRPr="00C952EA" w:rsidP="00C952EA">
            <w:pPr>
              <w:pStyle w:val="BodyText"/>
            </w:pPr>
            <w:r w:rsidRPr="00C952EA">
              <w:t>Resource implications for assessment include:</w:t>
            </w:r>
          </w:p>
          <w:p w:rsidR="00000000" w:rsidRPr="00C952EA" w:rsidP="00C952EA">
            <w:pPr>
              <w:pStyle w:val="ListBullet"/>
            </w:pPr>
            <w:r w:rsidRPr="00C952EA">
              <w:t>workplace location and unit associated with application tasks</w:t>
            </w:r>
          </w:p>
          <w:p w:rsidR="00000000" w:rsidRPr="00C952EA" w:rsidP="00C952EA">
            <w:pPr>
              <w:pStyle w:val="ListBullet"/>
            </w:pPr>
            <w:r w:rsidRPr="00C952EA">
              <w:t>materials and components relevant to proposed activity</w:t>
            </w:r>
          </w:p>
          <w:p w:rsidR="00000000" w:rsidRPr="00C952EA" w:rsidP="00C952EA">
            <w:pPr>
              <w:pStyle w:val="ListBullet"/>
            </w:pPr>
            <w:r w:rsidRPr="00C952EA">
              <w:t>tools and equipment appropriate for activity</w:t>
            </w:r>
          </w:p>
          <w:p w:rsidR="00000000" w:rsidRPr="00C952EA" w:rsidP="00C952EA">
            <w:pPr>
              <w:pStyle w:val="ListBullet"/>
            </w:pPr>
            <w:r w:rsidRPr="00C952EA">
              <w:t>drawings and documentation relevant to designed activity.</w:t>
            </w:r>
          </w:p>
          <w:p w:rsidR="00000000" w:rsidP="00C952EA">
            <w:pPr>
              <w:pStyle w:val="BodyText"/>
              <w:rPr>
                <w:lang w:val="en-NZ"/>
              </w:rPr>
            </w:pPr>
            <w:r w:rsidRPr="00C952EA">
              <w:t xml:space="preserve">Reasonable adjustments for people with disabilities must be made to assessment processes where required. This could include access to modified equipment </w:t>
            </w:r>
            <w:r w:rsidRPr="00C952EA">
              <w:t xml:space="preserve">and other physical resources, and the provision of appropriate assessment support. </w:t>
            </w:r>
          </w:p>
        </w:tc>
      </w:tr>
      <w:tr w:rsidTr="00337682">
        <w:tblPrEx>
          <w:tblW w:w="9287" w:type="dxa"/>
          <w:tblLayout w:type="fixed"/>
          <w:tblCellMar>
            <w:left w:w="62" w:type="dxa"/>
            <w:right w:w="62" w:type="dxa"/>
          </w:tblCellMar>
          <w:tblLook w:val="0000"/>
        </w:tblPrEx>
        <w:tc>
          <w:tcPr>
            <w:tcW w:w="3800"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SpecialBold"/>
              </w:rPr>
              <w:t>Method of assessment</w:t>
            </w:r>
          </w:p>
        </w:tc>
        <w:tc>
          <w:tcPr>
            <w:tcW w:w="5487" w:type="dxa"/>
            <w:tcBorders>
              <w:top w:val="nil"/>
              <w:left w:val="nil"/>
              <w:bottom w:val="nil"/>
              <w:right w:val="nil"/>
            </w:tcBorders>
            <w:tcMar>
              <w:top w:w="0" w:type="dxa"/>
              <w:left w:w="62" w:type="dxa"/>
              <w:bottom w:w="0" w:type="dxa"/>
              <w:right w:w="62" w:type="dxa"/>
            </w:tcMar>
          </w:tcPr>
          <w:p w:rsidR="00000000" w:rsidRPr="00C952EA" w:rsidP="00C952EA">
            <w:pPr>
              <w:pStyle w:val="BodyText"/>
            </w:pPr>
            <w:r w:rsidRPr="00C952EA">
              <w:t>Assessment methods must:</w:t>
            </w:r>
          </w:p>
          <w:p w:rsidR="00000000" w:rsidRPr="00C952EA" w:rsidP="00C952EA">
            <w:pPr>
              <w:pStyle w:val="ListBullet"/>
            </w:pPr>
            <w:r w:rsidRPr="00C952EA">
              <w:t>satisfy the endorsed Assessment Guidelines of the Construction, Plumbing and Services Training Package</w:t>
            </w:r>
          </w:p>
          <w:p w:rsidR="00000000" w:rsidRPr="00C952EA" w:rsidP="00C952EA">
            <w:pPr>
              <w:pStyle w:val="ListBullet"/>
            </w:pPr>
            <w:r w:rsidRPr="00C952EA">
              <w:t>include direct observ</w:t>
            </w:r>
            <w:r w:rsidRPr="00C952EA">
              <w:t>ation of tasks in real or simulated work conditions, with questioning to confirm the ability to consistently identify and correctly interpret the essential underpinning knowledge required for practical application</w:t>
            </w:r>
          </w:p>
          <w:p w:rsidR="00000000" w:rsidRPr="00C952EA" w:rsidP="00C952EA">
            <w:pPr>
              <w:pStyle w:val="ListBullet"/>
            </w:pPr>
            <w:r w:rsidRPr="00C952EA">
              <w:t>reinforce the integration of employability</w:t>
            </w:r>
            <w:r w:rsidRPr="00C952EA">
              <w:t xml:space="preserve"> skills with workplace tasks and job roles</w:t>
            </w:r>
          </w:p>
          <w:p w:rsidR="00000000" w:rsidRPr="00C952EA" w:rsidP="00C952EA">
            <w:pPr>
              <w:pStyle w:val="ListBullet"/>
            </w:pPr>
            <w:r w:rsidRPr="00C952EA">
              <w:t>confirm a reasonable inference that competency is not only verified under the particular assessment circumstance, but is able to be transferred to other circumstances and environments.</w:t>
            </w:r>
          </w:p>
          <w:p w:rsidR="00000000" w:rsidRPr="00C952EA" w:rsidP="00C952EA">
            <w:pPr>
              <w:pStyle w:val="BodyText"/>
            </w:pPr>
            <w:r w:rsidRPr="00C952EA">
              <w:t xml:space="preserve">Validity and sufficiency of </w:t>
            </w:r>
            <w:r w:rsidRPr="00C952EA">
              <w:t>evidence requires that:</w:t>
            </w:r>
          </w:p>
          <w:p w:rsidR="00000000" w:rsidRPr="00C952EA" w:rsidP="00C952EA">
            <w:pPr>
              <w:pStyle w:val="ListBullet"/>
            </w:pPr>
            <w:r w:rsidRPr="00C952EA">
              <w:t>competency will need to be demonstrated over a period of time reflecting the scope of the role and practical requirements of the workplace</w:t>
            </w:r>
          </w:p>
          <w:p w:rsidR="00000000" w:rsidRPr="00C952EA" w:rsidP="00C952EA">
            <w:pPr>
              <w:pStyle w:val="ListBullet"/>
            </w:pPr>
            <w:r w:rsidRPr="00C952EA">
              <w:t xml:space="preserve">where the assessment is part of a structured learning experience the evidence collected must relate to a number of performances assessed at different points in time and separated by further learning and practice with a decision on competency only taken at </w:t>
            </w:r>
            <w:r w:rsidRPr="00C952EA">
              <w:t>the point when the assessor has complete confidence in the person's demonstrated ability and applied knowledge</w:t>
            </w:r>
          </w:p>
          <w:p w:rsidR="00000000" w:rsidRPr="00C952EA" w:rsidP="00C952EA">
            <w:pPr>
              <w:pStyle w:val="ListBullet"/>
            </w:pPr>
            <w:r w:rsidRPr="00C952EA">
              <w:t>all assessment that is part of a structured learning experience must include a combination of direct, indirect and supplementary evidence.</w:t>
            </w:r>
          </w:p>
          <w:p w:rsidR="00000000" w:rsidRPr="00C952EA" w:rsidP="00C952EA">
            <w:pPr>
              <w:pStyle w:val="BodyText"/>
            </w:pPr>
            <w:r w:rsidRPr="00C952EA">
              <w:t>Assess</w:t>
            </w:r>
            <w:r w:rsidRPr="00C952EA">
              <w:t>ment processes and techniques should, as far as is practical, take into account the language, literacy and numeracy capacity of the candidate in relation to the competency being assessed.</w:t>
            </w:r>
          </w:p>
          <w:p w:rsidR="00000000" w:rsidRPr="00C952EA" w:rsidP="00C952EA">
            <w:pPr>
              <w:pStyle w:val="BodyText"/>
            </w:pPr>
            <w:r w:rsidRPr="00C952EA">
              <w:t>Supplementary evidence of competency may be obtained from relevant a</w:t>
            </w:r>
            <w:r w:rsidRPr="00C952EA">
              <w:t xml:space="preserve">uthenticated documentation from third parties, such as existing supervisors, team leaders or specialist training staff. </w:t>
            </w:r>
          </w:p>
        </w:tc>
      </w:tr>
    </w:tbl>
    <w:p w:rsidR="00337682" w:rsidP="00C952EA">
      <w:pPr>
        <w:pStyle w:val="BodyText"/>
      </w:pPr>
    </w:p>
    <w:p w:rsidR="00337682" w:rsidP="00C952EA">
      <w:pPr>
        <w:pStyle w:val="BodyText"/>
      </w:pPr>
    </w:p>
    <w:p w:rsidR="00000000" w:rsidRPr="00C952EA" w:rsidP="00C952EA">
      <w:pPr>
        <w:pStyle w:val="Heading1"/>
      </w:pPr>
      <w:bookmarkStart w:id="11" w:name="O_250360"/>
      <w:bookmarkEnd w:id="11"/>
      <w:r w:rsidRPr="00C952EA">
        <w:t>Range Statement</w:t>
      </w:r>
    </w:p>
    <w:tbl>
      <w:tblPr>
        <w:tblW w:w="0" w:type="auto"/>
        <w:tblLayout w:type="fixed"/>
        <w:tblCellMar>
          <w:left w:w="62" w:type="dxa"/>
          <w:right w:w="62" w:type="dxa"/>
        </w:tblCellMar>
        <w:tblLook w:val="0000"/>
      </w:tblPr>
      <w:tblGrid>
        <w:gridCol w:w="3481"/>
        <w:gridCol w:w="5041"/>
      </w:tblGrid>
      <w:tr w:rsidTr="0033768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952EA">
            <w:pPr>
              <w:pStyle w:val="BodyText"/>
              <w:rPr>
                <w:lang w:val="en-NZ"/>
              </w:rPr>
            </w:pPr>
            <w:r w:rsidRPr="00C952EA">
              <w:rPr>
                <w:rStyle w:val="SpecialBold"/>
              </w:rPr>
              <w:t>RANGE STATEMENT</w:t>
            </w:r>
          </w:p>
        </w:tc>
      </w:tr>
      <w:tr w:rsidTr="0033768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952EA">
            <w:pPr>
              <w:pStyle w:val="BodyText"/>
              <w:rPr>
                <w:lang w:val="en-NZ"/>
              </w:rPr>
            </w:pPr>
            <w:r w:rsidRPr="00C952EA">
              <w:t>The range statement relates to the unit of competency as a whole. It allows for different work environments and situations that may affect performance. Bold italicised wording, if used in the performance criteria, is detailed below. Essential operating con</w:t>
            </w:r>
            <w:r w:rsidRPr="00C952EA">
              <w:t>ditions that may be present with training and assessment (depending on the work situation, needs of the candidate, accessibility of the item, and local industry and regional contexts) may also be included.</w:t>
            </w:r>
          </w:p>
        </w:tc>
      </w:tr>
      <w:tr w:rsidTr="00337682">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BoldandItalics"/>
              </w:rPr>
              <w:t>Information</w:t>
            </w:r>
            <w:r w:rsidRPr="00C952EA">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C952EA" w:rsidP="00C952EA">
            <w:pPr>
              <w:pStyle w:val="ListBullet"/>
            </w:pPr>
            <w:r w:rsidRPr="00C952EA">
              <w:t>diagrams or sketches</w:t>
            </w:r>
          </w:p>
          <w:p w:rsidR="00000000" w:rsidRPr="00C952EA" w:rsidP="00C952EA">
            <w:pPr>
              <w:pStyle w:val="ListBullet"/>
            </w:pPr>
            <w:r w:rsidRPr="00C952EA">
              <w:t>instructions issued by authorised organisational or external personnel</w:t>
            </w:r>
          </w:p>
          <w:p w:rsidR="00000000" w:rsidRPr="00C952EA" w:rsidP="00C952EA">
            <w:pPr>
              <w:pStyle w:val="ListBullet"/>
            </w:pPr>
            <w:r w:rsidRPr="00C952EA">
              <w:t>manufacturer specifications and instructions, where specified</w:t>
            </w:r>
          </w:p>
          <w:p w:rsidR="00000000" w:rsidRPr="00C952EA" w:rsidP="00C952EA">
            <w:pPr>
              <w:pStyle w:val="ListBullet"/>
            </w:pPr>
            <w:r w:rsidRPr="00C952EA">
              <w:t>MSDS</w:t>
            </w:r>
          </w:p>
          <w:p w:rsidR="00000000" w:rsidRPr="00C952EA" w:rsidP="00C952EA">
            <w:pPr>
              <w:pStyle w:val="ListBullet"/>
            </w:pPr>
            <w:r w:rsidRPr="00C952EA">
              <w:t>memos</w:t>
            </w:r>
          </w:p>
          <w:p w:rsidR="00000000" w:rsidRPr="00C952EA" w:rsidP="00C952EA">
            <w:pPr>
              <w:pStyle w:val="ListBullet"/>
            </w:pPr>
            <w:r w:rsidRPr="00C952EA">
              <w:t xml:space="preserve">regulatory and legislative requirements pertaining to applying and trimming decorative finishes </w:t>
            </w:r>
          </w:p>
          <w:p w:rsidR="00000000" w:rsidRPr="00C952EA" w:rsidP="00C952EA">
            <w:pPr>
              <w:pStyle w:val="ListBullet"/>
            </w:pPr>
            <w:r w:rsidRPr="00C952EA">
              <w:t>relevant Austra</w:t>
            </w:r>
            <w:r w:rsidRPr="00C952EA">
              <w:t>lian standards</w:t>
            </w:r>
          </w:p>
          <w:p w:rsidR="00000000" w:rsidRPr="00C952EA" w:rsidP="00C952EA">
            <w:pPr>
              <w:pStyle w:val="ListBullet"/>
            </w:pPr>
            <w:r w:rsidRPr="00C952EA">
              <w:t xml:space="preserve">safe work procedures relating to applying and trimming decorative finishes </w:t>
            </w:r>
          </w:p>
          <w:p w:rsidR="00000000" w:rsidRPr="00C952EA" w:rsidP="00C952EA">
            <w:pPr>
              <w:pStyle w:val="ListBullet"/>
            </w:pPr>
            <w:r w:rsidRPr="00C952EA">
              <w:t>signage</w:t>
            </w:r>
          </w:p>
          <w:p w:rsidR="00000000" w:rsidRPr="00C952EA" w:rsidP="00C952EA">
            <w:pPr>
              <w:pStyle w:val="ListBullet"/>
            </w:pPr>
            <w:r w:rsidRPr="00C952EA">
              <w:t>verbal, written and graphical instructions</w:t>
            </w:r>
          </w:p>
          <w:p w:rsidR="00000000" w:rsidRPr="00C952EA" w:rsidP="00C952EA">
            <w:pPr>
              <w:pStyle w:val="ListBullet"/>
            </w:pPr>
            <w:r w:rsidRPr="00C952EA">
              <w:t>work bulletins</w:t>
            </w:r>
          </w:p>
          <w:p w:rsidR="00000000" w:rsidP="00C952EA">
            <w:pPr>
              <w:pStyle w:val="ListBullet"/>
              <w:rPr>
                <w:lang w:val="en-NZ"/>
              </w:rPr>
            </w:pPr>
            <w:r w:rsidRPr="00C952EA">
              <w:t>work schedules, plans and specifications.</w:t>
            </w:r>
          </w:p>
        </w:tc>
      </w:tr>
      <w:tr w:rsidTr="00337682">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BoldandItalics"/>
              </w:rPr>
              <w:t>Planning and preparation</w:t>
            </w:r>
            <w:r w:rsidRPr="00C952EA">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C952EA" w:rsidP="00C952EA">
            <w:pPr>
              <w:pStyle w:val="ListBullet"/>
            </w:pPr>
            <w:r w:rsidRPr="00C952EA">
              <w:t>assessment of conditi</w:t>
            </w:r>
            <w:r w:rsidRPr="00C952EA">
              <w:t>ons and hazards</w:t>
            </w:r>
          </w:p>
          <w:p w:rsidR="00000000" w:rsidRPr="00C952EA" w:rsidP="00C952EA">
            <w:pPr>
              <w:pStyle w:val="ListBullet"/>
            </w:pPr>
            <w:r w:rsidRPr="00C952EA">
              <w:t>determination of work requirements and safety plans and policies</w:t>
            </w:r>
          </w:p>
          <w:p w:rsidR="00000000" w:rsidRPr="00C952EA" w:rsidP="00C952EA">
            <w:pPr>
              <w:pStyle w:val="ListBullet"/>
            </w:pPr>
            <w:r w:rsidRPr="00C952EA">
              <w:t>equipment defect identification</w:t>
            </w:r>
          </w:p>
          <w:p w:rsidR="00000000" w:rsidP="00C952EA">
            <w:pPr>
              <w:pStyle w:val="ListBullet"/>
              <w:rPr>
                <w:lang w:val="en-NZ"/>
              </w:rPr>
            </w:pPr>
            <w:r w:rsidRPr="00C952EA">
              <w:t>work site inspection.</w:t>
            </w:r>
          </w:p>
        </w:tc>
      </w:tr>
      <w:tr w:rsidTr="00337682">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BoldandItalics"/>
              </w:rPr>
              <w:t>Safety</w:t>
            </w:r>
            <w:r w:rsidRPr="00C952EA">
              <w:t xml:space="preserve"> (</w:t>
            </w:r>
            <w:r w:rsidRPr="00C952EA">
              <w:rPr>
                <w:rStyle w:val="BoldandItalics"/>
              </w:rPr>
              <w:t>OHS</w:t>
            </w:r>
            <w:r w:rsidRPr="00C952EA">
              <w:t xml:space="preserve">) is to </w:t>
            </w:r>
            <w:r w:rsidRPr="00C952EA">
              <w:t xml:space="preserve">be in accordance with state and territory legislation and regulations and project safety plan and may include: </w:t>
            </w:r>
          </w:p>
        </w:tc>
        <w:tc>
          <w:tcPr>
            <w:tcW w:w="5041" w:type="dxa"/>
            <w:tcBorders>
              <w:top w:val="nil"/>
              <w:left w:val="nil"/>
              <w:bottom w:val="nil"/>
              <w:right w:val="nil"/>
            </w:tcBorders>
            <w:tcMar>
              <w:top w:w="0" w:type="dxa"/>
              <w:left w:w="62" w:type="dxa"/>
              <w:bottom w:w="0" w:type="dxa"/>
              <w:right w:w="62" w:type="dxa"/>
            </w:tcMar>
          </w:tcPr>
          <w:p w:rsidR="00000000" w:rsidRPr="00C952EA" w:rsidP="00C952EA">
            <w:pPr>
              <w:pStyle w:val="ListBullet"/>
            </w:pPr>
            <w:r w:rsidRPr="00C952EA">
              <w:t>emergency procedures, including extinguishing fires, organisational first aid requirements and evacuation</w:t>
            </w:r>
          </w:p>
          <w:p w:rsidR="00000000" w:rsidRPr="00C952EA" w:rsidP="00C952EA">
            <w:pPr>
              <w:pStyle w:val="ListBullet"/>
            </w:pPr>
            <w:r w:rsidRPr="00C952EA">
              <w:t>hazard control</w:t>
            </w:r>
          </w:p>
          <w:p w:rsidR="00000000" w:rsidRPr="00C952EA" w:rsidP="00C952EA">
            <w:pPr>
              <w:pStyle w:val="ListBullet"/>
            </w:pPr>
            <w:r w:rsidRPr="00C952EA">
              <w:t>hazardous materials an</w:t>
            </w:r>
            <w:r w:rsidRPr="00C952EA">
              <w:t>d substances</w:t>
            </w:r>
          </w:p>
          <w:p w:rsidR="00000000" w:rsidRPr="00C952EA" w:rsidP="00C952EA">
            <w:pPr>
              <w:pStyle w:val="ListBullet"/>
            </w:pPr>
            <w:r w:rsidRPr="00C952EA">
              <w:t>organisational first aid</w:t>
            </w:r>
          </w:p>
          <w:p w:rsidR="00000000" w:rsidRPr="00C952EA" w:rsidP="00C952EA">
            <w:pPr>
              <w:pStyle w:val="ListBullet"/>
            </w:pPr>
            <w:r w:rsidRPr="00C952EA">
              <w:t>PPE prescribed under legislation, regulations and workplace policies and practices</w:t>
            </w:r>
          </w:p>
          <w:p w:rsidR="00000000" w:rsidRPr="00C952EA" w:rsidP="00C952EA">
            <w:pPr>
              <w:pStyle w:val="ListBullet"/>
            </w:pPr>
            <w:r w:rsidRPr="00C952EA">
              <w:t>safe operating procedures, including the conduct of operational risk assessment and treatments associated with:</w:t>
            </w:r>
          </w:p>
          <w:p w:rsidR="00000000" w:rsidRPr="00C952EA" w:rsidP="00C952EA">
            <w:pPr>
              <w:pStyle w:val="ListBullet2"/>
            </w:pPr>
            <w:r w:rsidRPr="00C952EA">
              <w:t>concealed services (wa</w:t>
            </w:r>
            <w:r w:rsidRPr="00C952EA">
              <w:t>ter, power and gas)</w:t>
            </w:r>
          </w:p>
          <w:p w:rsidR="00000000" w:rsidRPr="00C952EA" w:rsidP="00C952EA">
            <w:pPr>
              <w:pStyle w:val="ListBullet2"/>
            </w:pPr>
            <w:r w:rsidRPr="00C952EA">
              <w:t>lighting</w:t>
            </w:r>
          </w:p>
          <w:p w:rsidR="00000000" w:rsidRPr="00C952EA" w:rsidP="00C952EA">
            <w:pPr>
              <w:pStyle w:val="ListBullet2"/>
            </w:pPr>
            <w:r w:rsidRPr="00C952EA">
              <w:t>restricted access barriers</w:t>
            </w:r>
          </w:p>
          <w:p w:rsidR="00000000" w:rsidRPr="00C952EA" w:rsidP="00C952EA">
            <w:pPr>
              <w:pStyle w:val="ListBullet2"/>
            </w:pPr>
            <w:r w:rsidRPr="00C952EA">
              <w:t>traffic control</w:t>
            </w:r>
          </w:p>
          <w:p w:rsidR="00000000" w:rsidRPr="00C952EA" w:rsidP="00C952EA">
            <w:pPr>
              <w:pStyle w:val="ListBullet2"/>
            </w:pPr>
            <w:r w:rsidRPr="00C952EA">
              <w:t>work site visitors and the public</w:t>
            </w:r>
          </w:p>
          <w:p w:rsidR="00000000" w:rsidRPr="00C952EA" w:rsidP="00C952EA">
            <w:pPr>
              <w:pStyle w:val="ListBullet2"/>
            </w:pPr>
            <w:r w:rsidRPr="00C952EA">
              <w:t>working at heights</w:t>
            </w:r>
          </w:p>
          <w:p w:rsidR="00000000" w:rsidRPr="00C952EA" w:rsidP="00C952EA">
            <w:pPr>
              <w:pStyle w:val="ListBullet2"/>
            </w:pPr>
            <w:r w:rsidRPr="00C952EA">
              <w:t>working in confined spaces</w:t>
            </w:r>
          </w:p>
          <w:p w:rsidR="00000000" w:rsidRPr="00C952EA" w:rsidP="00C952EA">
            <w:pPr>
              <w:pStyle w:val="ListBullet2"/>
            </w:pPr>
            <w:r w:rsidRPr="00C952EA">
              <w:t>working in proximity to others</w:t>
            </w:r>
          </w:p>
          <w:p w:rsidR="00000000" w:rsidRPr="00C952EA" w:rsidP="00C952EA">
            <w:pPr>
              <w:pStyle w:val="ListBullet2"/>
            </w:pPr>
            <w:r w:rsidRPr="00C952EA">
              <w:t>working platforms and scaffolding</w:t>
            </w:r>
          </w:p>
          <w:p w:rsidR="00000000" w:rsidRPr="00C952EA" w:rsidP="00C952EA">
            <w:pPr>
              <w:pStyle w:val="ListBullet"/>
            </w:pPr>
            <w:r w:rsidRPr="00C952EA">
              <w:t>use of firefighting equipment</w:t>
            </w:r>
          </w:p>
          <w:p w:rsidR="00000000" w:rsidRPr="00C952EA" w:rsidP="00C952EA">
            <w:pPr>
              <w:pStyle w:val="ListBullet"/>
            </w:pPr>
            <w:r w:rsidRPr="00C952EA">
              <w:t>use of tools and equipment</w:t>
            </w:r>
          </w:p>
          <w:p w:rsidR="00000000" w:rsidP="00C952EA">
            <w:pPr>
              <w:pStyle w:val="ListBullet"/>
              <w:rPr>
                <w:lang w:val="en-NZ"/>
              </w:rPr>
            </w:pPr>
            <w:r w:rsidRPr="00C952EA">
              <w:t>workplace environmental requirements and safety.</w:t>
            </w:r>
          </w:p>
        </w:tc>
      </w:tr>
      <w:tr w:rsidTr="00337682">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BoldandItalics"/>
              </w:rPr>
              <w:t>Tools and equipment</w:t>
            </w:r>
            <w:r w:rsidRPr="00C952EA">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C952EA" w:rsidP="00C952EA">
            <w:pPr>
              <w:pStyle w:val="ListBullet"/>
            </w:pPr>
            <w:r w:rsidRPr="00C952EA">
              <w:t>air compressor and hoses</w:t>
            </w:r>
          </w:p>
          <w:p w:rsidR="00000000" w:rsidRPr="00C952EA" w:rsidP="00C952EA">
            <w:pPr>
              <w:pStyle w:val="ListBullet"/>
            </w:pPr>
            <w:r w:rsidRPr="00C952EA">
              <w:t>bevels</w:t>
            </w:r>
          </w:p>
          <w:p w:rsidR="00000000" w:rsidRPr="00C952EA" w:rsidP="00C952EA">
            <w:pPr>
              <w:pStyle w:val="ListBullet"/>
            </w:pPr>
            <w:r w:rsidRPr="00C952EA">
              <w:t>chisels</w:t>
            </w:r>
          </w:p>
          <w:p w:rsidR="00000000" w:rsidRPr="00C952EA" w:rsidP="00C952EA">
            <w:pPr>
              <w:pStyle w:val="ListBullet"/>
            </w:pPr>
            <w:r w:rsidRPr="00C952EA">
              <w:t>clamps</w:t>
            </w:r>
          </w:p>
          <w:p w:rsidR="00000000" w:rsidRPr="00C952EA" w:rsidP="00C952EA">
            <w:pPr>
              <w:pStyle w:val="ListBullet"/>
            </w:pPr>
            <w:r w:rsidRPr="00C952EA">
              <w:t>hammers</w:t>
            </w:r>
          </w:p>
          <w:p w:rsidR="00000000" w:rsidRPr="00C952EA" w:rsidP="00C952EA">
            <w:pPr>
              <w:pStyle w:val="ListBullet"/>
            </w:pPr>
            <w:r w:rsidRPr="00C952EA">
              <w:t>hand saws</w:t>
            </w:r>
          </w:p>
          <w:p w:rsidR="00000000" w:rsidRPr="00C952EA" w:rsidP="00C952EA">
            <w:pPr>
              <w:pStyle w:val="ListBullet"/>
            </w:pPr>
            <w:r w:rsidRPr="00C952EA">
              <w:t>measuring tapes and rules</w:t>
            </w:r>
          </w:p>
          <w:p w:rsidR="00000000" w:rsidRPr="00C952EA" w:rsidP="00C952EA">
            <w:pPr>
              <w:pStyle w:val="ListBullet"/>
            </w:pPr>
            <w:r w:rsidRPr="00C952EA">
              <w:t>nail guns</w:t>
            </w:r>
          </w:p>
          <w:p w:rsidR="00000000" w:rsidRPr="00C952EA" w:rsidP="00C952EA">
            <w:pPr>
              <w:pStyle w:val="ListBullet"/>
            </w:pPr>
            <w:r w:rsidRPr="00C952EA">
              <w:t>power drills</w:t>
            </w:r>
          </w:p>
          <w:p w:rsidR="00000000" w:rsidRPr="00C952EA" w:rsidP="00C952EA">
            <w:pPr>
              <w:pStyle w:val="ListBullet"/>
            </w:pPr>
            <w:r w:rsidRPr="00C952EA">
              <w:t>power leads</w:t>
            </w:r>
          </w:p>
          <w:p w:rsidR="00000000" w:rsidRPr="00C952EA" w:rsidP="00C952EA">
            <w:pPr>
              <w:pStyle w:val="ListBullet"/>
            </w:pPr>
            <w:r w:rsidRPr="00C952EA">
              <w:t>saw stools</w:t>
            </w:r>
          </w:p>
          <w:p w:rsidR="00000000" w:rsidRPr="00C952EA" w:rsidP="00C952EA">
            <w:pPr>
              <w:pStyle w:val="ListBullet"/>
            </w:pPr>
            <w:r w:rsidRPr="00C952EA">
              <w:t>screwdrivers</w:t>
            </w:r>
          </w:p>
          <w:p w:rsidR="00000000" w:rsidRPr="00C952EA" w:rsidP="00C952EA">
            <w:pPr>
              <w:pStyle w:val="ListBullet"/>
            </w:pPr>
            <w:r w:rsidRPr="00C952EA">
              <w:t>spirit levels</w:t>
            </w:r>
          </w:p>
          <w:p w:rsidR="00000000" w:rsidP="00C952EA">
            <w:pPr>
              <w:pStyle w:val="ListBullet"/>
              <w:rPr>
                <w:lang w:val="en-NZ"/>
              </w:rPr>
            </w:pPr>
            <w:r w:rsidRPr="00C952EA">
              <w:t>squares.</w:t>
            </w:r>
          </w:p>
        </w:tc>
      </w:tr>
      <w:tr w:rsidTr="00337682">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BoldandItalics"/>
              </w:rPr>
              <w:t>Quality requirements</w:t>
            </w:r>
            <w:r w:rsidRPr="00C952EA">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C952EA" w:rsidP="00C952EA">
            <w:pPr>
              <w:pStyle w:val="ListBullet"/>
            </w:pPr>
            <w:r w:rsidRPr="00C952EA">
              <w:t>attention to specifications of work</w:t>
            </w:r>
          </w:p>
          <w:p w:rsidR="00000000" w:rsidRPr="00C952EA" w:rsidP="00C952EA">
            <w:pPr>
              <w:pStyle w:val="ListBullet"/>
            </w:pPr>
            <w:r w:rsidRPr="00C952EA">
              <w:t>control of handling procedures</w:t>
            </w:r>
          </w:p>
          <w:p w:rsidR="00000000" w:rsidRPr="00C952EA" w:rsidP="00C952EA">
            <w:pPr>
              <w:pStyle w:val="ListBullet"/>
            </w:pPr>
            <w:r w:rsidRPr="00C952EA">
              <w:t>quality of materials</w:t>
            </w:r>
          </w:p>
          <w:p w:rsidR="00000000" w:rsidRPr="00C952EA" w:rsidP="00C952EA">
            <w:pPr>
              <w:pStyle w:val="ListBullet"/>
            </w:pPr>
            <w:r w:rsidRPr="00C952EA">
              <w:t>relevant regulations, including:</w:t>
            </w:r>
          </w:p>
          <w:p w:rsidR="00000000" w:rsidRPr="00C952EA" w:rsidP="00C952EA">
            <w:pPr>
              <w:pStyle w:val="ListBullet2"/>
            </w:pPr>
            <w:r w:rsidRPr="00C952EA">
              <w:t>Australian standards</w:t>
            </w:r>
          </w:p>
          <w:p w:rsidR="00000000" w:rsidRPr="00C952EA" w:rsidP="00C952EA">
            <w:pPr>
              <w:pStyle w:val="ListBullet2"/>
            </w:pPr>
            <w:r w:rsidRPr="00C952EA">
              <w:t>internal company quality policy and standards</w:t>
            </w:r>
          </w:p>
          <w:p w:rsidR="00000000" w:rsidRPr="00C952EA" w:rsidP="00C952EA">
            <w:pPr>
              <w:pStyle w:val="ListBullet2"/>
            </w:pPr>
            <w:r w:rsidRPr="00C952EA">
              <w:t>manufacturer specifications where specified</w:t>
            </w:r>
          </w:p>
          <w:p w:rsidR="00000000" w:rsidRPr="00C952EA" w:rsidP="00C952EA">
            <w:pPr>
              <w:pStyle w:val="ListBullet2"/>
            </w:pPr>
            <w:r w:rsidRPr="00C952EA">
              <w:t>workplace operations and procedures</w:t>
            </w:r>
          </w:p>
          <w:p w:rsidR="00000000" w:rsidRPr="00C952EA" w:rsidP="00C952EA">
            <w:pPr>
              <w:pStyle w:val="ListBullet"/>
            </w:pPr>
            <w:r w:rsidRPr="00C952EA">
              <w:t>use and maintenance of equipment</w:t>
            </w:r>
          </w:p>
          <w:p w:rsidR="00000000" w:rsidP="00C952EA">
            <w:pPr>
              <w:pStyle w:val="ListBullet"/>
              <w:rPr>
                <w:lang w:val="en-NZ"/>
              </w:rPr>
            </w:pPr>
            <w:r w:rsidRPr="00C952EA">
              <w:t>workplace operations and procedures.</w:t>
            </w:r>
          </w:p>
        </w:tc>
      </w:tr>
      <w:tr w:rsidTr="00337682">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BoldandItalics"/>
              </w:rPr>
              <w:t>Environmental requirements</w:t>
            </w:r>
            <w:r w:rsidRPr="00C952EA">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C952EA" w:rsidP="00C952EA">
            <w:pPr>
              <w:pStyle w:val="ListBullet"/>
            </w:pPr>
            <w:r w:rsidRPr="00C952EA">
              <w:t>clean-up management</w:t>
            </w:r>
          </w:p>
          <w:p w:rsidR="00000000" w:rsidRPr="00C952EA" w:rsidP="00C952EA">
            <w:pPr>
              <w:pStyle w:val="ListBullet"/>
            </w:pPr>
            <w:r w:rsidRPr="00C952EA">
              <w:t>dust and noise</w:t>
            </w:r>
          </w:p>
          <w:p w:rsidR="00000000" w:rsidRPr="00C952EA" w:rsidP="00C952EA">
            <w:pPr>
              <w:pStyle w:val="ListBullet"/>
            </w:pPr>
            <w:r w:rsidRPr="00C952EA">
              <w:t>stormwater protection</w:t>
            </w:r>
          </w:p>
          <w:p w:rsidR="00000000" w:rsidP="00C952EA">
            <w:pPr>
              <w:pStyle w:val="ListBullet"/>
              <w:rPr>
                <w:lang w:val="en-NZ"/>
              </w:rPr>
            </w:pPr>
            <w:r w:rsidRPr="00C952EA">
              <w:t>waste management.</w:t>
            </w:r>
          </w:p>
        </w:tc>
      </w:tr>
      <w:tr w:rsidTr="00337682">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BoldandItalics"/>
              </w:rPr>
              <w:t>Statutory and regulatory authority</w:t>
            </w:r>
            <w:r w:rsidRPr="00C952EA">
              <w:t xml:space="preserve"> includes: </w:t>
            </w:r>
          </w:p>
        </w:tc>
        <w:tc>
          <w:tcPr>
            <w:tcW w:w="5041" w:type="dxa"/>
            <w:tcBorders>
              <w:top w:val="nil"/>
              <w:left w:val="nil"/>
              <w:bottom w:val="nil"/>
              <w:right w:val="nil"/>
            </w:tcBorders>
            <w:tcMar>
              <w:top w:w="0" w:type="dxa"/>
              <w:left w:w="62" w:type="dxa"/>
              <w:bottom w:w="0" w:type="dxa"/>
              <w:right w:w="62" w:type="dxa"/>
            </w:tcMar>
          </w:tcPr>
          <w:p w:rsidR="00000000" w:rsidP="00C952EA">
            <w:pPr>
              <w:pStyle w:val="ListBullet"/>
              <w:rPr>
                <w:lang w:val="en-NZ"/>
              </w:rPr>
            </w:pPr>
            <w:r w:rsidRPr="00C952EA">
              <w:t>federal, state and local authorities administering applicable Acts, regulations and codes of practice.</w:t>
            </w:r>
          </w:p>
        </w:tc>
      </w:tr>
      <w:tr w:rsidTr="00337682">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BoldandItalics"/>
              </w:rPr>
              <w:t>Decorative add</w:t>
            </w:r>
            <w:r w:rsidRPr="00C952EA">
              <w:t>-</w:t>
            </w:r>
            <w:r w:rsidRPr="00C952EA">
              <w:rPr>
                <w:rStyle w:val="BoldandItalics"/>
              </w:rPr>
              <w:t>ons and finishes</w:t>
            </w:r>
            <w:r w:rsidRPr="00C952EA">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C952EA" w:rsidP="00C952EA">
            <w:pPr>
              <w:pStyle w:val="ListBullet"/>
            </w:pPr>
            <w:r w:rsidRPr="00C952EA">
              <w:t>bracke</w:t>
            </w:r>
            <w:r w:rsidRPr="00C952EA">
              <w:t>ts</w:t>
            </w:r>
          </w:p>
          <w:p w:rsidR="00000000" w:rsidRPr="00C952EA" w:rsidP="00C952EA">
            <w:pPr>
              <w:pStyle w:val="ListBullet"/>
            </w:pPr>
            <w:r w:rsidRPr="00C952EA">
              <w:t>carving</w:t>
            </w:r>
          </w:p>
          <w:p w:rsidR="00000000" w:rsidRPr="00C952EA" w:rsidP="00C952EA">
            <w:pPr>
              <w:pStyle w:val="ListBullet"/>
            </w:pPr>
            <w:r w:rsidRPr="00C952EA">
              <w:t>extruded sections</w:t>
            </w:r>
          </w:p>
          <w:p w:rsidR="00000000" w:rsidP="00C952EA">
            <w:pPr>
              <w:pStyle w:val="ListBullet"/>
              <w:rPr>
                <w:lang w:val="en-NZ"/>
              </w:rPr>
            </w:pPr>
            <w:r w:rsidRPr="00C952EA">
              <w:t>mouldings.</w:t>
            </w:r>
          </w:p>
        </w:tc>
      </w:tr>
      <w:tr w:rsidTr="00337682">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BoldandItalics"/>
              </w:rPr>
              <w:t>Add</w:t>
            </w:r>
            <w:r w:rsidRPr="00C952EA">
              <w:t>-</w:t>
            </w:r>
            <w:r w:rsidRPr="00C952EA">
              <w:rPr>
                <w:rStyle w:val="BoldandItalics"/>
              </w:rPr>
              <w:t>ons</w:t>
            </w:r>
            <w:r w:rsidRPr="00C952EA">
              <w:t xml:space="preserve"> may be manufactured from: </w:t>
            </w:r>
          </w:p>
        </w:tc>
        <w:tc>
          <w:tcPr>
            <w:tcW w:w="5041" w:type="dxa"/>
            <w:tcBorders>
              <w:top w:val="nil"/>
              <w:left w:val="nil"/>
              <w:bottom w:val="nil"/>
              <w:right w:val="nil"/>
            </w:tcBorders>
            <w:tcMar>
              <w:top w:w="0" w:type="dxa"/>
              <w:left w:w="62" w:type="dxa"/>
              <w:bottom w:w="0" w:type="dxa"/>
              <w:right w:w="62" w:type="dxa"/>
            </w:tcMar>
          </w:tcPr>
          <w:p w:rsidR="00000000" w:rsidRPr="00C952EA" w:rsidP="00C952EA">
            <w:pPr>
              <w:pStyle w:val="ListBullet"/>
            </w:pPr>
            <w:r w:rsidRPr="00C952EA">
              <w:t>aluminium</w:t>
            </w:r>
          </w:p>
          <w:p w:rsidR="00000000" w:rsidRPr="00C952EA" w:rsidP="00C952EA">
            <w:pPr>
              <w:pStyle w:val="ListBullet"/>
            </w:pPr>
            <w:r w:rsidRPr="00C952EA">
              <w:t>marble</w:t>
            </w:r>
          </w:p>
          <w:p w:rsidR="00000000" w:rsidRPr="00C952EA" w:rsidP="00C952EA">
            <w:pPr>
              <w:pStyle w:val="ListBullet"/>
            </w:pPr>
            <w:r w:rsidRPr="00C952EA">
              <w:t>medium density fibreboard (MDF)</w:t>
            </w:r>
          </w:p>
          <w:p w:rsidR="00000000" w:rsidRPr="00C952EA" w:rsidP="00C952EA">
            <w:pPr>
              <w:pStyle w:val="ListBullet"/>
            </w:pPr>
            <w:r w:rsidRPr="00C952EA">
              <w:t>plaster</w:t>
            </w:r>
          </w:p>
          <w:p w:rsidR="00000000" w:rsidRPr="00C952EA" w:rsidP="00C952EA">
            <w:pPr>
              <w:pStyle w:val="ListBullet"/>
            </w:pPr>
            <w:r w:rsidRPr="00C952EA">
              <w:t>plastics</w:t>
            </w:r>
          </w:p>
          <w:p w:rsidR="00000000" w:rsidRPr="00C952EA" w:rsidP="00C952EA">
            <w:pPr>
              <w:pStyle w:val="ListBullet"/>
            </w:pPr>
            <w:r w:rsidRPr="00C952EA">
              <w:t>reinforced concrete</w:t>
            </w:r>
          </w:p>
          <w:p w:rsidR="00000000" w:rsidRPr="00C952EA" w:rsidP="00C952EA">
            <w:pPr>
              <w:pStyle w:val="ListBullet"/>
            </w:pPr>
            <w:r w:rsidRPr="00C952EA">
              <w:t>stone</w:t>
            </w:r>
          </w:p>
          <w:p w:rsidR="00000000" w:rsidP="00C952EA">
            <w:pPr>
              <w:pStyle w:val="ListBullet"/>
              <w:rPr>
                <w:lang w:val="en-NZ"/>
              </w:rPr>
            </w:pPr>
            <w:r w:rsidRPr="00C952EA">
              <w:t>timber.</w:t>
            </w:r>
          </w:p>
        </w:tc>
      </w:tr>
      <w:tr w:rsidTr="00337682">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BoldandItalics"/>
              </w:rPr>
              <w:t>Fixing</w:t>
            </w:r>
            <w:r w:rsidRPr="00C952EA">
              <w:t xml:space="preserve"> methods include: </w:t>
            </w:r>
          </w:p>
        </w:tc>
        <w:tc>
          <w:tcPr>
            <w:tcW w:w="5041" w:type="dxa"/>
            <w:tcBorders>
              <w:top w:val="nil"/>
              <w:left w:val="nil"/>
              <w:bottom w:val="nil"/>
              <w:right w:val="nil"/>
            </w:tcBorders>
            <w:tcMar>
              <w:top w:w="0" w:type="dxa"/>
              <w:left w:w="62" w:type="dxa"/>
              <w:bottom w:w="0" w:type="dxa"/>
              <w:right w:w="62" w:type="dxa"/>
            </w:tcMar>
          </w:tcPr>
          <w:p w:rsidR="00000000" w:rsidRPr="00C952EA" w:rsidP="00C952EA">
            <w:pPr>
              <w:pStyle w:val="ListBullet"/>
            </w:pPr>
            <w:r w:rsidRPr="00C952EA">
              <w:t>dowel joint</w:t>
            </w:r>
          </w:p>
          <w:p w:rsidR="00000000" w:rsidRPr="00C952EA" w:rsidP="00C952EA">
            <w:pPr>
              <w:pStyle w:val="ListBullet"/>
            </w:pPr>
            <w:r w:rsidRPr="00C952EA">
              <w:t>nailing</w:t>
            </w:r>
          </w:p>
          <w:p w:rsidR="00000000" w:rsidRPr="00C952EA" w:rsidP="00C952EA">
            <w:pPr>
              <w:pStyle w:val="ListBullet"/>
            </w:pPr>
            <w:r w:rsidRPr="00C952EA">
              <w:t>screwing</w:t>
            </w:r>
          </w:p>
          <w:p w:rsidR="00000000" w:rsidRPr="00C952EA" w:rsidP="00C952EA">
            <w:pPr>
              <w:pStyle w:val="ListBullet"/>
            </w:pPr>
            <w:r w:rsidRPr="00C952EA">
              <w:t>use of adhesives.</w:t>
            </w:r>
          </w:p>
        </w:tc>
      </w:tr>
    </w:tbl>
    <w:p w:rsidR="00337682" w:rsidP="00C952EA">
      <w:pPr>
        <w:pStyle w:val="BodyText"/>
      </w:pPr>
    </w:p>
    <w:p w:rsidR="00337682" w:rsidP="00C952EA">
      <w:pPr>
        <w:pStyle w:val="BodyText"/>
      </w:pPr>
    </w:p>
    <w:p w:rsidR="00000000" w:rsidRPr="00C952EA" w:rsidP="00C952EA">
      <w:pPr>
        <w:pStyle w:val="Heading1"/>
      </w:pPr>
      <w:bookmarkStart w:id="12" w:name="O_198541"/>
      <w:bookmarkEnd w:id="12"/>
      <w:r w:rsidRPr="00C952EA">
        <w:t>Unit Sector(s)</w:t>
      </w:r>
    </w:p>
    <w:tbl>
      <w:tblPr>
        <w:tblW w:w="9368" w:type="dxa"/>
        <w:tblLayout w:type="fixed"/>
        <w:tblCellMar>
          <w:left w:w="62" w:type="dxa"/>
          <w:right w:w="62" w:type="dxa"/>
        </w:tblCellMar>
        <w:tblLook w:val="0000"/>
      </w:tblPr>
      <w:tblGrid>
        <w:gridCol w:w="2748"/>
        <w:gridCol w:w="6620"/>
      </w:tblGrid>
      <w:tr w:rsidTr="00337682">
        <w:tblPrEx>
          <w:tblW w:w="936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SpecialBold"/>
              </w:rPr>
              <w:t>Unit sector</w:t>
            </w:r>
          </w:p>
        </w:tc>
        <w:tc>
          <w:tcPr>
            <w:tcW w:w="6620" w:type="dxa"/>
            <w:tcBorders>
              <w:top w:val="nil"/>
              <w:left w:val="nil"/>
              <w:bottom w:val="nil"/>
              <w:right w:val="nil"/>
            </w:tcBorders>
            <w:tcMar>
              <w:top w:w="0" w:type="dxa"/>
              <w:left w:w="62" w:type="dxa"/>
              <w:bottom w:w="0" w:type="dxa"/>
              <w:right w:w="62" w:type="dxa"/>
            </w:tcMar>
          </w:tcPr>
          <w:p w:rsidR="00000000" w:rsidRPr="00C952EA" w:rsidP="00C952EA">
            <w:pPr>
              <w:pStyle w:val="BodyText"/>
            </w:pPr>
            <w:r w:rsidRPr="00C952EA">
              <w:t>Construction</w:t>
            </w:r>
          </w:p>
        </w:tc>
      </w:tr>
    </w:tbl>
    <w:p w:rsidR="00337682" w:rsidP="00C952EA">
      <w:pPr>
        <w:pStyle w:val="BodyText"/>
      </w:pPr>
    </w:p>
    <w:p w:rsidR="00337682" w:rsidP="00C952EA">
      <w:pPr>
        <w:pStyle w:val="BodyText"/>
      </w:pPr>
    </w:p>
    <w:p w:rsidR="00000000" w:rsidRPr="00C952EA" w:rsidP="00C952EA">
      <w:pPr>
        <w:pStyle w:val="Heading1"/>
      </w:pPr>
      <w:bookmarkStart w:id="13" w:name="O_198540"/>
      <w:bookmarkEnd w:id="13"/>
      <w:r w:rsidRPr="00C952EA">
        <w:t>Functional area</w:t>
      </w:r>
    </w:p>
    <w:tbl>
      <w:tblPr>
        <w:tblW w:w="9368" w:type="dxa"/>
        <w:tblLayout w:type="fixed"/>
        <w:tblCellMar>
          <w:left w:w="62" w:type="dxa"/>
          <w:right w:w="62" w:type="dxa"/>
        </w:tblCellMar>
        <w:tblLook w:val="0000"/>
      </w:tblPr>
      <w:tblGrid>
        <w:gridCol w:w="2748"/>
        <w:gridCol w:w="6620"/>
      </w:tblGrid>
      <w:tr w:rsidTr="00337682">
        <w:tblPrEx>
          <w:tblW w:w="936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C952EA">
            <w:pPr>
              <w:pStyle w:val="BodyText"/>
              <w:rPr>
                <w:lang w:val="en-NZ"/>
              </w:rPr>
            </w:pPr>
            <w:r w:rsidRPr="00C952EA">
              <w:rPr>
                <w:rStyle w:val="SpecialBold"/>
              </w:rPr>
              <w:t>Functional area</w:t>
            </w:r>
          </w:p>
        </w:tc>
        <w:tc>
          <w:tcPr>
            <w:tcW w:w="6620" w:type="dxa"/>
            <w:tcBorders>
              <w:top w:val="nil"/>
              <w:left w:val="nil"/>
              <w:bottom w:val="nil"/>
              <w:right w:val="nil"/>
            </w:tcBorders>
            <w:tcMar>
              <w:top w:w="0" w:type="dxa"/>
              <w:left w:w="62" w:type="dxa"/>
              <w:bottom w:w="0" w:type="dxa"/>
              <w:right w:w="62" w:type="dxa"/>
            </w:tcMar>
          </w:tcPr>
          <w:p w:rsidR="00000000" w:rsidRPr="00C952EA" w:rsidP="00C952EA">
            <w:pPr>
              <w:pStyle w:val="BodyText"/>
            </w:pPr>
          </w:p>
        </w:tc>
      </w:tr>
    </w:tbl>
    <w:p w:rsidR="00337682" w:rsidP="00C952EA">
      <w:pPr>
        <w:pStyle w:val="BodyText"/>
      </w:pPr>
    </w:p>
    <w:p w:rsidR="00337682" w:rsidP="00C952EA">
      <w:pPr>
        <w:pStyle w:val="BodyText"/>
      </w:pPr>
    </w:p>
    <w:p w:rsidR="00000000" w:rsidRPr="00C952EA" w:rsidP="00C952EA"/>
    <w:sectPr w:rsidSect="00C952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2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7682" w:rsidP="003376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2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82" w:rsidP="00C952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37682" w:rsidP="00C952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37682" w:rsidP="00C952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2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7682" w:rsidP="003376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2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82" w:rsidP="00C952EA">
    <w:pPr>
      <w:pStyle w:val="Header"/>
      <w:framePr w:wrap="around"/>
    </w:pPr>
    <w:r>
      <w:fldChar w:fldCharType="begin"/>
    </w:r>
    <w:r>
      <w:instrText xml:space="preserve"> TITLE   \* MERGEFORMAT </w:instrText>
    </w:r>
    <w:r>
      <w:fldChar w:fldCharType="separate"/>
    </w:r>
    <w:r>
      <w:t>CPCCSH3005A Apply and trim decorative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7682" w:rsidP="00C952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38A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2289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869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2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52EA"/>
    <w:pPr>
      <w:spacing w:before="360" w:after="60"/>
      <w:outlineLvl w:val="0"/>
    </w:pPr>
    <w:rPr>
      <w:sz w:val="32"/>
    </w:rPr>
  </w:style>
  <w:style w:type="paragraph" w:styleId="Heading2">
    <w:name w:val="heading 2"/>
    <w:basedOn w:val="HeadingBase"/>
    <w:next w:val="BodyText"/>
    <w:link w:val="Heading2Char"/>
    <w:qFormat/>
    <w:rsid w:val="00C952EA"/>
    <w:pPr>
      <w:keepLines/>
      <w:spacing w:before="240" w:after="120"/>
      <w:outlineLvl w:val="1"/>
    </w:pPr>
    <w:rPr>
      <w:sz w:val="28"/>
      <w:szCs w:val="40"/>
    </w:rPr>
  </w:style>
  <w:style w:type="paragraph" w:styleId="Heading3">
    <w:name w:val="heading 3"/>
    <w:basedOn w:val="HeadingBase"/>
    <w:next w:val="BodyText"/>
    <w:link w:val="Heading3Char"/>
    <w:qFormat/>
    <w:rsid w:val="00C952EA"/>
    <w:pPr>
      <w:spacing w:before="180" w:after="120"/>
      <w:outlineLvl w:val="2"/>
    </w:pPr>
    <w:rPr>
      <w:spacing w:val="-10"/>
      <w:kern w:val="32"/>
    </w:rPr>
  </w:style>
  <w:style w:type="paragraph" w:styleId="Heading4">
    <w:name w:val="heading 4"/>
    <w:basedOn w:val="HeadingBase"/>
    <w:next w:val="BodyText"/>
    <w:link w:val="Heading4Char"/>
    <w:qFormat/>
    <w:rsid w:val="00C952EA"/>
    <w:pPr>
      <w:spacing w:before="160" w:after="120"/>
      <w:outlineLvl w:val="3"/>
    </w:pPr>
    <w:rPr>
      <w:sz w:val="22"/>
    </w:rPr>
  </w:style>
  <w:style w:type="paragraph" w:styleId="Heading5">
    <w:name w:val="heading 5"/>
    <w:basedOn w:val="HeadingBase"/>
    <w:next w:val="Normal"/>
    <w:link w:val="Heading5Char"/>
    <w:qFormat/>
    <w:rsid w:val="00C952EA"/>
    <w:pPr>
      <w:spacing w:before="80"/>
      <w:outlineLvl w:val="4"/>
    </w:pPr>
    <w:rPr>
      <w:color w:val="918585"/>
      <w:sz w:val="20"/>
    </w:rPr>
  </w:style>
  <w:style w:type="paragraph" w:styleId="Heading6">
    <w:name w:val="heading 6"/>
    <w:basedOn w:val="HeadingBase"/>
    <w:next w:val="Normal"/>
    <w:link w:val="Heading6Char"/>
    <w:qFormat/>
    <w:rsid w:val="00C952EA"/>
    <w:pPr>
      <w:spacing w:before="60"/>
      <w:outlineLvl w:val="5"/>
    </w:pPr>
    <w:rPr>
      <w:color w:val="918585"/>
      <w:sz w:val="20"/>
    </w:rPr>
  </w:style>
  <w:style w:type="paragraph" w:styleId="Heading7">
    <w:name w:val="heading 7"/>
    <w:basedOn w:val="Normal"/>
    <w:next w:val="Normal"/>
    <w:link w:val="Heading7Char"/>
    <w:qFormat/>
    <w:rsid w:val="00C952EA"/>
    <w:pPr>
      <w:ind w:left="720"/>
      <w:outlineLvl w:val="6"/>
    </w:pPr>
    <w:rPr>
      <w:i/>
    </w:rPr>
  </w:style>
  <w:style w:type="paragraph" w:styleId="Heading8">
    <w:name w:val="heading 8"/>
    <w:basedOn w:val="Normal"/>
    <w:next w:val="Normal"/>
    <w:link w:val="Heading8Char"/>
    <w:qFormat/>
    <w:rsid w:val="00C952EA"/>
    <w:pPr>
      <w:ind w:left="720"/>
      <w:outlineLvl w:val="7"/>
    </w:pPr>
    <w:rPr>
      <w:i/>
    </w:rPr>
  </w:style>
  <w:style w:type="paragraph" w:styleId="Heading9">
    <w:name w:val="heading 9"/>
    <w:basedOn w:val="Normal"/>
    <w:next w:val="Normal"/>
    <w:link w:val="Heading9Char"/>
    <w:qFormat/>
    <w:rsid w:val="00C952EA"/>
    <w:pPr>
      <w:ind w:left="720"/>
      <w:outlineLvl w:val="8"/>
    </w:pPr>
    <w:rPr>
      <w:i/>
    </w:rPr>
  </w:style>
  <w:style w:type="character" w:default="1" w:styleId="DefaultParagraphFont">
    <w:name w:val="Default Paragraph Font"/>
    <w:uiPriority w:val="1"/>
    <w:unhideWhenUsed/>
    <w:rsid w:val="00C952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2EA"/>
  </w:style>
  <w:style w:type="character" w:customStyle="1" w:styleId="Heading1Char">
    <w:name w:val="Heading 1 Char"/>
    <w:basedOn w:val="DefaultParagraphFont"/>
    <w:link w:val="Heading1"/>
    <w:rsid w:val="00C952EA"/>
    <w:rPr>
      <w:rFonts w:ascii="Times New Roman" w:eastAsia="Times New Roman" w:hAnsi="Times New Roman" w:cs="Times New Roman"/>
      <w:b/>
      <w:sz w:val="32"/>
      <w:szCs w:val="20"/>
      <w:lang w:eastAsia="en-US"/>
    </w:rPr>
  </w:style>
  <w:style w:type="paragraph" w:styleId="BodyText">
    <w:name w:val="Body Text"/>
    <w:basedOn w:val="Normal"/>
    <w:link w:val="BodyTextChar"/>
    <w:rsid w:val="00C952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2EA"/>
    <w:rPr>
      <w:rFonts w:ascii="Times New Roman" w:eastAsia="Times New Roman" w:hAnsi="Times New Roman" w:cs="Times New Roman"/>
      <w:sz w:val="24"/>
      <w:lang w:val="en-US" w:eastAsia="en-US"/>
    </w:rPr>
  </w:style>
  <w:style w:type="paragraph" w:styleId="Footer">
    <w:name w:val="footer"/>
    <w:basedOn w:val="Normal"/>
    <w:link w:val="FooterChar"/>
    <w:rsid w:val="00C952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2EA"/>
    <w:rPr>
      <w:rFonts w:ascii="Times New Roman" w:eastAsia="Times New Roman" w:hAnsi="Times New Roman" w:cs="Times New Roman"/>
      <w:sz w:val="16"/>
      <w:lang w:val="en-US" w:eastAsia="en-US"/>
    </w:rPr>
  </w:style>
  <w:style w:type="paragraph" w:styleId="List">
    <w:name w:val="List"/>
    <w:basedOn w:val="BodyText"/>
    <w:next w:val="BodyText"/>
    <w:rsid w:val="00C952EA"/>
    <w:pPr>
      <w:tabs>
        <w:tab w:val="left" w:pos="340"/>
      </w:tabs>
      <w:spacing w:before="60" w:after="60"/>
      <w:ind w:left="340" w:hanging="340"/>
    </w:pPr>
  </w:style>
  <w:style w:type="paragraph" w:styleId="ListBullet">
    <w:name w:val="List Bullet"/>
    <w:basedOn w:val="List"/>
    <w:rsid w:val="00C952EA"/>
    <w:pPr>
      <w:numPr>
        <w:numId w:val="13"/>
      </w:numPr>
      <w:tabs>
        <w:tab w:val="clear" w:pos="340"/>
      </w:tabs>
      <w:spacing w:before="40" w:after="40"/>
    </w:pPr>
  </w:style>
  <w:style w:type="character" w:customStyle="1" w:styleId="SpecialBold">
    <w:name w:val="Special Bold"/>
    <w:basedOn w:val="DefaultParagraphFont"/>
    <w:rsid w:val="00C952EA"/>
    <w:rPr>
      <w:b/>
      <w:spacing w:val="0"/>
    </w:rPr>
  </w:style>
  <w:style w:type="paragraph" w:styleId="ListBullet2">
    <w:name w:val="List Bullet 2"/>
    <w:basedOn w:val="List2"/>
    <w:rsid w:val="00C952EA"/>
    <w:pPr>
      <w:numPr>
        <w:numId w:val="14"/>
      </w:numPr>
      <w:tabs>
        <w:tab w:val="clear" w:pos="680"/>
      </w:tabs>
    </w:pPr>
  </w:style>
  <w:style w:type="paragraph" w:styleId="Header">
    <w:name w:val="header"/>
    <w:basedOn w:val="Normal"/>
    <w:link w:val="HeaderChar"/>
    <w:rsid w:val="00C952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2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52EA"/>
    <w:pPr>
      <w:spacing w:before="240" w:after="120"/>
      <w:outlineLvl w:val="0"/>
    </w:pPr>
    <w:rPr>
      <w:rFonts w:ascii="Times New Roman" w:hAnsi="Times New Roman"/>
      <w:b/>
      <w:sz w:val="28"/>
    </w:rPr>
  </w:style>
  <w:style w:type="paragraph" w:customStyle="1" w:styleId="AllowPageBreak">
    <w:name w:val="AllowPageBreak"/>
    <w:rsid w:val="00C952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52EA"/>
    <w:pPr>
      <w:tabs>
        <w:tab w:val="left" w:pos="680"/>
      </w:tabs>
      <w:spacing w:before="60" w:after="60"/>
      <w:ind w:left="680" w:hanging="340"/>
    </w:pPr>
  </w:style>
  <w:style w:type="character" w:customStyle="1" w:styleId="BoldandItalics">
    <w:name w:val="Bold and Italics"/>
    <w:qFormat/>
    <w:rsid w:val="00C952EA"/>
    <w:rPr>
      <w:b/>
      <w:i/>
      <w:u w:val="none"/>
    </w:rPr>
  </w:style>
  <w:style w:type="character" w:customStyle="1" w:styleId="Heading2Char">
    <w:name w:val="Heading 2 Char"/>
    <w:basedOn w:val="DefaultParagraphFont"/>
    <w:link w:val="Heading2"/>
    <w:rsid w:val="00C952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2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2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2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2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2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52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52EA"/>
    <w:rPr>
      <w:rFonts w:ascii="Courier New" w:eastAsia="Times New Roman" w:hAnsi="Courier New" w:cs="Times New Roman"/>
      <w:i/>
      <w:szCs w:val="20"/>
      <w:lang w:val="en-US" w:eastAsia="en-US"/>
    </w:rPr>
  </w:style>
  <w:style w:type="paragraph" w:customStyle="1" w:styleId="HeadingBase">
    <w:name w:val="Heading Base"/>
    <w:rsid w:val="00C952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2EA"/>
    <w:pPr>
      <w:tabs>
        <w:tab w:val="right" w:leader="dot" w:pos="9072"/>
      </w:tabs>
      <w:ind w:left="567"/>
    </w:pPr>
    <w:rPr>
      <w:szCs w:val="22"/>
    </w:rPr>
  </w:style>
  <w:style w:type="paragraph" w:customStyle="1" w:styleId="TOCBase">
    <w:name w:val="TOC Base"/>
    <w:rsid w:val="00C952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2EA"/>
    <w:pPr>
      <w:tabs>
        <w:tab w:val="right" w:leader="dot" w:pos="9072"/>
      </w:tabs>
      <w:spacing w:before="40" w:after="40"/>
      <w:ind w:left="284"/>
    </w:pPr>
    <w:rPr>
      <w:rFonts w:ascii="Times New Roman" w:hAnsi="Times New Roman"/>
    </w:rPr>
  </w:style>
  <w:style w:type="paragraph" w:styleId="TOC1">
    <w:name w:val="toc 1"/>
    <w:basedOn w:val="TOCBase"/>
    <w:next w:val="Normal"/>
    <w:rsid w:val="00C952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52EA"/>
    <w:pPr>
      <w:spacing w:before="5040"/>
      <w:jc w:val="center"/>
    </w:pPr>
    <w:rPr>
      <w:sz w:val="48"/>
      <w:szCs w:val="72"/>
      <w:lang w:val="en-US"/>
    </w:rPr>
  </w:style>
  <w:style w:type="character" w:customStyle="1" w:styleId="TitleChar">
    <w:name w:val="Title Char"/>
    <w:basedOn w:val="DefaultParagraphFont"/>
    <w:link w:val="Title"/>
    <w:rsid w:val="00C952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2EA"/>
    <w:pPr>
      <w:tabs>
        <w:tab w:val="left" w:pos="3600"/>
        <w:tab w:val="left" w:pos="3958"/>
      </w:tabs>
    </w:pPr>
  </w:style>
  <w:style w:type="paragraph" w:customStyle="1" w:styleId="Note">
    <w:name w:val="Note"/>
    <w:basedOn w:val="BodyText"/>
    <w:rsid w:val="00C952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2EA"/>
    <w:pPr>
      <w:framePr w:wrap="auto" w:hAnchor="text" w:y="6049"/>
    </w:pPr>
    <w:rPr>
      <w:color w:val="000000"/>
      <w:sz w:val="40"/>
    </w:rPr>
  </w:style>
  <w:style w:type="paragraph" w:customStyle="1" w:styleId="TOCTitle">
    <w:name w:val="TOCTitle"/>
    <w:basedOn w:val="Heading1"/>
    <w:rsid w:val="00C952EA"/>
    <w:pPr>
      <w:spacing w:after="240"/>
      <w:jc w:val="center"/>
      <w:outlineLvl w:val="9"/>
    </w:pPr>
    <w:rPr>
      <w:caps/>
    </w:rPr>
  </w:style>
  <w:style w:type="paragraph" w:customStyle="1" w:styleId="Version">
    <w:name w:val="Version"/>
    <w:rsid w:val="00C952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2EA"/>
    <w:pPr>
      <w:keepNext w:val="0"/>
      <w:tabs>
        <w:tab w:val="right" w:pos="4176"/>
      </w:tabs>
      <w:ind w:left="198" w:hanging="198"/>
    </w:pPr>
    <w:rPr>
      <w:rFonts w:ascii="Garamond" w:hAnsi="Garamond"/>
    </w:rPr>
  </w:style>
  <w:style w:type="paragraph" w:styleId="IndexHeading">
    <w:name w:val="index heading"/>
    <w:basedOn w:val="Normal"/>
    <w:next w:val="Index1"/>
    <w:semiHidden/>
    <w:rsid w:val="00C952EA"/>
    <w:pPr>
      <w:spacing w:before="120" w:after="120"/>
    </w:pPr>
    <w:rPr>
      <w:rFonts w:ascii="Arial" w:hAnsi="Arial"/>
      <w:b/>
      <w:color w:val="918585"/>
      <w:sz w:val="24"/>
    </w:rPr>
  </w:style>
  <w:style w:type="paragraph" w:customStyle="1" w:styleId="Chapter">
    <w:name w:val="Chapter"/>
    <w:basedOn w:val="Normal"/>
    <w:rsid w:val="00C952EA"/>
    <w:pPr>
      <w:spacing w:before="240"/>
    </w:pPr>
    <w:rPr>
      <w:rFonts w:ascii="Times New Roman" w:hAnsi="Times New Roman"/>
      <w:smallCaps/>
      <w:spacing w:val="80"/>
      <w:sz w:val="28"/>
    </w:rPr>
  </w:style>
  <w:style w:type="paragraph" w:customStyle="1" w:styleId="InChapter">
    <w:name w:val="InChapter"/>
    <w:basedOn w:val="Heading3"/>
    <w:rsid w:val="00C952EA"/>
    <w:pPr>
      <w:spacing w:after="240"/>
      <w:outlineLvl w:val="9"/>
    </w:pPr>
    <w:rPr>
      <w:noProof/>
    </w:rPr>
  </w:style>
  <w:style w:type="paragraph" w:styleId="Index2">
    <w:name w:val="index 2"/>
    <w:basedOn w:val="Normal"/>
    <w:next w:val="Normal"/>
    <w:semiHidden/>
    <w:rsid w:val="00C952EA"/>
    <w:pPr>
      <w:tabs>
        <w:tab w:val="right" w:pos="4176"/>
      </w:tabs>
      <w:ind w:left="568" w:hanging="284"/>
    </w:pPr>
    <w:rPr>
      <w:rFonts w:ascii="Garamond" w:hAnsi="Garamond"/>
    </w:rPr>
  </w:style>
  <w:style w:type="paragraph" w:customStyle="1" w:styleId="Byline">
    <w:name w:val="Byline"/>
    <w:rsid w:val="00C952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2EA"/>
    <w:pPr>
      <w:tabs>
        <w:tab w:val="clear" w:pos="3600"/>
        <w:tab w:val="clear" w:pos="3958"/>
      </w:tabs>
      <w:jc w:val="right"/>
    </w:pPr>
  </w:style>
  <w:style w:type="character" w:styleId="Emphasis">
    <w:name w:val="Emphasis"/>
    <w:basedOn w:val="DefaultParagraphFont"/>
    <w:qFormat/>
    <w:rsid w:val="00C952EA"/>
    <w:rPr>
      <w:i/>
    </w:rPr>
  </w:style>
  <w:style w:type="paragraph" w:styleId="Caption">
    <w:name w:val="caption"/>
    <w:basedOn w:val="BodyText"/>
    <w:next w:val="Normal"/>
    <w:qFormat/>
    <w:rsid w:val="00C952EA"/>
    <w:pPr>
      <w:framePr w:w="2268" w:hSpace="181" w:vSpace="181" w:wrap="around" w:vAnchor="text" w:hAnchor="page" w:x="1135" w:y="285" w:anchorLock="1"/>
    </w:pPr>
    <w:rPr>
      <w:i/>
    </w:rPr>
  </w:style>
  <w:style w:type="paragraph" w:customStyle="1" w:styleId="MiniTOCTitle">
    <w:name w:val="MiniTOCTitle"/>
    <w:basedOn w:val="Heading4"/>
    <w:rsid w:val="00C952EA"/>
    <w:pPr>
      <w:spacing w:before="240"/>
      <w:outlineLvl w:val="9"/>
    </w:pPr>
    <w:rPr>
      <w:noProof/>
      <w:sz w:val="24"/>
    </w:rPr>
  </w:style>
  <w:style w:type="paragraph" w:customStyle="1" w:styleId="MiniTOCItem">
    <w:name w:val="MiniTOCItem"/>
    <w:basedOn w:val="ListBullet"/>
    <w:rsid w:val="00C952EA"/>
    <w:pPr>
      <w:numPr>
        <w:numId w:val="0"/>
      </w:numPr>
      <w:tabs>
        <w:tab w:val="right" w:leader="dot" w:pos="6521"/>
      </w:tabs>
      <w:spacing w:before="0" w:after="0"/>
    </w:pPr>
  </w:style>
  <w:style w:type="paragraph" w:customStyle="1" w:styleId="TOFTitle">
    <w:name w:val="TOFTitle"/>
    <w:basedOn w:val="TOCTitle"/>
    <w:rsid w:val="00C952EA"/>
  </w:style>
  <w:style w:type="paragraph" w:styleId="TableofFigures">
    <w:name w:val="table of figures"/>
    <w:basedOn w:val="Normal"/>
    <w:next w:val="Normal"/>
    <w:semiHidden/>
    <w:rsid w:val="00C952EA"/>
    <w:pPr>
      <w:tabs>
        <w:tab w:val="right" w:leader="dot" w:pos="9072"/>
      </w:tabs>
      <w:ind w:left="970" w:hanging="403"/>
    </w:pPr>
    <w:rPr>
      <w:rFonts w:ascii="Times New Roman" w:hAnsi="Times New Roman"/>
      <w:b/>
    </w:rPr>
  </w:style>
  <w:style w:type="paragraph" w:styleId="ListNumber">
    <w:name w:val="List Number"/>
    <w:basedOn w:val="List"/>
    <w:rsid w:val="00C952EA"/>
    <w:pPr>
      <w:numPr>
        <w:numId w:val="11"/>
      </w:numPr>
    </w:pPr>
  </w:style>
  <w:style w:type="character" w:customStyle="1" w:styleId="WingdingSymbols">
    <w:name w:val="Wingding Symbols"/>
    <w:rsid w:val="00C952EA"/>
    <w:rPr>
      <w:rFonts w:ascii="Wingdings" w:hAnsi="Wingdings"/>
    </w:rPr>
  </w:style>
  <w:style w:type="paragraph" w:customStyle="1" w:styleId="TableHeading">
    <w:name w:val="Table Heading"/>
    <w:basedOn w:val="HeadingBase"/>
    <w:rsid w:val="00C952EA"/>
    <w:pPr>
      <w:keepLines/>
      <w:pBdr>
        <w:bottom w:val="single" w:sz="6" w:space="1" w:color="918585"/>
      </w:pBdr>
      <w:spacing w:before="240"/>
    </w:pPr>
  </w:style>
  <w:style w:type="character" w:customStyle="1" w:styleId="HotSpot">
    <w:name w:val="HotSpot"/>
    <w:rsid w:val="00C952EA"/>
    <w:rPr>
      <w:color w:val="0033CC"/>
      <w:u w:val="none"/>
    </w:rPr>
  </w:style>
  <w:style w:type="paragraph" w:customStyle="1" w:styleId="BodyTextRight">
    <w:name w:val="Body Text Right"/>
    <w:basedOn w:val="BodyText"/>
    <w:rsid w:val="00C952EA"/>
    <w:pPr>
      <w:spacing w:before="0" w:after="0"/>
      <w:jc w:val="right"/>
    </w:pPr>
  </w:style>
  <w:style w:type="paragraph" w:styleId="Index3">
    <w:name w:val="index 3"/>
    <w:basedOn w:val="ListNumber2"/>
    <w:next w:val="Normal"/>
    <w:semiHidden/>
    <w:rsid w:val="00C952EA"/>
    <w:pPr>
      <w:numPr>
        <w:numId w:val="0"/>
      </w:numPr>
      <w:tabs>
        <w:tab w:val="right" w:leader="dot" w:pos="4176"/>
      </w:tabs>
    </w:pPr>
  </w:style>
  <w:style w:type="paragraph" w:styleId="ListNumber2">
    <w:name w:val="List Number 2"/>
    <w:basedOn w:val="List2"/>
    <w:rsid w:val="00C952EA"/>
    <w:pPr>
      <w:numPr>
        <w:numId w:val="10"/>
      </w:numPr>
      <w:tabs>
        <w:tab w:val="clear" w:pos="1060"/>
      </w:tabs>
    </w:pPr>
  </w:style>
  <w:style w:type="paragraph" w:customStyle="1" w:styleId="MarginNote">
    <w:name w:val="Margin Note"/>
    <w:basedOn w:val="BodyText"/>
    <w:rsid w:val="00C952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2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2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52EA"/>
    <w:rPr>
      <w:sz w:val="32"/>
    </w:rPr>
  </w:style>
  <w:style w:type="paragraph" w:customStyle="1" w:styleId="HeadingProcedure">
    <w:name w:val="Heading Procedure"/>
    <w:basedOn w:val="HeadingBase"/>
    <w:next w:val="Normal"/>
    <w:rsid w:val="00C952EA"/>
    <w:pPr>
      <w:tabs>
        <w:tab w:val="left" w:pos="0"/>
      </w:tabs>
      <w:spacing w:before="120" w:after="60"/>
    </w:pPr>
    <w:rPr>
      <w:i/>
      <w:color w:val="918585"/>
      <w:sz w:val="22"/>
    </w:rPr>
  </w:style>
  <w:style w:type="paragraph" w:customStyle="1" w:styleId="TableBodyText">
    <w:name w:val="Table Body Text"/>
    <w:basedOn w:val="BodyText"/>
    <w:rsid w:val="00C952EA"/>
    <w:pPr>
      <w:spacing w:before="60" w:after="60"/>
    </w:pPr>
  </w:style>
  <w:style w:type="paragraph" w:styleId="ListContinue">
    <w:name w:val="List Continue"/>
    <w:basedOn w:val="List"/>
    <w:rsid w:val="00C952EA"/>
    <w:pPr>
      <w:ind w:firstLine="0"/>
    </w:pPr>
  </w:style>
  <w:style w:type="paragraph" w:customStyle="1" w:styleId="ListNote">
    <w:name w:val="List Note"/>
    <w:basedOn w:val="List"/>
    <w:rsid w:val="00C952EA"/>
    <w:pPr>
      <w:pBdr>
        <w:top w:val="single" w:sz="6" w:space="2" w:color="918585"/>
        <w:bottom w:val="single" w:sz="6" w:space="2" w:color="918585"/>
      </w:pBdr>
      <w:tabs>
        <w:tab w:val="left" w:pos="1021"/>
      </w:tabs>
      <w:ind w:firstLine="0"/>
    </w:pPr>
  </w:style>
  <w:style w:type="paragraph" w:customStyle="1" w:styleId="Warning">
    <w:name w:val="Warning"/>
    <w:basedOn w:val="BodyText"/>
    <w:rsid w:val="00C952EA"/>
    <w:pPr>
      <w:shd w:val="clear" w:color="auto" w:fill="D9D9D9"/>
      <w:tabs>
        <w:tab w:val="left" w:pos="992"/>
      </w:tabs>
      <w:ind w:left="119" w:right="119"/>
    </w:pPr>
    <w:rPr>
      <w:sz w:val="20"/>
    </w:rPr>
  </w:style>
  <w:style w:type="paragraph" w:customStyle="1" w:styleId="MarginIcons">
    <w:name w:val="Margin Icons"/>
    <w:basedOn w:val="BodyText"/>
    <w:rsid w:val="00C952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2EA"/>
    <w:rPr>
      <w:rFonts w:ascii="Courier New" w:hAnsi="Courier New"/>
    </w:rPr>
  </w:style>
  <w:style w:type="paragraph" w:customStyle="1" w:styleId="NoteBullet">
    <w:name w:val="Note Bullet"/>
    <w:basedOn w:val="Note"/>
    <w:rsid w:val="00C952EA"/>
    <w:pPr>
      <w:tabs>
        <w:tab w:val="clear" w:pos="680"/>
      </w:tabs>
      <w:spacing w:before="60" w:after="60"/>
    </w:pPr>
  </w:style>
  <w:style w:type="paragraph" w:customStyle="1" w:styleId="SubHeading2">
    <w:name w:val="SubHeading2"/>
    <w:basedOn w:val="HeadingBase"/>
    <w:rsid w:val="00C952EA"/>
    <w:pPr>
      <w:spacing w:before="240" w:after="60"/>
    </w:pPr>
    <w:rPr>
      <w:sz w:val="20"/>
    </w:rPr>
  </w:style>
  <w:style w:type="paragraph" w:customStyle="1" w:styleId="SubHeading1">
    <w:name w:val="SubHeading1"/>
    <w:basedOn w:val="HeadingBase"/>
    <w:rsid w:val="00C952EA"/>
    <w:pPr>
      <w:spacing w:before="240" w:after="60"/>
    </w:pPr>
    <w:rPr>
      <w:color w:val="918585"/>
      <w:sz w:val="22"/>
    </w:rPr>
  </w:style>
  <w:style w:type="paragraph" w:customStyle="1" w:styleId="SideHeading">
    <w:name w:val="Side Heading"/>
    <w:basedOn w:val="HeadingBase"/>
    <w:rsid w:val="00C952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2EA"/>
    <w:pPr>
      <w:numPr>
        <w:numId w:val="12"/>
      </w:numPr>
    </w:pPr>
  </w:style>
  <w:style w:type="paragraph" w:styleId="PlainText">
    <w:name w:val="Plain Text"/>
    <w:basedOn w:val="Normal"/>
    <w:link w:val="PlainTextChar"/>
    <w:rsid w:val="00C952EA"/>
    <w:rPr>
      <w:sz w:val="20"/>
    </w:rPr>
  </w:style>
  <w:style w:type="character" w:customStyle="1" w:styleId="PlainTextChar">
    <w:name w:val="Plain Text Char"/>
    <w:basedOn w:val="DefaultParagraphFont"/>
    <w:link w:val="PlainText"/>
    <w:rsid w:val="00C952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52EA"/>
    <w:rPr>
      <w:b/>
      <w:smallCaps/>
    </w:rPr>
  </w:style>
  <w:style w:type="paragraph" w:customStyle="1" w:styleId="TableListNumber">
    <w:name w:val="Table List Number"/>
    <w:basedOn w:val="ListNumber"/>
    <w:rsid w:val="00C952EA"/>
    <w:pPr>
      <w:numPr>
        <w:numId w:val="0"/>
      </w:numPr>
    </w:pPr>
  </w:style>
  <w:style w:type="paragraph" w:styleId="TOC4">
    <w:name w:val="toc 4"/>
    <w:basedOn w:val="TOCBase"/>
    <w:next w:val="Normal"/>
    <w:semiHidden/>
    <w:rsid w:val="00C952EA"/>
    <w:pPr>
      <w:tabs>
        <w:tab w:val="right" w:leader="dot" w:pos="9071"/>
      </w:tabs>
      <w:ind w:left="1701"/>
    </w:pPr>
  </w:style>
  <w:style w:type="paragraph" w:customStyle="1" w:styleId="ListAlpha">
    <w:name w:val="List Alpha"/>
    <w:basedOn w:val="List"/>
    <w:rsid w:val="00C952EA"/>
    <w:pPr>
      <w:numPr>
        <w:numId w:val="9"/>
      </w:numPr>
    </w:pPr>
  </w:style>
  <w:style w:type="paragraph" w:customStyle="1" w:styleId="ListAlpha2">
    <w:name w:val="List Alpha 2"/>
    <w:basedOn w:val="List2"/>
    <w:rsid w:val="00C952EA"/>
    <w:pPr>
      <w:numPr>
        <w:numId w:val="8"/>
      </w:numPr>
    </w:pPr>
  </w:style>
  <w:style w:type="paragraph" w:styleId="List3">
    <w:name w:val="List 3"/>
    <w:basedOn w:val="BodyText"/>
    <w:rsid w:val="00C952EA"/>
    <w:pPr>
      <w:tabs>
        <w:tab w:val="left" w:pos="1021"/>
      </w:tabs>
      <w:spacing w:before="60" w:after="60"/>
      <w:ind w:left="1020" w:hanging="340"/>
    </w:pPr>
  </w:style>
  <w:style w:type="paragraph" w:styleId="List4">
    <w:name w:val="List 4"/>
    <w:basedOn w:val="BodyText"/>
    <w:rsid w:val="00C952EA"/>
    <w:pPr>
      <w:tabs>
        <w:tab w:val="left" w:pos="1361"/>
      </w:tabs>
      <w:spacing w:before="60" w:after="60"/>
      <w:ind w:left="1361" w:hanging="340"/>
    </w:pPr>
  </w:style>
  <w:style w:type="paragraph" w:styleId="List5">
    <w:name w:val="List 5"/>
    <w:basedOn w:val="BodyText"/>
    <w:rsid w:val="00C952EA"/>
    <w:pPr>
      <w:tabs>
        <w:tab w:val="left" w:pos="1701"/>
      </w:tabs>
      <w:spacing w:before="60" w:after="60"/>
      <w:ind w:left="1701" w:hanging="340"/>
    </w:pPr>
  </w:style>
  <w:style w:type="paragraph" w:styleId="ListBullet3">
    <w:name w:val="List Bullet 3"/>
    <w:basedOn w:val="List3"/>
    <w:rsid w:val="00C952EA"/>
    <w:pPr>
      <w:numPr>
        <w:numId w:val="15"/>
      </w:numPr>
      <w:tabs>
        <w:tab w:val="clear" w:pos="1021"/>
      </w:tabs>
      <w:ind w:left="1037" w:hanging="357"/>
    </w:pPr>
  </w:style>
  <w:style w:type="paragraph" w:styleId="ListBullet4">
    <w:name w:val="List Bullet 4"/>
    <w:basedOn w:val="List4"/>
    <w:rsid w:val="00C952EA"/>
    <w:pPr>
      <w:numPr>
        <w:numId w:val="3"/>
      </w:numPr>
    </w:pPr>
  </w:style>
  <w:style w:type="paragraph" w:styleId="ListBullet5">
    <w:name w:val="List Bullet 5"/>
    <w:basedOn w:val="List5"/>
    <w:rsid w:val="00C952EA"/>
    <w:pPr>
      <w:numPr>
        <w:numId w:val="4"/>
      </w:numPr>
    </w:pPr>
  </w:style>
  <w:style w:type="paragraph" w:styleId="ListContinue2">
    <w:name w:val="List Continue 2"/>
    <w:basedOn w:val="List2"/>
    <w:rsid w:val="00C952EA"/>
    <w:pPr>
      <w:ind w:firstLine="0"/>
    </w:pPr>
  </w:style>
  <w:style w:type="paragraph" w:styleId="ListContinue3">
    <w:name w:val="List Continue 3"/>
    <w:basedOn w:val="List3"/>
    <w:rsid w:val="00C952EA"/>
    <w:pPr>
      <w:ind w:left="1021" w:firstLine="0"/>
    </w:pPr>
  </w:style>
  <w:style w:type="paragraph" w:styleId="ListContinue4">
    <w:name w:val="List Continue 4"/>
    <w:basedOn w:val="List4"/>
    <w:rsid w:val="00C952EA"/>
    <w:pPr>
      <w:ind w:firstLine="0"/>
    </w:pPr>
  </w:style>
  <w:style w:type="paragraph" w:styleId="ListContinue5">
    <w:name w:val="List Continue 5"/>
    <w:basedOn w:val="List5"/>
    <w:rsid w:val="00C952EA"/>
    <w:pPr>
      <w:ind w:firstLine="0"/>
    </w:pPr>
  </w:style>
  <w:style w:type="paragraph" w:styleId="ListNumber3">
    <w:name w:val="List Number 3"/>
    <w:basedOn w:val="List3"/>
    <w:rsid w:val="00C952EA"/>
    <w:pPr>
      <w:numPr>
        <w:numId w:val="5"/>
      </w:numPr>
    </w:pPr>
  </w:style>
  <w:style w:type="paragraph" w:styleId="ListNumber4">
    <w:name w:val="List Number 4"/>
    <w:basedOn w:val="List4"/>
    <w:rsid w:val="00C952EA"/>
    <w:pPr>
      <w:numPr>
        <w:numId w:val="6"/>
      </w:numPr>
    </w:pPr>
  </w:style>
  <w:style w:type="paragraph" w:styleId="ListNumber5">
    <w:name w:val="List Number 5"/>
    <w:basedOn w:val="List5"/>
    <w:rsid w:val="00C952EA"/>
    <w:pPr>
      <w:numPr>
        <w:numId w:val="7"/>
      </w:numPr>
    </w:pPr>
  </w:style>
  <w:style w:type="paragraph" w:styleId="BlockText">
    <w:name w:val="Block Text"/>
    <w:basedOn w:val="Normal"/>
    <w:rsid w:val="00C952EA"/>
    <w:pPr>
      <w:spacing w:after="120"/>
      <w:ind w:left="1440" w:right="1440"/>
    </w:pPr>
  </w:style>
  <w:style w:type="character" w:customStyle="1" w:styleId="Subscript">
    <w:name w:val="Subscript"/>
    <w:basedOn w:val="DefaultParagraphFont"/>
    <w:rsid w:val="00C952EA"/>
    <w:rPr>
      <w:sz w:val="16"/>
      <w:vertAlign w:val="subscript"/>
    </w:rPr>
  </w:style>
  <w:style w:type="character" w:customStyle="1" w:styleId="Superscript">
    <w:name w:val="Superscript"/>
    <w:basedOn w:val="DefaultParagraphFont"/>
    <w:rsid w:val="00C952EA"/>
    <w:rPr>
      <w:sz w:val="16"/>
      <w:vertAlign w:val="superscript"/>
    </w:rPr>
  </w:style>
  <w:style w:type="character" w:customStyle="1" w:styleId="Symbols">
    <w:name w:val="Symbols"/>
    <w:basedOn w:val="DefaultParagraphFont"/>
    <w:rsid w:val="00C952EA"/>
    <w:rPr>
      <w:rFonts w:ascii="Symbol" w:hAnsi="Symbol"/>
    </w:rPr>
  </w:style>
  <w:style w:type="character" w:customStyle="1" w:styleId="MenuOptions">
    <w:name w:val="Menu Options"/>
    <w:basedOn w:val="DefaultParagraphFont"/>
    <w:rsid w:val="00C952EA"/>
    <w:rPr>
      <w:rFonts w:ascii="Arial Narrow" w:hAnsi="Arial Narrow"/>
      <w:smallCaps/>
    </w:rPr>
  </w:style>
  <w:style w:type="character" w:customStyle="1" w:styleId="Buttons">
    <w:name w:val="Buttons"/>
    <w:basedOn w:val="DefaultParagraphFont"/>
    <w:rsid w:val="00C952EA"/>
    <w:rPr>
      <w:b/>
    </w:rPr>
  </w:style>
  <w:style w:type="character" w:customStyle="1" w:styleId="Underlined">
    <w:name w:val="Underlined"/>
    <w:basedOn w:val="DefaultParagraphFont"/>
    <w:rsid w:val="00C952EA"/>
    <w:rPr>
      <w:u w:val="single"/>
    </w:rPr>
  </w:style>
  <w:style w:type="paragraph" w:customStyle="1" w:styleId="TableBodyTextRight">
    <w:name w:val="Table Body Text Right"/>
    <w:basedOn w:val="TableBodyText"/>
    <w:rsid w:val="00C952EA"/>
    <w:pPr>
      <w:widowControl w:val="0"/>
      <w:autoSpaceDE w:val="0"/>
      <w:autoSpaceDN w:val="0"/>
      <w:adjustRightInd w:val="0"/>
      <w:jc w:val="right"/>
    </w:pPr>
    <w:rPr>
      <w:rFonts w:cs="Arial"/>
      <w:szCs w:val="18"/>
    </w:rPr>
  </w:style>
  <w:style w:type="paragraph" w:customStyle="1" w:styleId="CopyrightText">
    <w:name w:val="Copyright Text"/>
    <w:basedOn w:val="BodyText"/>
    <w:rsid w:val="00C952EA"/>
    <w:rPr>
      <w:sz w:val="18"/>
    </w:rPr>
  </w:style>
  <w:style w:type="paragraph" w:customStyle="1" w:styleId="BodySmallRight">
    <w:name w:val="Body Small Right"/>
    <w:basedOn w:val="BodyTextRight"/>
    <w:rsid w:val="00C952EA"/>
    <w:rPr>
      <w:sz w:val="18"/>
      <w:szCs w:val="18"/>
    </w:rPr>
  </w:style>
  <w:style w:type="paragraph" w:customStyle="1" w:styleId="MarginEdition">
    <w:name w:val="Margin Edition"/>
    <w:basedOn w:val="MarginNote"/>
    <w:rsid w:val="00C952EA"/>
    <w:pPr>
      <w:spacing w:before="0" w:after="0"/>
    </w:pPr>
    <w:rPr>
      <w:rFonts w:ascii="Times New Roman" w:hAnsi="Times New Roman"/>
      <w:color w:val="999999"/>
    </w:rPr>
  </w:style>
  <w:style w:type="paragraph" w:customStyle="1" w:styleId="Spacer">
    <w:name w:val="Spacer"/>
    <w:basedOn w:val="Normal"/>
    <w:rsid w:val="00C952EA"/>
    <w:rPr>
      <w:sz w:val="2"/>
      <w:szCs w:val="2"/>
    </w:rPr>
  </w:style>
  <w:style w:type="character" w:customStyle="1" w:styleId="Small">
    <w:name w:val="Small"/>
    <w:basedOn w:val="DefaultParagraphFont"/>
    <w:rsid w:val="00C952EA"/>
    <w:rPr>
      <w:sz w:val="16"/>
    </w:rPr>
  </w:style>
  <w:style w:type="paragraph" w:customStyle="1" w:styleId="WideTable">
    <w:name w:val="Wide Table"/>
    <w:basedOn w:val="Normal"/>
    <w:rsid w:val="00C952EA"/>
    <w:pPr>
      <w:ind w:left="-1418"/>
    </w:pPr>
    <w:rPr>
      <w:sz w:val="2"/>
      <w:szCs w:val="2"/>
    </w:rPr>
  </w:style>
  <w:style w:type="character" w:styleId="PageNumber">
    <w:name w:val="page number"/>
    <w:basedOn w:val="DefaultParagraphFont"/>
    <w:rsid w:val="00C952EA"/>
  </w:style>
  <w:style w:type="paragraph" w:styleId="Quote">
    <w:name w:val="Quote"/>
    <w:basedOn w:val="Heading1"/>
    <w:link w:val="QuoteChar"/>
    <w:qFormat/>
    <w:rsid w:val="00C952EA"/>
    <w:rPr>
      <w:b w:val="0"/>
      <w:sz w:val="72"/>
      <w:szCs w:val="72"/>
      <w:lang w:val="en-NZ"/>
    </w:rPr>
  </w:style>
  <w:style w:type="character" w:customStyle="1" w:styleId="QuoteChar">
    <w:name w:val="Quote Char"/>
    <w:basedOn w:val="DefaultParagraphFont"/>
    <w:link w:val="Quote"/>
    <w:rsid w:val="00C952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2EA"/>
    <w:pPr>
      <w:pageBreakBefore/>
    </w:pPr>
  </w:style>
  <w:style w:type="paragraph" w:customStyle="1" w:styleId="Border">
    <w:name w:val="Border"/>
    <w:basedOn w:val="Normal"/>
    <w:qFormat/>
    <w:rsid w:val="00C952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2EA"/>
    <w:rPr>
      <w:b/>
      <w:bCs/>
      <w:i/>
      <w:iCs/>
      <w:color w:val="auto"/>
    </w:rPr>
  </w:style>
  <w:style w:type="paragraph" w:styleId="IntenseQuote">
    <w:name w:val="Intense Quote"/>
    <w:basedOn w:val="Normal"/>
    <w:next w:val="Normal"/>
    <w:link w:val="IntenseQuoteChar"/>
    <w:uiPriority w:val="30"/>
    <w:qFormat/>
    <w:rsid w:val="00C952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2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52EA"/>
    <w:rPr>
      <w:smallCaps/>
      <w:color w:val="auto"/>
      <w:u w:val="single"/>
    </w:rPr>
  </w:style>
  <w:style w:type="character" w:styleId="IntenseReference">
    <w:name w:val="Intense Reference"/>
    <w:basedOn w:val="DefaultParagraphFont"/>
    <w:uiPriority w:val="32"/>
    <w:qFormat/>
    <w:rsid w:val="00C952EA"/>
    <w:rPr>
      <w:b/>
      <w:bCs/>
      <w:smallCaps/>
      <w:color w:val="auto"/>
      <w:spacing w:val="5"/>
      <w:u w:val="single"/>
    </w:rPr>
  </w:style>
  <w:style w:type="paragraph" w:customStyle="1" w:styleId="2ColumnHeading">
    <w:name w:val="2Column Heading"/>
    <w:basedOn w:val="BodyText"/>
    <w:qFormat/>
    <w:rsid w:val="00C952EA"/>
    <w:pPr>
      <w:spacing w:after="60"/>
      <w:ind w:left="-2268"/>
    </w:pPr>
    <w:rPr>
      <w:b/>
    </w:rPr>
  </w:style>
  <w:style w:type="paragraph" w:customStyle="1" w:styleId="Heading1TOC">
    <w:name w:val="Heading1 TOC"/>
    <w:basedOn w:val="Normal"/>
    <w:qFormat/>
    <w:rsid w:val="00C952EA"/>
    <w:pPr>
      <w:spacing w:before="240" w:after="120"/>
    </w:pPr>
    <w:rPr>
      <w:rFonts w:ascii="Times New Roman" w:hAnsi="Times New Roman"/>
      <w:b/>
      <w:sz w:val="32"/>
    </w:rPr>
  </w:style>
  <w:style w:type="paragraph" w:customStyle="1" w:styleId="Heading2TOC">
    <w:name w:val="Heading2 TOC"/>
    <w:basedOn w:val="Normal"/>
    <w:qFormat/>
    <w:rsid w:val="00C952EA"/>
    <w:pPr>
      <w:spacing w:before="240" w:after="60"/>
    </w:pPr>
    <w:rPr>
      <w:rFonts w:ascii="Times New Roman" w:hAnsi="Times New Roman"/>
      <w:b/>
      <w:sz w:val="28"/>
    </w:rPr>
  </w:style>
  <w:style w:type="character" w:customStyle="1" w:styleId="Underline">
    <w:name w:val="Underline"/>
    <w:basedOn w:val="DefaultParagraphFont"/>
    <w:qFormat/>
    <w:rsid w:val="00C952EA"/>
    <w:rPr>
      <w:u w:val="single"/>
    </w:rPr>
  </w:style>
  <w:style w:type="paragraph" w:styleId="BalloonText">
    <w:name w:val="Balloon Text"/>
    <w:basedOn w:val="Normal"/>
    <w:link w:val="BalloonTextChar"/>
    <w:rsid w:val="00C952EA"/>
    <w:rPr>
      <w:rFonts w:ascii="Tahoma" w:hAnsi="Tahoma" w:cs="Tahoma"/>
      <w:sz w:val="16"/>
      <w:szCs w:val="16"/>
    </w:rPr>
  </w:style>
  <w:style w:type="character" w:customStyle="1" w:styleId="BalloonTextChar">
    <w:name w:val="Balloon Text Char"/>
    <w:basedOn w:val="DefaultParagraphFont"/>
    <w:link w:val="BalloonText"/>
    <w:rsid w:val="00C952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52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2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1673</Words>
  <Characters>10744</Characters>
  <Application>Microsoft Office Word</Application>
  <DocSecurity>0</DocSecurity>
  <Lines>383</Lines>
  <Paragraphs>208</Paragraphs>
  <ScaleCrop>false</ScaleCrop>
  <Company>Author-it Software Corporation Ltd.</Company>
  <LinksUpToDate>false</LinksUpToDate>
  <CharactersWithSpaces>12351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CPCCSH3005A Apply and trim decorative finishes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2012-05-26T05:35:00Z</dcterms:created>
  <dcterms:modified xsi:type="dcterms:W3CDTF">2012-05-26T05:35:00Z</dcterms:modified>
</cp:coreProperties>
</file>