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06C1" w:rsidP="003606C1">
      <w:pPr>
        <w:pStyle w:val="Title"/>
      </w:pPr>
      <w:r>
        <w:fldChar w:fldCharType="begin"/>
      </w:r>
      <w:r>
        <w:instrText xml:space="preserve"> TITLE   \* MERGEFORMAT </w:instrText>
      </w:r>
      <w:r>
        <w:fldChar w:fldCharType="separate"/>
      </w:r>
      <w:r>
        <w:t>CPCCSH2003A Apply and install sealant and sealant devices</w:t>
      </w:r>
      <w:r>
        <w:fldChar w:fldCharType="end"/>
      </w:r>
    </w:p>
    <w:p w:rsidR="003606C1" w:rsidP="003606C1">
      <w:pPr>
        <w:pStyle w:val="Version"/>
        <w:sectPr w:rsidSect="00601F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1FA0" w:rsidP="00601FA0">
      <w:pPr>
        <w:pStyle w:val="SuperHeading"/>
      </w:pPr>
      <w:r w:rsidRPr="00601FA0">
        <w:t>CPCCSH2003A Apply and install sealant and sealant devices</w:t>
      </w:r>
    </w:p>
    <w:p w:rsidR="00000000" w:rsidRPr="00601FA0" w:rsidP="00601FA0">
      <w:pPr>
        <w:pStyle w:val="Heading1"/>
      </w:pPr>
      <w:bookmarkStart w:id="1" w:name="O_269675"/>
      <w:bookmarkEnd w:id="1"/>
      <w:r w:rsidRPr="00601FA0">
        <w:t>Modification History</w:t>
      </w:r>
    </w:p>
    <w:p w:rsidR="00000000" w:rsidRPr="00601FA0" w:rsidP="00601FA0">
      <w:pPr>
        <w:pStyle w:val="BodyText"/>
      </w:pPr>
      <w:r w:rsidRPr="00601FA0">
        <w:t>Not Applicable</w:t>
      </w:r>
    </w:p>
    <w:p w:rsidR="00000000" w:rsidRPr="00601FA0" w:rsidP="00601FA0">
      <w:pPr>
        <w:pStyle w:val="AllowPageBreak"/>
      </w:pPr>
    </w:p>
    <w:p w:rsidR="00000000" w:rsidRPr="00601FA0" w:rsidP="00601FA0">
      <w:pPr>
        <w:pStyle w:val="Heading1"/>
      </w:pPr>
      <w:bookmarkStart w:id="2" w:name="O_198506"/>
      <w:bookmarkEnd w:id="2"/>
      <w:r w:rsidRPr="00601FA0">
        <w:t>Unit Descriptor</w:t>
      </w:r>
    </w:p>
    <w:tbl>
      <w:tblPr>
        <w:tblW w:w="9368" w:type="dxa"/>
        <w:tblLayout w:type="fixed"/>
        <w:tblCellMar>
          <w:left w:w="62" w:type="dxa"/>
          <w:right w:w="62" w:type="dxa"/>
        </w:tblCellMar>
        <w:tblLook w:val="0000"/>
      </w:tblPr>
      <w:tblGrid>
        <w:gridCol w:w="2748"/>
        <w:gridCol w:w="6620"/>
      </w:tblGrid>
      <w:tr w:rsidTr="003606C1">
        <w:tblPrEx>
          <w:tblW w:w="936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rPr>
                <w:rStyle w:val="SpecialBold"/>
              </w:rPr>
              <w:t>Unit descriptor</w:t>
            </w:r>
          </w:p>
        </w:tc>
        <w:tc>
          <w:tcPr>
            <w:tcW w:w="6620" w:type="dxa"/>
            <w:tcBorders>
              <w:top w:val="nil"/>
              <w:left w:val="nil"/>
              <w:bottom w:val="nil"/>
              <w:right w:val="nil"/>
            </w:tcBorders>
            <w:tcMar>
              <w:top w:w="0" w:type="dxa"/>
              <w:left w:w="62" w:type="dxa"/>
              <w:bottom w:w="0" w:type="dxa"/>
              <w:right w:w="62" w:type="dxa"/>
            </w:tcMar>
          </w:tcPr>
          <w:p w:rsidR="00000000" w:rsidRPr="00601FA0" w:rsidP="00601FA0">
            <w:pPr>
              <w:pStyle w:val="BodyText"/>
            </w:pPr>
            <w:r w:rsidRPr="00601FA0">
              <w:t>This unit specifies the outcomes required to apply sealants and sealant devices to structures</w:t>
            </w:r>
            <w:r w:rsidRPr="00601FA0">
              <w:t>.</w:t>
            </w:r>
          </w:p>
        </w:tc>
      </w:tr>
    </w:tbl>
    <w:p w:rsidR="003606C1" w:rsidP="00601FA0">
      <w:pPr>
        <w:pStyle w:val="BodyText"/>
      </w:pPr>
    </w:p>
    <w:p w:rsidR="003606C1" w:rsidP="00601FA0">
      <w:pPr>
        <w:pStyle w:val="BodyText"/>
      </w:pPr>
    </w:p>
    <w:p w:rsidR="00000000" w:rsidRPr="00601FA0" w:rsidP="00601FA0">
      <w:pPr>
        <w:pStyle w:val="Heading1"/>
      </w:pPr>
      <w:bookmarkStart w:id="3" w:name="O_198509"/>
      <w:bookmarkEnd w:id="3"/>
      <w:r w:rsidRPr="00601FA0">
        <w:t>Application of the Unit</w:t>
      </w:r>
    </w:p>
    <w:tbl>
      <w:tblPr>
        <w:tblW w:w="9368" w:type="dxa"/>
        <w:tblLayout w:type="fixed"/>
        <w:tblCellMar>
          <w:left w:w="62" w:type="dxa"/>
          <w:right w:w="62" w:type="dxa"/>
        </w:tblCellMar>
        <w:tblLook w:val="0000"/>
      </w:tblPr>
      <w:tblGrid>
        <w:gridCol w:w="2748"/>
        <w:gridCol w:w="6620"/>
      </w:tblGrid>
      <w:tr w:rsidTr="003606C1">
        <w:tblPrEx>
          <w:tblW w:w="936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rPr>
                <w:rStyle w:val="SpecialBold"/>
              </w:rPr>
              <w:t>Application of the unit</w:t>
            </w:r>
          </w:p>
        </w:tc>
        <w:tc>
          <w:tcPr>
            <w:tcW w:w="6620" w:type="dxa"/>
            <w:tcBorders>
              <w:top w:val="nil"/>
              <w:left w:val="nil"/>
              <w:bottom w:val="nil"/>
              <w:right w:val="nil"/>
            </w:tcBorders>
            <w:tcMar>
              <w:top w:w="0" w:type="dxa"/>
              <w:left w:w="62" w:type="dxa"/>
              <w:bottom w:w="0" w:type="dxa"/>
              <w:right w:w="62" w:type="dxa"/>
            </w:tcMar>
          </w:tcPr>
          <w:p w:rsidR="00000000" w:rsidRPr="00601FA0" w:rsidP="00601FA0">
            <w:pPr>
              <w:pStyle w:val="BodyText"/>
            </w:pPr>
            <w:r w:rsidRPr="00601FA0">
              <w:t xml:space="preserve">This unit of competency supports the achievement of skills and knowledge to apply and install sealant and sealant devices, which may include </w:t>
            </w:r>
            <w:r w:rsidRPr="00601FA0">
              <w:t xml:space="preserve">working with others and as a member of a team. </w:t>
            </w:r>
          </w:p>
        </w:tc>
      </w:tr>
    </w:tbl>
    <w:p w:rsidR="003606C1" w:rsidP="00601FA0">
      <w:pPr>
        <w:pStyle w:val="BodyText"/>
      </w:pPr>
    </w:p>
    <w:p w:rsidR="003606C1" w:rsidP="00601FA0">
      <w:pPr>
        <w:pStyle w:val="BodyText"/>
      </w:pPr>
    </w:p>
    <w:p w:rsidR="00000000" w:rsidRPr="00601FA0" w:rsidP="00601FA0">
      <w:pPr>
        <w:pStyle w:val="Heading1"/>
      </w:pPr>
      <w:bookmarkStart w:id="4" w:name="O_277935"/>
      <w:bookmarkEnd w:id="4"/>
      <w:r w:rsidRPr="00601FA0">
        <w:t>Licensing/Regulatory Information</w:t>
      </w:r>
    </w:p>
    <w:p w:rsidR="00000000" w:rsidRPr="00601FA0" w:rsidP="00601FA0">
      <w:pPr>
        <w:pStyle w:val="BodyText"/>
      </w:pPr>
      <w:r w:rsidRPr="00601FA0">
        <w:t>Not Applicable</w:t>
      </w:r>
    </w:p>
    <w:p w:rsidR="00000000" w:rsidRPr="00601FA0" w:rsidP="00601FA0">
      <w:pPr>
        <w:pStyle w:val="AllowPageBreak"/>
      </w:pPr>
    </w:p>
    <w:p w:rsidR="00000000" w:rsidRPr="00601FA0" w:rsidP="00601FA0">
      <w:pPr>
        <w:pStyle w:val="Heading1"/>
      </w:pPr>
      <w:bookmarkStart w:id="5" w:name="O_198508"/>
      <w:bookmarkEnd w:id="5"/>
      <w:r w:rsidRPr="00601FA0">
        <w:t>Pre-Requisites</w:t>
      </w:r>
    </w:p>
    <w:tbl>
      <w:tblPr>
        <w:tblW w:w="9368" w:type="dxa"/>
        <w:tblLayout w:type="fixed"/>
        <w:tblCellMar>
          <w:left w:w="62" w:type="dxa"/>
          <w:right w:w="62" w:type="dxa"/>
        </w:tblCellMar>
        <w:tblLook w:val="0000"/>
      </w:tblPr>
      <w:tblGrid>
        <w:gridCol w:w="2696"/>
        <w:gridCol w:w="2527"/>
        <w:gridCol w:w="4145"/>
      </w:tblGrid>
      <w:tr w:rsidTr="003606C1">
        <w:tblPrEx>
          <w:tblW w:w="9368" w:type="dxa"/>
          <w:tblLayout w:type="fixed"/>
          <w:tblCellMar>
            <w:left w:w="62" w:type="dxa"/>
            <w:right w:w="62" w:type="dxa"/>
          </w:tblCellMar>
          <w:tblLook w:val="0000"/>
        </w:tblPrEx>
        <w:trPr>
          <w:tblHeader/>
        </w:trPr>
        <w:tc>
          <w:tcPr>
            <w:tcW w:w="2696"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rPr>
                <w:rStyle w:val="SpecialBold"/>
              </w:rPr>
              <w:t>Prerequisite units</w:t>
            </w:r>
          </w:p>
        </w:tc>
        <w:tc>
          <w:tcPr>
            <w:tcW w:w="6672" w:type="dxa"/>
            <w:gridSpan w:val="2"/>
            <w:tcBorders>
              <w:top w:val="nil"/>
              <w:left w:val="nil"/>
              <w:bottom w:val="nil"/>
              <w:right w:val="nil"/>
            </w:tcBorders>
            <w:tcMar>
              <w:top w:w="0" w:type="dxa"/>
              <w:left w:w="62" w:type="dxa"/>
              <w:bottom w:w="0" w:type="dxa"/>
              <w:right w:w="62" w:type="dxa"/>
            </w:tcMar>
          </w:tcPr>
          <w:p w:rsidR="00000000" w:rsidP="00601FA0">
            <w:pPr>
              <w:pStyle w:val="BodyText"/>
              <w:rPr>
                <w:lang w:val="en-NZ"/>
              </w:rPr>
            </w:pPr>
          </w:p>
        </w:tc>
      </w:tr>
      <w:tr w:rsidTr="003606C1">
        <w:tblPrEx>
          <w:tblW w:w="9368" w:type="dxa"/>
          <w:tblLayout w:type="fixed"/>
          <w:tblCellMar>
            <w:left w:w="62" w:type="dxa"/>
            <w:right w:w="62" w:type="dxa"/>
          </w:tblCellMar>
          <w:tblLook w:val="0000"/>
        </w:tblPrEx>
        <w:tc>
          <w:tcPr>
            <w:tcW w:w="26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t>CPCCOHS2001A</w:t>
            </w:r>
          </w:p>
        </w:tc>
        <w:tc>
          <w:tcPr>
            <w:tcW w:w="4145"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t>Apply OHS requirements, policies and procedures in the construction industry</w:t>
            </w:r>
          </w:p>
        </w:tc>
      </w:tr>
      <w:tr w:rsidTr="003606C1">
        <w:tblPrEx>
          <w:tblW w:w="9368" w:type="dxa"/>
          <w:tblLayout w:type="fixed"/>
          <w:tblCellMar>
            <w:left w:w="62" w:type="dxa"/>
            <w:right w:w="62" w:type="dxa"/>
          </w:tblCellMar>
          <w:tblLook w:val="0000"/>
        </w:tblPrEx>
        <w:tc>
          <w:tcPr>
            <w:tcW w:w="26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5" w:type="dxa"/>
            <w:tcBorders>
              <w:top w:val="nil"/>
              <w:left w:val="nil"/>
              <w:bottom w:val="nil"/>
              <w:right w:val="nil"/>
            </w:tcBorders>
            <w:tcMar>
              <w:top w:w="0" w:type="dxa"/>
              <w:left w:w="62" w:type="dxa"/>
              <w:bottom w:w="0" w:type="dxa"/>
              <w:right w:w="62" w:type="dxa"/>
            </w:tcMar>
          </w:tcPr>
          <w:p w:rsidR="00000000" w:rsidRPr="00601FA0" w:rsidP="00601FA0">
            <w:pPr>
              <w:pStyle w:val="BodyText"/>
            </w:pPr>
          </w:p>
        </w:tc>
      </w:tr>
    </w:tbl>
    <w:p w:rsidR="003606C1" w:rsidP="00601FA0">
      <w:pPr>
        <w:pStyle w:val="BodyText"/>
      </w:pPr>
    </w:p>
    <w:p w:rsidR="003606C1" w:rsidP="00601FA0">
      <w:pPr>
        <w:pStyle w:val="BodyText"/>
      </w:pPr>
    </w:p>
    <w:p w:rsidR="00000000" w:rsidRPr="00601FA0" w:rsidP="00601FA0">
      <w:pPr>
        <w:pStyle w:val="Heading1"/>
      </w:pPr>
      <w:bookmarkStart w:id="6" w:name="O_198507"/>
      <w:bookmarkEnd w:id="6"/>
      <w:r w:rsidRPr="00601FA0">
        <w:t>Employability Skills Information</w:t>
      </w:r>
    </w:p>
    <w:tbl>
      <w:tblPr>
        <w:tblW w:w="9368" w:type="dxa"/>
        <w:tblLayout w:type="fixed"/>
        <w:tblCellMar>
          <w:left w:w="62" w:type="dxa"/>
          <w:right w:w="62" w:type="dxa"/>
        </w:tblCellMar>
        <w:tblLook w:val="0000"/>
      </w:tblPr>
      <w:tblGrid>
        <w:gridCol w:w="2748"/>
        <w:gridCol w:w="6620"/>
      </w:tblGrid>
      <w:tr w:rsidTr="003606C1">
        <w:tblPrEx>
          <w:tblW w:w="936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rPr>
                <w:rStyle w:val="SpecialBold"/>
              </w:rPr>
              <w:t>Employability skills</w:t>
            </w:r>
          </w:p>
        </w:tc>
        <w:tc>
          <w:tcPr>
            <w:tcW w:w="6620" w:type="dxa"/>
            <w:tcBorders>
              <w:top w:val="nil"/>
              <w:left w:val="nil"/>
              <w:bottom w:val="nil"/>
              <w:right w:val="nil"/>
            </w:tcBorders>
            <w:tcMar>
              <w:top w:w="0" w:type="dxa"/>
              <w:left w:w="62" w:type="dxa"/>
              <w:bottom w:w="0" w:type="dxa"/>
              <w:right w:w="62" w:type="dxa"/>
            </w:tcMar>
          </w:tcPr>
          <w:p w:rsidR="00000000" w:rsidRPr="00601FA0" w:rsidP="00601FA0">
            <w:pPr>
              <w:pStyle w:val="BodyText"/>
            </w:pPr>
            <w:r w:rsidRPr="00601FA0">
              <w:t>This unit contains employability skills.</w:t>
            </w:r>
          </w:p>
        </w:tc>
      </w:tr>
    </w:tbl>
    <w:p w:rsidR="003606C1" w:rsidP="00601FA0">
      <w:pPr>
        <w:pStyle w:val="BodyText"/>
      </w:pPr>
    </w:p>
    <w:p w:rsidR="003606C1" w:rsidP="00601FA0">
      <w:pPr>
        <w:pStyle w:val="BodyText"/>
      </w:pPr>
    </w:p>
    <w:p w:rsidR="00000000" w:rsidRPr="00601FA0" w:rsidP="00601FA0">
      <w:pPr>
        <w:pStyle w:val="Heading1"/>
      </w:pPr>
      <w:bookmarkStart w:id="7" w:name="O_287721"/>
      <w:bookmarkEnd w:id="7"/>
      <w:r w:rsidRPr="00601FA0">
        <w:t>Elements and Performance Criteria Pre-Content</w:t>
      </w:r>
    </w:p>
    <w:tbl>
      <w:tblPr>
        <w:tblW w:w="0" w:type="auto"/>
        <w:tblLayout w:type="fixed"/>
        <w:tblCellMar>
          <w:left w:w="62" w:type="dxa"/>
          <w:right w:w="62" w:type="dxa"/>
        </w:tblCellMar>
        <w:tblLook w:val="0000"/>
      </w:tblPr>
      <w:tblGrid>
        <w:gridCol w:w="2567"/>
        <w:gridCol w:w="5955"/>
      </w:tblGrid>
      <w:tr w:rsidTr="003606C1">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601FA0">
            <w:pPr>
              <w:pStyle w:val="BodyText"/>
              <w:rPr>
                <w:lang w:val="en-NZ"/>
              </w:rPr>
            </w:pPr>
            <w:r w:rsidRPr="00601FA0">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601FA0" w:rsidP="00601FA0">
            <w:pPr>
              <w:pStyle w:val="BodyText"/>
            </w:pPr>
            <w:r w:rsidRPr="00601FA0">
              <w:t>Performance criteria describe the performance needed to demonstrate achievement of the element. Where bold italicised text is used, further info</w:t>
            </w:r>
            <w:r w:rsidRPr="00601FA0">
              <w:t>rmation is detailed in the required skills and knowledge section and the range statement. Assessment of performance is to be consistent with the evidence guide.</w:t>
            </w:r>
          </w:p>
        </w:tc>
      </w:tr>
    </w:tbl>
    <w:p w:rsidR="00000000" w:rsidRPr="00601FA0" w:rsidP="00601FA0">
      <w:pPr>
        <w:pStyle w:val="BodyText"/>
      </w:pPr>
    </w:p>
    <w:p w:rsidR="00000000" w:rsidRPr="00601FA0" w:rsidP="00601FA0">
      <w:pPr>
        <w:pStyle w:val="AllowPageBreak"/>
      </w:pPr>
    </w:p>
    <w:p w:rsidR="00000000" w:rsidRPr="00601FA0" w:rsidP="00601FA0">
      <w:pPr>
        <w:pStyle w:val="Heading1"/>
      </w:pPr>
      <w:bookmarkStart w:id="8" w:name="O_234388"/>
      <w:bookmarkEnd w:id="8"/>
      <w:r w:rsidRPr="00601FA0">
        <w:t>Elements and Performance Criteria</w:t>
      </w:r>
    </w:p>
    <w:tbl>
      <w:tblPr>
        <w:tblW w:w="0" w:type="auto"/>
        <w:tblLayout w:type="fixed"/>
        <w:tblCellMar>
          <w:left w:w="62" w:type="dxa"/>
          <w:right w:w="62" w:type="dxa"/>
        </w:tblCellMar>
        <w:tblLook w:val="0000"/>
      </w:tblPr>
      <w:tblGrid>
        <w:gridCol w:w="2567"/>
        <w:gridCol w:w="5955"/>
      </w:tblGrid>
      <w:tr w:rsidTr="003606C1">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601FA0" w:rsidP="00601FA0">
            <w:pPr>
              <w:pStyle w:val="BodyText"/>
            </w:pPr>
            <w:r w:rsidRPr="00601FA0">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601FA0">
            <w:pPr>
              <w:pStyle w:val="BodyText"/>
              <w:rPr>
                <w:lang w:val="en-NZ"/>
              </w:rPr>
            </w:pPr>
            <w:r w:rsidRPr="00601FA0">
              <w:rPr>
                <w:rStyle w:val="SpecialBold"/>
              </w:rPr>
              <w:t>PERFORMANCE CRITERIA</w:t>
            </w:r>
          </w:p>
        </w:tc>
      </w:tr>
      <w:tr w:rsidTr="003606C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01FA0">
            <w:pPr>
              <w:pStyle w:val="List"/>
              <w:rPr>
                <w:lang w:val="en-NZ"/>
              </w:rPr>
            </w:pPr>
            <w:r w:rsidRPr="00601FA0">
              <w:t>1.</w:t>
            </w:r>
            <w:r w:rsidRPr="00601FA0">
              <w:tab/>
            </w:r>
            <w:r w:rsidRPr="00601FA0">
              <w:t>Plan and prepare.</w:t>
            </w:r>
          </w:p>
        </w:tc>
        <w:tc>
          <w:tcPr>
            <w:tcW w:w="5955" w:type="dxa"/>
            <w:tcBorders>
              <w:top w:val="nil"/>
              <w:left w:val="nil"/>
              <w:bottom w:val="nil"/>
              <w:right w:val="nil"/>
            </w:tcBorders>
            <w:tcMar>
              <w:top w:w="0" w:type="dxa"/>
              <w:left w:w="62" w:type="dxa"/>
              <w:bottom w:w="0" w:type="dxa"/>
              <w:right w:w="62" w:type="dxa"/>
            </w:tcMar>
          </w:tcPr>
          <w:p w:rsidR="00000000" w:rsidRPr="00601FA0" w:rsidP="00601FA0">
            <w:pPr>
              <w:pStyle w:val="List2"/>
            </w:pPr>
            <w:r w:rsidRPr="00601FA0">
              <w:t>1.1.</w:t>
            </w:r>
            <w:r w:rsidRPr="00601FA0">
              <w:tab/>
              <w:t xml:space="preserve">Work instructions and operational details are obtained using relevant </w:t>
            </w:r>
            <w:r w:rsidRPr="00601FA0">
              <w:rPr>
                <w:rStyle w:val="BoldandItalics"/>
              </w:rPr>
              <w:t>information</w:t>
            </w:r>
            <w:r w:rsidRPr="00601FA0">
              <w:t xml:space="preserve">, confirmed and applied for </w:t>
            </w:r>
            <w:r w:rsidRPr="00601FA0">
              <w:rPr>
                <w:rStyle w:val="BoldandItalics"/>
              </w:rPr>
              <w:t>planning and preparation</w:t>
            </w:r>
            <w:r w:rsidRPr="00601FA0">
              <w:t xml:space="preserve"> purposes. </w:t>
            </w:r>
          </w:p>
          <w:p w:rsidR="00000000" w:rsidRPr="00601FA0" w:rsidP="00601FA0">
            <w:pPr>
              <w:pStyle w:val="List2"/>
            </w:pPr>
            <w:r w:rsidRPr="00601FA0">
              <w:t>1.2.</w:t>
            </w:r>
            <w:r w:rsidRPr="00601FA0">
              <w:tab/>
            </w:r>
            <w:r w:rsidRPr="00601FA0">
              <w:rPr>
                <w:rStyle w:val="BoldandItalics"/>
              </w:rPr>
              <w:t>Safety</w:t>
            </w:r>
            <w:r w:rsidRPr="00601FA0">
              <w:t xml:space="preserve"> (</w:t>
            </w:r>
            <w:r w:rsidRPr="00601FA0">
              <w:rPr>
                <w:rStyle w:val="BoldandItalics"/>
              </w:rPr>
              <w:t>OHS</w:t>
            </w:r>
            <w:r w:rsidRPr="00601FA0">
              <w:t>) requirements are followed in accordance with safety plans and policies</w:t>
            </w:r>
            <w:r w:rsidRPr="00601FA0">
              <w:t xml:space="preserve">. </w:t>
            </w:r>
          </w:p>
          <w:p w:rsidR="00000000" w:rsidRPr="00601FA0" w:rsidP="00601FA0">
            <w:pPr>
              <w:pStyle w:val="List2"/>
            </w:pPr>
            <w:r w:rsidRPr="00601FA0">
              <w:t>1.3.</w:t>
            </w:r>
            <w:r w:rsidRPr="00601FA0">
              <w:tab/>
              <w:t>Signage and barricade requirements are identified and implemented.</w:t>
            </w:r>
          </w:p>
          <w:p w:rsidR="00000000" w:rsidRPr="00601FA0" w:rsidP="00601FA0">
            <w:pPr>
              <w:pStyle w:val="List2"/>
            </w:pPr>
            <w:r w:rsidRPr="00601FA0">
              <w:t>1.4.</w:t>
            </w:r>
            <w:r w:rsidRPr="00601FA0">
              <w:tab/>
            </w:r>
            <w:r w:rsidRPr="00601FA0">
              <w:rPr>
                <w:rStyle w:val="BoldandItalics"/>
              </w:rPr>
              <w:t>Tools and equipment</w:t>
            </w:r>
            <w:r w:rsidRPr="00601FA0">
              <w:t xml:space="preserve"> selected to carry out tasks are consistent with job requirements, checked for serviceability and any faults are rectified or reported prior to commencement.</w:t>
            </w:r>
            <w:r w:rsidRPr="00601FA0">
              <w:t xml:space="preserve"> </w:t>
            </w:r>
          </w:p>
          <w:p w:rsidR="00000000" w:rsidRPr="00601FA0" w:rsidP="00601FA0">
            <w:pPr>
              <w:pStyle w:val="List2"/>
            </w:pPr>
            <w:r w:rsidRPr="00601FA0">
              <w:t>1.5.</w:t>
            </w:r>
            <w:r w:rsidRPr="00601FA0">
              <w:tab/>
              <w:t xml:space="preserve">Sealant material quantity requirements are calculated in accordance with plans, specifications and </w:t>
            </w:r>
            <w:r w:rsidRPr="00601FA0">
              <w:rPr>
                <w:rStyle w:val="BoldandItalics"/>
              </w:rPr>
              <w:t>quality requirements</w:t>
            </w:r>
            <w:r w:rsidRPr="00601FA0">
              <w:t xml:space="preserve">. </w:t>
            </w:r>
          </w:p>
          <w:p w:rsidR="00000000" w:rsidRPr="00601FA0" w:rsidP="00601FA0">
            <w:pPr>
              <w:pStyle w:val="List2"/>
            </w:pPr>
            <w:r w:rsidRPr="00601FA0">
              <w:t>1.6.</w:t>
            </w:r>
            <w:r w:rsidRPr="00601FA0">
              <w:tab/>
              <w:t>Materials appropriate to the work application are identified, obtained, prepared, safely handled and located ready for use</w:t>
            </w:r>
            <w:r w:rsidRPr="00601FA0">
              <w:t>.</w:t>
            </w:r>
          </w:p>
          <w:p w:rsidR="00000000" w:rsidP="00601FA0">
            <w:pPr>
              <w:pStyle w:val="List2"/>
              <w:rPr>
                <w:lang w:val="en-NZ"/>
              </w:rPr>
            </w:pPr>
            <w:r w:rsidRPr="00601FA0">
              <w:t>1.7.</w:t>
            </w:r>
            <w:r w:rsidRPr="00601FA0">
              <w:tab/>
            </w:r>
            <w:r w:rsidRPr="00601FA0">
              <w:rPr>
                <w:rStyle w:val="BoldandItalics"/>
              </w:rPr>
              <w:t>Environmental requirements</w:t>
            </w:r>
            <w:r w:rsidRPr="00601FA0">
              <w:t xml:space="preserve"> are identified for the project in accordance with environmental plans and </w:t>
            </w:r>
            <w:r w:rsidRPr="00601FA0">
              <w:rPr>
                <w:rStyle w:val="BoldandItalics"/>
              </w:rPr>
              <w:t>statutory and regulatory authority</w:t>
            </w:r>
            <w:r w:rsidRPr="00601FA0">
              <w:t xml:space="preserve"> requirements, and are applied. </w:t>
            </w:r>
          </w:p>
        </w:tc>
      </w:tr>
      <w:tr w:rsidTr="003606C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01FA0">
            <w:pPr>
              <w:pStyle w:val="List"/>
              <w:rPr>
                <w:lang w:val="en-NZ"/>
              </w:rPr>
            </w:pPr>
            <w:r w:rsidRPr="00601FA0">
              <w:t>2.</w:t>
            </w:r>
            <w:r w:rsidRPr="00601FA0">
              <w:tab/>
              <w:t>Prepare surface to receive sealants.</w:t>
            </w:r>
          </w:p>
        </w:tc>
        <w:tc>
          <w:tcPr>
            <w:tcW w:w="5955" w:type="dxa"/>
            <w:tcBorders>
              <w:top w:val="nil"/>
              <w:left w:val="nil"/>
              <w:bottom w:val="nil"/>
              <w:right w:val="nil"/>
            </w:tcBorders>
            <w:tcMar>
              <w:top w:w="0" w:type="dxa"/>
              <w:left w:w="62" w:type="dxa"/>
              <w:bottom w:w="0" w:type="dxa"/>
              <w:right w:w="62" w:type="dxa"/>
            </w:tcMar>
          </w:tcPr>
          <w:p w:rsidR="00000000" w:rsidRPr="00601FA0" w:rsidP="00601FA0">
            <w:pPr>
              <w:pStyle w:val="List2"/>
            </w:pPr>
            <w:r w:rsidRPr="00601FA0">
              <w:t>2.1.</w:t>
            </w:r>
            <w:r w:rsidRPr="00601FA0">
              <w:tab/>
              <w:t>Surface is cleaned free of contamin</w:t>
            </w:r>
            <w:r w:rsidRPr="00601FA0">
              <w:t>ants such as oil, grease, dust or moisture.</w:t>
            </w:r>
          </w:p>
          <w:p w:rsidR="00000000" w:rsidP="00601FA0">
            <w:pPr>
              <w:pStyle w:val="List2"/>
              <w:rPr>
                <w:lang w:val="en-NZ"/>
              </w:rPr>
            </w:pPr>
            <w:r w:rsidRPr="00601FA0">
              <w:t>2.2.</w:t>
            </w:r>
            <w:r w:rsidRPr="00601FA0">
              <w:tab/>
              <w:t>Surface is prepared by sanding and/or cleaning in accordance with preparation specifications.</w:t>
            </w:r>
          </w:p>
        </w:tc>
      </w:tr>
      <w:tr w:rsidTr="003606C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01FA0">
            <w:pPr>
              <w:pStyle w:val="List"/>
              <w:rPr>
                <w:lang w:val="en-NZ"/>
              </w:rPr>
            </w:pPr>
            <w:r w:rsidRPr="00601FA0">
              <w:t>3.</w:t>
            </w:r>
            <w:r w:rsidRPr="00601FA0">
              <w:tab/>
              <w:t>Apply sealant.</w:t>
            </w:r>
          </w:p>
        </w:tc>
        <w:tc>
          <w:tcPr>
            <w:tcW w:w="5955" w:type="dxa"/>
            <w:tcBorders>
              <w:top w:val="nil"/>
              <w:left w:val="nil"/>
              <w:bottom w:val="nil"/>
              <w:right w:val="nil"/>
            </w:tcBorders>
            <w:tcMar>
              <w:top w:w="0" w:type="dxa"/>
              <w:left w:w="62" w:type="dxa"/>
              <w:bottom w:w="0" w:type="dxa"/>
              <w:right w:w="62" w:type="dxa"/>
            </w:tcMar>
          </w:tcPr>
          <w:p w:rsidR="00000000" w:rsidRPr="00601FA0" w:rsidP="00601FA0">
            <w:pPr>
              <w:pStyle w:val="List2"/>
            </w:pPr>
            <w:r w:rsidRPr="00601FA0">
              <w:t>3.1.</w:t>
            </w:r>
            <w:r w:rsidRPr="00601FA0">
              <w:tab/>
            </w:r>
            <w:r w:rsidRPr="00601FA0">
              <w:rPr>
                <w:rStyle w:val="BoldandItalics"/>
              </w:rPr>
              <w:t>Sealant materials</w:t>
            </w:r>
            <w:r w:rsidRPr="00601FA0">
              <w:t xml:space="preserve"> are </w:t>
            </w:r>
            <w:r w:rsidRPr="00601FA0">
              <w:rPr>
                <w:rStyle w:val="BoldandItalics"/>
              </w:rPr>
              <w:t>applied</w:t>
            </w:r>
            <w:r w:rsidRPr="00601FA0">
              <w:t xml:space="preserve"> to manufacturer recommendations and specifications. </w:t>
            </w:r>
          </w:p>
          <w:p w:rsidR="00000000" w:rsidRPr="00601FA0" w:rsidP="00601FA0">
            <w:pPr>
              <w:pStyle w:val="List2"/>
            </w:pPr>
            <w:r w:rsidRPr="00601FA0">
              <w:t>3.2.</w:t>
            </w:r>
            <w:r w:rsidRPr="00601FA0">
              <w:tab/>
            </w:r>
            <w:r w:rsidRPr="00601FA0">
              <w:t>Care is taken to ensure no air is trapped within applied sealant.</w:t>
            </w:r>
          </w:p>
          <w:p w:rsidR="00000000" w:rsidP="00601FA0">
            <w:pPr>
              <w:pStyle w:val="List2"/>
              <w:rPr>
                <w:lang w:val="en-NZ"/>
              </w:rPr>
            </w:pPr>
            <w:r w:rsidRPr="00601FA0">
              <w:t>3.3.</w:t>
            </w:r>
            <w:r w:rsidRPr="00601FA0">
              <w:tab/>
              <w:t>Surfaces are aligned and fixings correctly installed to specifications.</w:t>
            </w:r>
          </w:p>
        </w:tc>
      </w:tr>
      <w:tr w:rsidTr="003606C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01FA0">
            <w:pPr>
              <w:pStyle w:val="List"/>
              <w:rPr>
                <w:lang w:val="en-NZ"/>
              </w:rPr>
            </w:pPr>
            <w:r w:rsidRPr="00601FA0">
              <w:t>4.</w:t>
            </w:r>
            <w:r w:rsidRPr="00601FA0">
              <w:tab/>
              <w:t>Install sealant devices.</w:t>
            </w:r>
          </w:p>
        </w:tc>
        <w:tc>
          <w:tcPr>
            <w:tcW w:w="5955" w:type="dxa"/>
            <w:tcBorders>
              <w:top w:val="nil"/>
              <w:left w:val="nil"/>
              <w:bottom w:val="nil"/>
              <w:right w:val="nil"/>
            </w:tcBorders>
            <w:tcMar>
              <w:top w:w="0" w:type="dxa"/>
              <w:left w:w="62" w:type="dxa"/>
              <w:bottom w:w="0" w:type="dxa"/>
              <w:right w:w="62" w:type="dxa"/>
            </w:tcMar>
          </w:tcPr>
          <w:p w:rsidR="00000000" w:rsidRPr="00601FA0" w:rsidP="00601FA0">
            <w:pPr>
              <w:pStyle w:val="List2"/>
            </w:pPr>
            <w:r w:rsidRPr="00601FA0">
              <w:t>4.1.</w:t>
            </w:r>
            <w:r w:rsidRPr="00601FA0">
              <w:tab/>
            </w:r>
            <w:r w:rsidRPr="00601FA0">
              <w:rPr>
                <w:rStyle w:val="BoldandItalics"/>
              </w:rPr>
              <w:t>Sealant devices</w:t>
            </w:r>
            <w:r w:rsidRPr="00601FA0">
              <w:t xml:space="preserve"> are fitted securely to specified positions. </w:t>
            </w:r>
          </w:p>
          <w:p w:rsidR="00000000" w:rsidP="00601FA0">
            <w:pPr>
              <w:pStyle w:val="List2"/>
              <w:rPr>
                <w:lang w:val="en-NZ"/>
              </w:rPr>
            </w:pPr>
            <w:r w:rsidRPr="00601FA0">
              <w:t>4.2.</w:t>
            </w:r>
            <w:r w:rsidRPr="00601FA0">
              <w:tab/>
              <w:t>Assistance is</w:t>
            </w:r>
            <w:r w:rsidRPr="00601FA0">
              <w:t xml:space="preserve"> provided to secure installation of fixtures, assuring level and plumb to line.</w:t>
            </w:r>
          </w:p>
        </w:tc>
      </w:tr>
      <w:tr w:rsidTr="003606C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01FA0">
            <w:pPr>
              <w:pStyle w:val="List"/>
              <w:rPr>
                <w:lang w:val="en-NZ"/>
              </w:rPr>
            </w:pPr>
            <w:r w:rsidRPr="00601FA0">
              <w:t>5.</w:t>
            </w:r>
            <w:r w:rsidRPr="00601FA0">
              <w:tab/>
              <w:t>Clean up.</w:t>
            </w:r>
          </w:p>
        </w:tc>
        <w:tc>
          <w:tcPr>
            <w:tcW w:w="5955" w:type="dxa"/>
            <w:tcBorders>
              <w:top w:val="nil"/>
              <w:left w:val="nil"/>
              <w:bottom w:val="nil"/>
              <w:right w:val="nil"/>
            </w:tcBorders>
            <w:tcMar>
              <w:top w:w="0" w:type="dxa"/>
              <w:left w:w="62" w:type="dxa"/>
              <w:bottom w:w="0" w:type="dxa"/>
              <w:right w:w="62" w:type="dxa"/>
            </w:tcMar>
          </w:tcPr>
          <w:p w:rsidR="00000000" w:rsidRPr="00601FA0" w:rsidP="00601FA0">
            <w:pPr>
              <w:pStyle w:val="List2"/>
            </w:pPr>
            <w:r w:rsidRPr="00601FA0">
              <w:t>5.1.</w:t>
            </w:r>
            <w:r w:rsidRPr="00601FA0">
              <w:tab/>
              <w:t>Excessive sealant is removed from joints and surrounding surfaces, and cartridge nozzle or container is sealed securely.</w:t>
            </w:r>
          </w:p>
          <w:p w:rsidR="00000000" w:rsidRPr="00601FA0" w:rsidP="00601FA0">
            <w:pPr>
              <w:pStyle w:val="List2"/>
            </w:pPr>
            <w:r w:rsidRPr="00601FA0">
              <w:t>5.2.</w:t>
            </w:r>
            <w:r w:rsidRPr="00601FA0">
              <w:tab/>
              <w:t>Sealants are promptly removed f</w:t>
            </w:r>
            <w:r w:rsidRPr="00601FA0">
              <w:t>rom tools and equipment.</w:t>
            </w:r>
          </w:p>
          <w:p w:rsidR="00000000" w:rsidRPr="00601FA0" w:rsidP="00601FA0">
            <w:pPr>
              <w:pStyle w:val="List2"/>
            </w:pPr>
            <w:r w:rsidRPr="00601FA0">
              <w:t>5.3.</w:t>
            </w:r>
            <w:r w:rsidRPr="00601FA0">
              <w:tab/>
              <w:t xml:space="preserve">Work area is cleared and </w:t>
            </w:r>
            <w:r w:rsidRPr="00601FA0">
              <w:rPr>
                <w:rStyle w:val="BoldandItalics"/>
              </w:rPr>
              <w:t>waste material and debris</w:t>
            </w:r>
            <w:r w:rsidRPr="00601FA0">
              <w:t xml:space="preserve"> are disposed of, reused or recycled in accordance with legislation, regulations, codes of practice and job specifications. </w:t>
            </w:r>
          </w:p>
          <w:p w:rsidR="00000000" w:rsidRPr="00601FA0" w:rsidP="00601FA0">
            <w:pPr>
              <w:pStyle w:val="List2"/>
            </w:pPr>
            <w:r w:rsidRPr="00601FA0">
              <w:t>5.4.</w:t>
            </w:r>
            <w:r w:rsidRPr="00601FA0">
              <w:tab/>
              <w:t>Tools and equipment are cleaned, routinely mai</w:t>
            </w:r>
            <w:r w:rsidRPr="00601FA0">
              <w:t>ntained and returned to store.</w:t>
            </w:r>
          </w:p>
        </w:tc>
      </w:tr>
    </w:tbl>
    <w:p w:rsidR="003606C1" w:rsidP="00601FA0">
      <w:pPr>
        <w:pStyle w:val="BodyText"/>
      </w:pPr>
    </w:p>
    <w:p w:rsidR="003606C1" w:rsidP="00601FA0">
      <w:pPr>
        <w:pStyle w:val="BodyText"/>
      </w:pPr>
    </w:p>
    <w:p w:rsidR="00000000" w:rsidRPr="00601FA0" w:rsidP="00601FA0">
      <w:pPr>
        <w:pStyle w:val="Heading1"/>
      </w:pPr>
      <w:bookmarkStart w:id="9" w:name="O_258338"/>
      <w:bookmarkEnd w:id="9"/>
      <w:r w:rsidRPr="00601FA0">
        <w:t>Required Skills and Knowledge</w:t>
      </w:r>
    </w:p>
    <w:tbl>
      <w:tblPr>
        <w:tblW w:w="0" w:type="auto"/>
        <w:tblLayout w:type="fixed"/>
        <w:tblCellMar>
          <w:left w:w="62" w:type="dxa"/>
          <w:right w:w="62" w:type="dxa"/>
        </w:tblCellMar>
        <w:tblLook w:val="0000"/>
      </w:tblPr>
      <w:tblGrid>
        <w:gridCol w:w="8522"/>
      </w:tblGrid>
      <w:tr w:rsidTr="003606C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rPr>
                <w:rStyle w:val="SpecialBold"/>
              </w:rPr>
              <w:t>REQUIRED SKILLS AND KNOWLEDGE</w:t>
            </w:r>
          </w:p>
        </w:tc>
      </w:tr>
      <w:tr w:rsidTr="003606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t>This section describes the skills and knowledge required for this unit.</w:t>
            </w:r>
          </w:p>
        </w:tc>
      </w:tr>
      <w:tr w:rsidTr="003606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rPr>
                <w:rStyle w:val="SpecialBold"/>
              </w:rPr>
              <w:t>Required skills</w:t>
            </w:r>
          </w:p>
        </w:tc>
      </w:tr>
      <w:tr w:rsidTr="003606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01FA0" w:rsidP="00601FA0">
            <w:pPr>
              <w:pStyle w:val="BodyText"/>
            </w:pPr>
            <w:r w:rsidRPr="00601FA0">
              <w:t>Required skills for this unit are:</w:t>
            </w:r>
          </w:p>
          <w:p w:rsidR="00000000" w:rsidRPr="00601FA0" w:rsidP="00601FA0">
            <w:pPr>
              <w:pStyle w:val="ListBullet"/>
            </w:pPr>
            <w:r w:rsidRPr="00601FA0">
              <w:t>ability to recognise procedures, respond to change and contribute to workplace responsibilities, such as current work site environmental sustainability frameworks or management systems</w:t>
            </w:r>
          </w:p>
          <w:p w:rsidR="00000000" w:rsidRPr="00601FA0" w:rsidP="00601FA0">
            <w:pPr>
              <w:pStyle w:val="ListBullet"/>
            </w:pPr>
            <w:r w:rsidRPr="00601FA0">
              <w:t>communication skills to:</w:t>
            </w:r>
          </w:p>
          <w:p w:rsidR="00000000" w:rsidRPr="00601FA0" w:rsidP="00601FA0">
            <w:pPr>
              <w:pStyle w:val="ListBullet2"/>
            </w:pPr>
            <w:r w:rsidRPr="00601FA0">
              <w:t xml:space="preserve">enable clear and direct communication, using </w:t>
            </w:r>
            <w:r w:rsidRPr="00601FA0">
              <w:t>questioning to identify and confirm requirements, share information, listen and understand</w:t>
            </w:r>
          </w:p>
          <w:p w:rsidR="00000000" w:rsidRPr="00601FA0" w:rsidP="00601FA0">
            <w:pPr>
              <w:pStyle w:val="ListBullet2"/>
            </w:pPr>
            <w:r w:rsidRPr="00601FA0">
              <w:t>follow instructions</w:t>
            </w:r>
          </w:p>
          <w:p w:rsidR="00000000" w:rsidRPr="00601FA0" w:rsidP="00601FA0">
            <w:pPr>
              <w:pStyle w:val="ListBullet2"/>
            </w:pPr>
            <w:r w:rsidRPr="00601FA0">
              <w:t>use and interpret non-verbal communication</w:t>
            </w:r>
          </w:p>
          <w:p w:rsidR="00000000" w:rsidRPr="00601FA0" w:rsidP="00601FA0">
            <w:pPr>
              <w:pStyle w:val="ListBullet2"/>
            </w:pPr>
            <w:r w:rsidRPr="00601FA0">
              <w:t>use language and concepts appropriate to cultural differences</w:t>
            </w:r>
          </w:p>
          <w:p w:rsidR="00000000" w:rsidRPr="00601FA0" w:rsidP="00601FA0">
            <w:pPr>
              <w:pStyle w:val="ListBullet"/>
            </w:pPr>
            <w:r w:rsidRPr="00601FA0">
              <w:t>innovation skills to select appropriate tools and equipment, respond to workplace challenges and put ideas into action</w:t>
            </w:r>
          </w:p>
          <w:p w:rsidR="00000000" w:rsidRPr="00601FA0" w:rsidP="00601FA0">
            <w:pPr>
              <w:pStyle w:val="ListBullet"/>
            </w:pPr>
            <w:r w:rsidRPr="00601FA0">
              <w:t>numeracy skills to apply measurements and calculations relevant to surface areas</w:t>
            </w:r>
          </w:p>
          <w:p w:rsidR="00000000" w:rsidRPr="00601FA0" w:rsidP="00601FA0">
            <w:pPr>
              <w:pStyle w:val="ListBullet"/>
            </w:pPr>
            <w:r w:rsidRPr="00601FA0">
              <w:t>problem solving skills to recognise and take action to r</w:t>
            </w:r>
            <w:r w:rsidRPr="00601FA0">
              <w:t>ectify minor faults and problems</w:t>
            </w:r>
          </w:p>
          <w:p w:rsidR="00000000" w:rsidP="00601FA0">
            <w:pPr>
              <w:pStyle w:val="ListBullet"/>
              <w:rPr>
                <w:lang w:val="en-NZ"/>
              </w:rPr>
            </w:pPr>
            <w:r w:rsidRPr="00601FA0">
              <w:t>teamwork skills to be able to work with others to action tasks and relate to people from a range of cultural, social, ethnic backgrounds and with varying physical and mental abilities.</w:t>
            </w:r>
          </w:p>
        </w:tc>
      </w:tr>
      <w:tr w:rsidTr="003606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rPr>
                <w:rStyle w:val="SpecialBold"/>
              </w:rPr>
              <w:t>Required knowledge</w:t>
            </w:r>
          </w:p>
        </w:tc>
      </w:tr>
      <w:tr w:rsidTr="003606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01FA0" w:rsidP="00601FA0">
            <w:pPr>
              <w:pStyle w:val="BodyText"/>
            </w:pPr>
            <w:r w:rsidRPr="00601FA0">
              <w:t>Required knowledge for this unit is:</w:t>
            </w:r>
          </w:p>
          <w:p w:rsidR="00000000" w:rsidRPr="00601FA0" w:rsidP="00601FA0">
            <w:pPr>
              <w:pStyle w:val="ListBullet"/>
            </w:pPr>
            <w:r w:rsidRPr="00601FA0">
              <w:t>AS1940 The storage and handling of flammable combustible liquids</w:t>
            </w:r>
          </w:p>
          <w:p w:rsidR="00000000" w:rsidRPr="00601FA0" w:rsidP="00601FA0">
            <w:pPr>
              <w:pStyle w:val="ListBullet"/>
            </w:pPr>
            <w:r w:rsidRPr="00601FA0">
              <w:t>behaviour of sealant materials used in structures</w:t>
            </w:r>
          </w:p>
          <w:p w:rsidR="00000000" w:rsidRPr="00601FA0" w:rsidP="00601FA0">
            <w:pPr>
              <w:pStyle w:val="ListBullet"/>
            </w:pPr>
            <w:r w:rsidRPr="00601FA0">
              <w:t>job safety analysis (JSA) and safe work method statements</w:t>
            </w:r>
          </w:p>
          <w:p w:rsidR="00000000" w:rsidRPr="00601FA0" w:rsidP="00601FA0">
            <w:pPr>
              <w:pStyle w:val="ListBullet"/>
            </w:pPr>
            <w:r w:rsidRPr="00601FA0">
              <w:t>measurement and calculation techniques releva</w:t>
            </w:r>
            <w:r w:rsidRPr="00601FA0">
              <w:t>nt to surface areas</w:t>
            </w:r>
          </w:p>
          <w:p w:rsidR="00000000" w:rsidRPr="00601FA0" w:rsidP="00601FA0">
            <w:pPr>
              <w:pStyle w:val="ListBullet"/>
            </w:pPr>
            <w:r w:rsidRPr="00601FA0">
              <w:t>safe materials handling techniques and requirements, including hazardous materials relevant to sealant application work</w:t>
            </w:r>
          </w:p>
          <w:p w:rsidR="00000000" w:rsidRPr="00601FA0" w:rsidP="00601FA0">
            <w:pPr>
              <w:pStyle w:val="ListBullet"/>
            </w:pPr>
            <w:r w:rsidRPr="00601FA0">
              <w:t>safe use of scaffolding and working platforms</w:t>
            </w:r>
          </w:p>
          <w:p w:rsidR="00000000" w:rsidRPr="00601FA0" w:rsidP="00601FA0">
            <w:pPr>
              <w:pStyle w:val="ListBullet"/>
            </w:pPr>
            <w:r w:rsidRPr="00601FA0">
              <w:t>types and performance of sealants used in buildings</w:t>
            </w:r>
          </w:p>
          <w:p w:rsidR="00000000" w:rsidRPr="00601FA0" w:rsidP="00601FA0">
            <w:pPr>
              <w:pStyle w:val="ListBullet"/>
            </w:pPr>
            <w:r w:rsidRPr="00601FA0">
              <w:t>types and use of h</w:t>
            </w:r>
            <w:r w:rsidRPr="00601FA0">
              <w:t>and tools and equipment relevant to sealant application and installation work</w:t>
            </w:r>
          </w:p>
          <w:p w:rsidR="00000000" w:rsidRPr="00601FA0" w:rsidP="00601FA0">
            <w:pPr>
              <w:pStyle w:val="ListBullet"/>
            </w:pPr>
            <w:r w:rsidRPr="00601FA0">
              <w:t>workplace and equipment safety requirements.</w:t>
            </w:r>
          </w:p>
        </w:tc>
      </w:tr>
    </w:tbl>
    <w:p w:rsidR="003606C1" w:rsidP="00601FA0">
      <w:pPr>
        <w:pStyle w:val="BodyText"/>
      </w:pPr>
    </w:p>
    <w:p w:rsidR="003606C1" w:rsidP="00601FA0">
      <w:pPr>
        <w:pStyle w:val="BodyText"/>
      </w:pPr>
    </w:p>
    <w:p w:rsidR="00000000" w:rsidRPr="00601FA0" w:rsidP="00601FA0">
      <w:pPr>
        <w:pStyle w:val="AllowPageBreak"/>
      </w:pPr>
    </w:p>
    <w:p w:rsidR="00000000" w:rsidRPr="00601FA0" w:rsidP="00601FA0">
      <w:pPr>
        <w:pStyle w:val="Heading1"/>
      </w:pPr>
      <w:bookmarkStart w:id="10" w:name="O_242372"/>
      <w:bookmarkEnd w:id="10"/>
      <w:r w:rsidRPr="00601FA0">
        <w:t>Evidence Guide</w:t>
      </w:r>
    </w:p>
    <w:tbl>
      <w:tblPr>
        <w:tblW w:w="0" w:type="auto"/>
        <w:tblLayout w:type="fixed"/>
        <w:tblCellMar>
          <w:left w:w="62" w:type="dxa"/>
          <w:right w:w="62" w:type="dxa"/>
        </w:tblCellMar>
        <w:tblLook w:val="0000"/>
      </w:tblPr>
      <w:tblGrid>
        <w:gridCol w:w="3508"/>
        <w:gridCol w:w="5014"/>
      </w:tblGrid>
      <w:tr w:rsidTr="003606C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01FA0">
            <w:pPr>
              <w:pStyle w:val="BodyText"/>
              <w:rPr>
                <w:lang w:val="en-NZ"/>
              </w:rPr>
            </w:pPr>
            <w:r w:rsidRPr="00601FA0">
              <w:rPr>
                <w:rStyle w:val="SpecialBold"/>
              </w:rPr>
              <w:t>EVIDENCE GUIDE</w:t>
            </w:r>
          </w:p>
        </w:tc>
      </w:tr>
      <w:tr w:rsidTr="003606C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01FA0">
            <w:pPr>
              <w:pStyle w:val="BodyText"/>
              <w:rPr>
                <w:lang w:val="en-NZ"/>
              </w:rPr>
            </w:pPr>
            <w:r w:rsidRPr="00601FA0">
              <w:t>The evidence guide provides advice on assessment and must be read in conjunction with the performance criteria, required skills and knowledge, range statement and the Assessment Guidelines for the Training Package.</w:t>
            </w:r>
          </w:p>
        </w:tc>
      </w:tr>
      <w:tr w:rsidTr="003606C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t>This unit of com</w:t>
            </w:r>
            <w:r w:rsidRPr="00601FA0">
              <w:t>petency could be assessed in the workplace or a close simulation of the workplace environment, provided that simulated or project-based assessment techniques fully replicate construction workplace conditions, materials, activities, responsibilities and pro</w:t>
            </w:r>
            <w:r w:rsidRPr="00601FA0">
              <w:t xml:space="preserve">cedures. </w:t>
            </w:r>
          </w:p>
        </w:tc>
      </w:tr>
      <w:tr w:rsidTr="003606C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601FA0" w:rsidP="00601FA0">
            <w:pPr>
              <w:pStyle w:val="BodyText"/>
            </w:pPr>
            <w:r w:rsidRPr="00601FA0">
              <w:t>A person who demonstrates competency in this unit must be able to handle and use all the sealant materials and application devices listed in the range s</w:t>
            </w:r>
            <w:r w:rsidRPr="00601FA0">
              <w:t>tatement, providing evidence of the ability to:</w:t>
            </w:r>
          </w:p>
          <w:p w:rsidR="00000000" w:rsidRPr="00601FA0" w:rsidP="00601FA0">
            <w:pPr>
              <w:pStyle w:val="ListBullet"/>
            </w:pPr>
            <w:r w:rsidRPr="00601FA0">
              <w:t>comply with OHS regulations and state and territory legislation applicable to workplace operations</w:t>
            </w:r>
          </w:p>
          <w:p w:rsidR="00000000" w:rsidRPr="00601FA0" w:rsidP="00601FA0">
            <w:pPr>
              <w:pStyle w:val="ListBullet"/>
            </w:pPr>
            <w:r w:rsidRPr="00601FA0">
              <w:t>comply with organisational policies and procedures, including quality assurance requirements</w:t>
            </w:r>
          </w:p>
          <w:p w:rsidR="00000000" w:rsidRPr="00601FA0" w:rsidP="00601FA0">
            <w:pPr>
              <w:pStyle w:val="ListBullet"/>
            </w:pPr>
            <w:r w:rsidRPr="00601FA0">
              <w:t>select and use appropriate processes, tools and equipment to carry out tasks</w:t>
            </w:r>
          </w:p>
          <w:p w:rsidR="00000000" w:rsidRPr="00601FA0" w:rsidP="00601FA0">
            <w:pPr>
              <w:pStyle w:val="ListBullet"/>
            </w:pPr>
            <w:r w:rsidRPr="00601FA0">
              <w:t>adopt and carry out correct procedures prior to and during handling and application of materials</w:t>
            </w:r>
          </w:p>
          <w:p w:rsidR="00000000" w:rsidRPr="00601FA0" w:rsidP="00601FA0">
            <w:pPr>
              <w:pStyle w:val="ListBullet"/>
            </w:pPr>
            <w:r w:rsidRPr="00601FA0">
              <w:t>demonstrate safe and effective operational use of tools and equipment</w:t>
            </w:r>
          </w:p>
          <w:p w:rsidR="00000000" w:rsidRPr="00601FA0" w:rsidP="00601FA0">
            <w:pPr>
              <w:pStyle w:val="ListBullet"/>
            </w:pPr>
            <w:r w:rsidRPr="00601FA0">
              <w:t xml:space="preserve">demonstrate </w:t>
            </w:r>
            <w:r w:rsidRPr="00601FA0">
              <w:t>safe application in the process of cleaning up application area and cleaning equipment</w:t>
            </w:r>
          </w:p>
          <w:p w:rsidR="00000000" w:rsidP="00601FA0">
            <w:pPr>
              <w:pStyle w:val="ListBullet"/>
              <w:rPr>
                <w:lang w:val="en-NZ"/>
              </w:rPr>
            </w:pPr>
            <w:r w:rsidRPr="00601FA0">
              <w:t>communicate with others to ensure safe and effective operations.</w:t>
            </w:r>
          </w:p>
        </w:tc>
      </w:tr>
      <w:tr w:rsidTr="003606C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RPr="00601FA0" w:rsidP="00601FA0">
            <w:pPr>
              <w:pStyle w:val="BodyText"/>
            </w:pPr>
            <w:r w:rsidRPr="00601FA0">
              <w:rPr>
                <w:rStyle w:val="SpecialBold"/>
              </w:rPr>
              <w:t>Context of and specific</w:t>
            </w:r>
          </w:p>
          <w:p w:rsidR="00000000" w:rsidP="00601FA0">
            <w:pPr>
              <w:pStyle w:val="BodyText"/>
              <w:rPr>
                <w:lang w:val="en-NZ"/>
              </w:rPr>
            </w:pPr>
            <w:r w:rsidRPr="00601FA0">
              <w:rPr>
                <w:rStyle w:val="SpecialBold"/>
              </w:rPr>
              <w:t>resources for assessment</w:t>
            </w:r>
          </w:p>
        </w:tc>
        <w:tc>
          <w:tcPr>
            <w:tcW w:w="5014" w:type="dxa"/>
            <w:tcBorders>
              <w:top w:val="nil"/>
              <w:left w:val="nil"/>
              <w:bottom w:val="nil"/>
              <w:right w:val="nil"/>
            </w:tcBorders>
            <w:tcMar>
              <w:top w:w="0" w:type="dxa"/>
              <w:left w:w="62" w:type="dxa"/>
              <w:bottom w:w="0" w:type="dxa"/>
              <w:right w:w="62" w:type="dxa"/>
            </w:tcMar>
          </w:tcPr>
          <w:p w:rsidR="00000000" w:rsidRPr="00601FA0" w:rsidP="00601FA0">
            <w:pPr>
              <w:pStyle w:val="BodyText"/>
            </w:pPr>
            <w:r w:rsidRPr="00601FA0">
              <w:t>This competency is to be assessed using standard and a</w:t>
            </w:r>
            <w:r w:rsidRPr="00601FA0">
              <w:t>uthorised work practices, safety requirements and environmental constraints.</w:t>
            </w:r>
          </w:p>
          <w:p w:rsidR="00000000" w:rsidRPr="00601FA0" w:rsidP="00601FA0">
            <w:pPr>
              <w:pStyle w:val="BodyText"/>
            </w:pPr>
            <w:r w:rsidRPr="00601FA0">
              <w:t>Assessment of essential underpinning knowledge will usually be conducted in an off-site context.</w:t>
            </w:r>
          </w:p>
          <w:p w:rsidR="00000000" w:rsidRPr="00601FA0" w:rsidP="00601FA0">
            <w:pPr>
              <w:pStyle w:val="BodyText"/>
            </w:pPr>
            <w:r w:rsidRPr="00601FA0">
              <w:t>Assessment is to comply with relevant regulatory or Australian standards' requirem</w:t>
            </w:r>
            <w:r w:rsidRPr="00601FA0">
              <w:t>ents.</w:t>
            </w:r>
          </w:p>
          <w:p w:rsidR="00000000" w:rsidRPr="00601FA0" w:rsidP="00601FA0">
            <w:pPr>
              <w:pStyle w:val="BodyText"/>
            </w:pPr>
            <w:r w:rsidRPr="00601FA0">
              <w:t>Resource implications for assessment include:</w:t>
            </w:r>
          </w:p>
          <w:p w:rsidR="00000000" w:rsidRPr="00601FA0" w:rsidP="00601FA0">
            <w:pPr>
              <w:pStyle w:val="ListBullet"/>
            </w:pPr>
            <w:r w:rsidRPr="00601FA0">
              <w:t>sealants and sealant devices appropriate to application tasks</w:t>
            </w:r>
          </w:p>
          <w:p w:rsidR="00000000" w:rsidRPr="00601FA0" w:rsidP="00601FA0">
            <w:pPr>
              <w:pStyle w:val="ListBullet"/>
            </w:pPr>
            <w:r w:rsidRPr="00601FA0">
              <w:t>plant and equipment appropriate to application processes</w:t>
            </w:r>
          </w:p>
          <w:p w:rsidR="00000000" w:rsidRPr="00601FA0" w:rsidP="00601FA0">
            <w:pPr>
              <w:pStyle w:val="ListBullet"/>
            </w:pPr>
            <w:r w:rsidRPr="00601FA0">
              <w:t>hand tools appropriate to application processes</w:t>
            </w:r>
          </w:p>
          <w:p w:rsidR="00000000" w:rsidRPr="00601FA0" w:rsidP="00601FA0">
            <w:pPr>
              <w:pStyle w:val="ListBullet"/>
            </w:pPr>
            <w:r w:rsidRPr="00601FA0">
              <w:t>work location appropriate to activity processes</w:t>
            </w:r>
          </w:p>
          <w:p w:rsidR="00000000" w:rsidRPr="00601FA0" w:rsidP="00601FA0">
            <w:pPr>
              <w:pStyle w:val="ListBullet"/>
            </w:pPr>
            <w:r w:rsidRPr="00601FA0">
              <w:t>MSDS information.</w:t>
            </w:r>
          </w:p>
          <w:p w:rsidR="00000000" w:rsidP="00601FA0">
            <w:pPr>
              <w:pStyle w:val="BodyText"/>
              <w:rPr>
                <w:lang w:val="en-NZ"/>
              </w:rPr>
            </w:pPr>
            <w:r w:rsidRPr="00601FA0">
              <w:t>Reasonable adjustments for people with disabilities must be made to assessment processes where required. This could include access to modified equipment and other physical resources, and the</w:t>
            </w:r>
            <w:r w:rsidRPr="00601FA0">
              <w:t xml:space="preserve"> provision of appropriate assessment support. </w:t>
            </w:r>
          </w:p>
        </w:tc>
      </w:tr>
      <w:tr w:rsidTr="003606C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601FA0" w:rsidP="00601FA0">
            <w:pPr>
              <w:pStyle w:val="BodyText"/>
            </w:pPr>
            <w:r w:rsidRPr="00601FA0">
              <w:t>Assessment methods must:</w:t>
            </w:r>
          </w:p>
          <w:p w:rsidR="00000000" w:rsidRPr="00601FA0" w:rsidP="00601FA0">
            <w:pPr>
              <w:pStyle w:val="ListBullet"/>
            </w:pPr>
            <w:r w:rsidRPr="00601FA0">
              <w:t>satisfy the endorsed Assessment Guidelines of the Construction, Plumbing and Services Training Package</w:t>
            </w:r>
          </w:p>
          <w:p w:rsidR="00000000" w:rsidRPr="00601FA0" w:rsidP="00601FA0">
            <w:pPr>
              <w:pStyle w:val="ListBullet"/>
            </w:pPr>
            <w:r w:rsidRPr="00601FA0">
              <w:t>include direct observation of tasks in real or simulated w</w:t>
            </w:r>
            <w:r w:rsidRPr="00601FA0">
              <w:t>ork conditions, with questioning to confirm the ability to consistently identify and correctly interpret the essential underpinning knowledge required for practical application</w:t>
            </w:r>
          </w:p>
          <w:p w:rsidR="00000000" w:rsidRPr="00601FA0" w:rsidP="00601FA0">
            <w:pPr>
              <w:pStyle w:val="ListBullet"/>
            </w:pPr>
            <w:r w:rsidRPr="00601FA0">
              <w:t xml:space="preserve">reinforce the integration of employability skills with workplace tasks and job </w:t>
            </w:r>
            <w:r w:rsidRPr="00601FA0">
              <w:t>roles</w:t>
            </w:r>
          </w:p>
          <w:p w:rsidR="00000000" w:rsidRPr="00601FA0" w:rsidP="00601FA0">
            <w:pPr>
              <w:pStyle w:val="ListBullet"/>
            </w:pPr>
            <w:r w:rsidRPr="00601FA0">
              <w:t>confirm a reasonable inference that competency is not only verified under the particular assessment circumstance, but is able to be transferred to other circumstances and environments.</w:t>
            </w:r>
          </w:p>
          <w:p w:rsidR="00000000" w:rsidRPr="00601FA0" w:rsidP="00601FA0">
            <w:pPr>
              <w:pStyle w:val="BodyText"/>
            </w:pPr>
            <w:r w:rsidRPr="00601FA0">
              <w:t>Validity and sufficiency of evidence requires that:</w:t>
            </w:r>
          </w:p>
          <w:p w:rsidR="00000000" w:rsidRPr="00601FA0" w:rsidP="00601FA0">
            <w:pPr>
              <w:pStyle w:val="ListBullet"/>
            </w:pPr>
            <w:r w:rsidRPr="00601FA0">
              <w:t>competency w</w:t>
            </w:r>
            <w:r w:rsidRPr="00601FA0">
              <w:t>ill need to be demonstrated over a period of time reflecting the scope of the role and practical requirements of the workplace</w:t>
            </w:r>
          </w:p>
          <w:p w:rsidR="00000000" w:rsidRPr="00601FA0" w:rsidP="00601FA0">
            <w:pPr>
              <w:pStyle w:val="ListBullet"/>
            </w:pPr>
            <w:r w:rsidRPr="00601FA0">
              <w:t>where the assessment is part of a structured learning experience the evidence collected must relate to a number of performances a</w:t>
            </w:r>
            <w:r w:rsidRPr="00601FA0">
              <w:t>ssessed at different points in time and separated by further learning and practice with a decision on competency only taken at the point when the assessor has complete confidence in the person's demonstrated ability and applied knowledge</w:t>
            </w:r>
          </w:p>
          <w:p w:rsidR="00000000" w:rsidRPr="00601FA0" w:rsidP="00601FA0">
            <w:pPr>
              <w:pStyle w:val="ListBullet"/>
            </w:pPr>
            <w:r w:rsidRPr="00601FA0">
              <w:t>all assessment tha</w:t>
            </w:r>
            <w:r w:rsidRPr="00601FA0">
              <w:t>t is part of a structured learning experience must include a combination of direct, indirect and supplementary evidence.</w:t>
            </w:r>
          </w:p>
          <w:p w:rsidR="00000000" w:rsidRPr="00601FA0" w:rsidP="00601FA0">
            <w:pPr>
              <w:pStyle w:val="BodyText"/>
            </w:pPr>
            <w:r w:rsidRPr="00601FA0">
              <w:t>Assessment processes and techniques should, as far as is practical, take into account the language, literacy and numeracy capacity of the candidate in relation to the competency being assessed.</w:t>
            </w:r>
          </w:p>
          <w:p w:rsidR="00000000" w:rsidRPr="00601FA0" w:rsidP="00601FA0">
            <w:pPr>
              <w:pStyle w:val="BodyText"/>
            </w:pPr>
            <w:r w:rsidRPr="00601FA0">
              <w:t>Supplementary evidence of competency may be obtained from rele</w:t>
            </w:r>
            <w:r w:rsidRPr="00601FA0">
              <w:t xml:space="preserve">vant authenticated documentation from third parties, such as existing supervisors, team leaders or specialist training staff. </w:t>
            </w:r>
          </w:p>
        </w:tc>
      </w:tr>
    </w:tbl>
    <w:p w:rsidR="003606C1" w:rsidP="00601FA0">
      <w:pPr>
        <w:pStyle w:val="BodyText"/>
      </w:pPr>
    </w:p>
    <w:p w:rsidR="003606C1" w:rsidP="00601FA0">
      <w:pPr>
        <w:pStyle w:val="BodyText"/>
      </w:pPr>
    </w:p>
    <w:p w:rsidR="00000000" w:rsidRPr="00601FA0" w:rsidP="00601FA0">
      <w:pPr>
        <w:pStyle w:val="Heading1"/>
      </w:pPr>
      <w:bookmarkStart w:id="11" w:name="O_250355"/>
      <w:bookmarkEnd w:id="11"/>
      <w:r w:rsidRPr="00601FA0">
        <w:t>Range Statement</w:t>
      </w:r>
    </w:p>
    <w:tbl>
      <w:tblPr>
        <w:tblW w:w="0" w:type="auto"/>
        <w:tblLayout w:type="fixed"/>
        <w:tblCellMar>
          <w:left w:w="62" w:type="dxa"/>
          <w:right w:w="62" w:type="dxa"/>
        </w:tblCellMar>
        <w:tblLook w:val="0000"/>
      </w:tblPr>
      <w:tblGrid>
        <w:gridCol w:w="3481"/>
        <w:gridCol w:w="5041"/>
      </w:tblGrid>
      <w:tr w:rsidTr="003606C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01FA0">
            <w:pPr>
              <w:pStyle w:val="BodyText"/>
              <w:rPr>
                <w:lang w:val="en-NZ"/>
              </w:rPr>
            </w:pPr>
            <w:r w:rsidRPr="00601FA0">
              <w:rPr>
                <w:rStyle w:val="SpecialBold"/>
              </w:rPr>
              <w:t>RANGE STATEMENT</w:t>
            </w:r>
          </w:p>
        </w:tc>
      </w:tr>
      <w:tr w:rsidTr="003606C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01FA0">
            <w:pPr>
              <w:pStyle w:val="BodyText"/>
              <w:rPr>
                <w:lang w:val="en-NZ"/>
              </w:rPr>
            </w:pPr>
            <w:r w:rsidRPr="00601FA0">
              <w:t>The range statement relates to the unit of competency as a whole. It allows for different work environments and situations that may affect performance. Bold italicised wording, if used in the performance criteria, is detailed below. Essential operating con</w:t>
            </w:r>
            <w:r w:rsidRPr="00601FA0">
              <w:t>ditions that may be present with training and assessment (depending on the work situation, needs of the candidate, accessibility of the item, and local industry and regional contexts) may also be included.</w:t>
            </w:r>
          </w:p>
        </w:tc>
      </w:tr>
      <w:tr w:rsidTr="003606C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rPr>
                <w:rStyle w:val="BoldandItalics"/>
              </w:rPr>
              <w:t>Information</w:t>
            </w:r>
            <w:r w:rsidRPr="00601FA0">
              <w:t xml:space="preserve"> includes: </w:t>
            </w:r>
          </w:p>
        </w:tc>
        <w:tc>
          <w:tcPr>
            <w:tcW w:w="5041" w:type="dxa"/>
            <w:tcBorders>
              <w:top w:val="nil"/>
              <w:left w:val="nil"/>
              <w:bottom w:val="nil"/>
              <w:right w:val="nil"/>
            </w:tcBorders>
            <w:tcMar>
              <w:top w:w="0" w:type="dxa"/>
              <w:left w:w="62" w:type="dxa"/>
              <w:bottom w:w="0" w:type="dxa"/>
              <w:right w:w="62" w:type="dxa"/>
            </w:tcMar>
          </w:tcPr>
          <w:p w:rsidR="00000000" w:rsidRPr="00601FA0" w:rsidP="00601FA0">
            <w:pPr>
              <w:pStyle w:val="ListBullet"/>
            </w:pPr>
            <w:r w:rsidRPr="00601FA0">
              <w:t>diagrams or sketches</w:t>
            </w:r>
          </w:p>
          <w:p w:rsidR="00000000" w:rsidRPr="00601FA0" w:rsidP="00601FA0">
            <w:pPr>
              <w:pStyle w:val="ListBullet"/>
            </w:pPr>
            <w:r w:rsidRPr="00601FA0">
              <w:t>ins</w:t>
            </w:r>
            <w:r w:rsidRPr="00601FA0">
              <w:t>tructions issued by authorised organisational or external personnel</w:t>
            </w:r>
          </w:p>
          <w:p w:rsidR="00000000" w:rsidRPr="00601FA0" w:rsidP="00601FA0">
            <w:pPr>
              <w:pStyle w:val="ListBullet"/>
            </w:pPr>
            <w:r w:rsidRPr="00601FA0">
              <w:t>manufacturer specifications and instructions, where specified</w:t>
            </w:r>
          </w:p>
          <w:p w:rsidR="00000000" w:rsidRPr="00601FA0" w:rsidP="00601FA0">
            <w:pPr>
              <w:pStyle w:val="ListBullet"/>
            </w:pPr>
            <w:r w:rsidRPr="00601FA0">
              <w:t>material safety data sheets (MSDS)</w:t>
            </w:r>
          </w:p>
          <w:p w:rsidR="00000000" w:rsidRPr="00601FA0" w:rsidP="00601FA0">
            <w:pPr>
              <w:pStyle w:val="ListBullet"/>
            </w:pPr>
            <w:r w:rsidRPr="00601FA0">
              <w:t>memos</w:t>
            </w:r>
          </w:p>
          <w:p w:rsidR="00000000" w:rsidRPr="00601FA0" w:rsidP="00601FA0">
            <w:pPr>
              <w:pStyle w:val="ListBullet"/>
            </w:pPr>
            <w:r w:rsidRPr="00601FA0">
              <w:t>regulatory and legislative requirements pertaining to application of sealants and sealant devices</w:t>
            </w:r>
          </w:p>
          <w:p w:rsidR="00000000" w:rsidRPr="00601FA0" w:rsidP="00601FA0">
            <w:pPr>
              <w:pStyle w:val="ListBullet"/>
            </w:pPr>
            <w:r w:rsidRPr="00601FA0">
              <w:t>relevant Australian standards</w:t>
            </w:r>
          </w:p>
          <w:p w:rsidR="00000000" w:rsidRPr="00601FA0" w:rsidP="00601FA0">
            <w:pPr>
              <w:pStyle w:val="ListBullet"/>
            </w:pPr>
            <w:r w:rsidRPr="00601FA0">
              <w:t>safe work procedures relating to application of sealants and sealant devices</w:t>
            </w:r>
          </w:p>
          <w:p w:rsidR="00000000" w:rsidRPr="00601FA0" w:rsidP="00601FA0">
            <w:pPr>
              <w:pStyle w:val="ListBullet"/>
            </w:pPr>
            <w:r w:rsidRPr="00601FA0">
              <w:t>signage</w:t>
            </w:r>
          </w:p>
          <w:p w:rsidR="00000000" w:rsidRPr="00601FA0" w:rsidP="00601FA0">
            <w:pPr>
              <w:pStyle w:val="ListBullet"/>
            </w:pPr>
            <w:r w:rsidRPr="00601FA0">
              <w:t>verbal, written and graphical instructions</w:t>
            </w:r>
          </w:p>
          <w:p w:rsidR="00000000" w:rsidRPr="00601FA0" w:rsidP="00601FA0">
            <w:pPr>
              <w:pStyle w:val="ListBullet"/>
            </w:pPr>
            <w:r w:rsidRPr="00601FA0">
              <w:t>work bulletins</w:t>
            </w:r>
          </w:p>
          <w:p w:rsidR="00000000" w:rsidP="00601FA0">
            <w:pPr>
              <w:pStyle w:val="ListBullet"/>
              <w:rPr>
                <w:lang w:val="en-NZ"/>
              </w:rPr>
            </w:pPr>
            <w:r w:rsidRPr="00601FA0">
              <w:t>work schedules, plans and specifications.</w:t>
            </w:r>
          </w:p>
        </w:tc>
      </w:tr>
      <w:tr w:rsidTr="003606C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rPr>
                <w:rStyle w:val="BoldandItalics"/>
              </w:rPr>
              <w:t>Planning and preparation</w:t>
            </w:r>
            <w:r w:rsidRPr="00601FA0">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601FA0" w:rsidP="00601FA0">
            <w:pPr>
              <w:pStyle w:val="ListBullet"/>
            </w:pPr>
            <w:r w:rsidRPr="00601FA0">
              <w:t>assessment of conditions and hazards</w:t>
            </w:r>
          </w:p>
          <w:p w:rsidR="00000000" w:rsidRPr="00601FA0" w:rsidP="00601FA0">
            <w:pPr>
              <w:pStyle w:val="ListBullet"/>
            </w:pPr>
            <w:r w:rsidRPr="00601FA0">
              <w:t>determination of work requirements and safety plans and policies</w:t>
            </w:r>
          </w:p>
          <w:p w:rsidR="00000000" w:rsidRPr="00601FA0" w:rsidP="00601FA0">
            <w:pPr>
              <w:pStyle w:val="ListBullet"/>
            </w:pPr>
            <w:r w:rsidRPr="00601FA0">
              <w:t>equipment defect identification</w:t>
            </w:r>
          </w:p>
          <w:p w:rsidR="00000000" w:rsidP="00601FA0">
            <w:pPr>
              <w:pStyle w:val="ListBullet"/>
              <w:rPr>
                <w:lang w:val="en-NZ"/>
              </w:rPr>
            </w:pPr>
            <w:r w:rsidRPr="00601FA0">
              <w:t>work site inspection.</w:t>
            </w:r>
          </w:p>
        </w:tc>
      </w:tr>
      <w:tr w:rsidTr="003606C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rPr>
                <w:rStyle w:val="BoldandItalics"/>
              </w:rPr>
              <w:t>Safety</w:t>
            </w:r>
            <w:r w:rsidRPr="00601FA0">
              <w:t xml:space="preserve"> (</w:t>
            </w:r>
            <w:r w:rsidRPr="00601FA0">
              <w:rPr>
                <w:rStyle w:val="BoldandItalics"/>
              </w:rPr>
              <w:t>OHS</w:t>
            </w:r>
            <w:r w:rsidRPr="00601FA0">
              <w:t xml:space="preserve">) is to be in accordance with state and territory legislation and regulations and project safety plan and may include: </w:t>
            </w:r>
          </w:p>
        </w:tc>
        <w:tc>
          <w:tcPr>
            <w:tcW w:w="5041" w:type="dxa"/>
            <w:tcBorders>
              <w:top w:val="nil"/>
              <w:left w:val="nil"/>
              <w:bottom w:val="nil"/>
              <w:right w:val="nil"/>
            </w:tcBorders>
            <w:tcMar>
              <w:top w:w="0" w:type="dxa"/>
              <w:left w:w="62" w:type="dxa"/>
              <w:bottom w:w="0" w:type="dxa"/>
              <w:right w:w="62" w:type="dxa"/>
            </w:tcMar>
          </w:tcPr>
          <w:p w:rsidR="00000000" w:rsidRPr="00601FA0" w:rsidP="00601FA0">
            <w:pPr>
              <w:pStyle w:val="ListBullet"/>
            </w:pPr>
            <w:r w:rsidRPr="00601FA0">
              <w:t>emergency procedures, including extinguishing fires, organisational first aid requirements and evacuation</w:t>
            </w:r>
          </w:p>
          <w:p w:rsidR="00000000" w:rsidRPr="00601FA0" w:rsidP="00601FA0">
            <w:pPr>
              <w:pStyle w:val="ListBullet"/>
            </w:pPr>
            <w:r w:rsidRPr="00601FA0">
              <w:t>handling hazardous</w:t>
            </w:r>
            <w:r w:rsidRPr="00601FA0">
              <w:t xml:space="preserve"> materials where applicable in accordance with AS1940 The storage and handling of flammable combustible liquids</w:t>
            </w:r>
          </w:p>
          <w:p w:rsidR="00000000" w:rsidRPr="00601FA0" w:rsidP="00601FA0">
            <w:pPr>
              <w:pStyle w:val="ListBullet"/>
            </w:pPr>
            <w:r w:rsidRPr="00601FA0">
              <w:t>hazard control</w:t>
            </w:r>
          </w:p>
          <w:p w:rsidR="00000000" w:rsidRPr="00601FA0" w:rsidP="00601FA0">
            <w:pPr>
              <w:pStyle w:val="ListBullet"/>
            </w:pPr>
            <w:r w:rsidRPr="00601FA0">
              <w:t>hazardous materials and substances</w:t>
            </w:r>
          </w:p>
          <w:p w:rsidR="00000000" w:rsidRPr="00601FA0" w:rsidP="00601FA0">
            <w:pPr>
              <w:pStyle w:val="ListBullet"/>
            </w:pPr>
            <w:r w:rsidRPr="00601FA0">
              <w:t>organisational first aid</w:t>
            </w:r>
          </w:p>
          <w:p w:rsidR="00000000" w:rsidRPr="00601FA0" w:rsidP="00601FA0">
            <w:pPr>
              <w:pStyle w:val="ListBullet"/>
            </w:pPr>
            <w:r w:rsidRPr="00601FA0">
              <w:t xml:space="preserve">PPE prescribed under legislation, regulations and workplace policies </w:t>
            </w:r>
            <w:r w:rsidRPr="00601FA0">
              <w:t>and practices</w:t>
            </w:r>
          </w:p>
          <w:p w:rsidR="00000000" w:rsidRPr="00601FA0" w:rsidP="00601FA0">
            <w:pPr>
              <w:pStyle w:val="ListBullet"/>
            </w:pPr>
            <w:r w:rsidRPr="00601FA0">
              <w:t>safe operating procedures, including the conduct of operational risk assessment and treatments associated with:</w:t>
            </w:r>
          </w:p>
          <w:p w:rsidR="00000000" w:rsidRPr="00601FA0" w:rsidP="00601FA0">
            <w:pPr>
              <w:pStyle w:val="ListBullet2"/>
            </w:pPr>
            <w:r w:rsidRPr="00601FA0">
              <w:t>concealed services (water, power and gas)</w:t>
            </w:r>
          </w:p>
          <w:p w:rsidR="00000000" w:rsidRPr="00601FA0" w:rsidP="00601FA0">
            <w:pPr>
              <w:pStyle w:val="ListBullet2"/>
            </w:pPr>
            <w:r w:rsidRPr="00601FA0">
              <w:t>lighting</w:t>
            </w:r>
          </w:p>
          <w:p w:rsidR="00000000" w:rsidRPr="00601FA0" w:rsidP="00601FA0">
            <w:pPr>
              <w:pStyle w:val="ListBullet2"/>
            </w:pPr>
            <w:r w:rsidRPr="00601FA0">
              <w:t>restricted access barriers</w:t>
            </w:r>
          </w:p>
          <w:p w:rsidR="00000000" w:rsidRPr="00601FA0" w:rsidP="00601FA0">
            <w:pPr>
              <w:pStyle w:val="ListBullet2"/>
            </w:pPr>
            <w:r w:rsidRPr="00601FA0">
              <w:t>traffic control</w:t>
            </w:r>
          </w:p>
          <w:p w:rsidR="00000000" w:rsidRPr="00601FA0" w:rsidP="00601FA0">
            <w:pPr>
              <w:pStyle w:val="ListBullet2"/>
            </w:pPr>
            <w:r w:rsidRPr="00601FA0">
              <w:t>work site visitors and the public</w:t>
            </w:r>
          </w:p>
          <w:p w:rsidR="00000000" w:rsidRPr="00601FA0" w:rsidP="00601FA0">
            <w:pPr>
              <w:pStyle w:val="ListBullet2"/>
            </w:pPr>
            <w:r w:rsidRPr="00601FA0">
              <w:t>working at heights</w:t>
            </w:r>
          </w:p>
          <w:p w:rsidR="00000000" w:rsidRPr="00601FA0" w:rsidP="00601FA0">
            <w:pPr>
              <w:pStyle w:val="ListBullet2"/>
            </w:pPr>
            <w:r w:rsidRPr="00601FA0">
              <w:t>working in confined spaces</w:t>
            </w:r>
          </w:p>
          <w:p w:rsidR="00000000" w:rsidRPr="00601FA0" w:rsidP="00601FA0">
            <w:pPr>
              <w:pStyle w:val="ListBullet2"/>
            </w:pPr>
            <w:r w:rsidRPr="00601FA0">
              <w:t>working in proximity to others</w:t>
            </w:r>
          </w:p>
          <w:p w:rsidR="00000000" w:rsidRPr="00601FA0" w:rsidP="00601FA0">
            <w:pPr>
              <w:pStyle w:val="ListBullet"/>
            </w:pPr>
            <w:r w:rsidRPr="00601FA0">
              <w:t>use of firefighting equipment</w:t>
            </w:r>
          </w:p>
          <w:p w:rsidR="00000000" w:rsidRPr="00601FA0" w:rsidP="00601FA0">
            <w:pPr>
              <w:pStyle w:val="ListBullet"/>
            </w:pPr>
            <w:r w:rsidRPr="00601FA0">
              <w:t>use of tools and equipment</w:t>
            </w:r>
          </w:p>
          <w:p w:rsidR="00000000" w:rsidP="00601FA0">
            <w:pPr>
              <w:pStyle w:val="ListBullet"/>
              <w:rPr>
                <w:lang w:val="en-NZ"/>
              </w:rPr>
            </w:pPr>
            <w:r w:rsidRPr="00601FA0">
              <w:t>workplace environmental requirements and safety.</w:t>
            </w:r>
          </w:p>
        </w:tc>
      </w:tr>
      <w:tr w:rsidTr="003606C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rPr>
                <w:rStyle w:val="BoldandItalics"/>
              </w:rPr>
              <w:t>Tools and equipment</w:t>
            </w:r>
            <w:r w:rsidRPr="00601FA0">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601FA0" w:rsidP="00601FA0">
            <w:pPr>
              <w:pStyle w:val="ListBullet"/>
            </w:pPr>
            <w:r w:rsidRPr="00601FA0">
              <w:t>brooms</w:t>
            </w:r>
          </w:p>
          <w:p w:rsidR="00000000" w:rsidRPr="00601FA0" w:rsidP="00601FA0">
            <w:pPr>
              <w:pStyle w:val="ListBullet"/>
            </w:pPr>
            <w:r w:rsidRPr="00601FA0">
              <w:t>brushes</w:t>
            </w:r>
          </w:p>
          <w:p w:rsidR="00000000" w:rsidRPr="00601FA0" w:rsidP="00601FA0">
            <w:pPr>
              <w:pStyle w:val="ListBullet"/>
            </w:pPr>
            <w:r w:rsidRPr="00601FA0">
              <w:t>cartridge applicators</w:t>
            </w:r>
          </w:p>
          <w:p w:rsidR="00000000" w:rsidRPr="00601FA0" w:rsidP="00601FA0">
            <w:pPr>
              <w:pStyle w:val="ListBullet"/>
            </w:pPr>
            <w:r w:rsidRPr="00601FA0">
              <w:t>putty knives and paring knives</w:t>
            </w:r>
          </w:p>
          <w:p w:rsidR="00000000" w:rsidRPr="00601FA0" w:rsidP="00601FA0">
            <w:pPr>
              <w:pStyle w:val="ListBullet"/>
            </w:pPr>
            <w:r w:rsidRPr="00601FA0">
              <w:t>rollers</w:t>
            </w:r>
          </w:p>
          <w:p w:rsidR="00000000" w:rsidRPr="00601FA0" w:rsidP="00601FA0">
            <w:pPr>
              <w:pStyle w:val="ListBullet"/>
            </w:pPr>
            <w:r w:rsidRPr="00601FA0">
              <w:t>sanders</w:t>
            </w:r>
          </w:p>
          <w:p w:rsidR="00000000" w:rsidP="00601FA0">
            <w:pPr>
              <w:pStyle w:val="ListBullet"/>
              <w:rPr>
                <w:lang w:val="en-NZ"/>
              </w:rPr>
            </w:pPr>
            <w:r w:rsidRPr="00601FA0">
              <w:t>spray equipment.</w:t>
            </w:r>
          </w:p>
        </w:tc>
      </w:tr>
      <w:tr w:rsidTr="003606C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rPr>
                <w:rStyle w:val="BoldandItalics"/>
              </w:rPr>
              <w:t>Quality requirements</w:t>
            </w:r>
            <w:r w:rsidRPr="00601FA0">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601FA0" w:rsidP="00601FA0">
            <w:pPr>
              <w:pStyle w:val="ListBullet"/>
            </w:pPr>
            <w:r w:rsidRPr="00601FA0">
              <w:t>attention to job specifications</w:t>
            </w:r>
          </w:p>
          <w:p w:rsidR="00000000" w:rsidRPr="00601FA0" w:rsidP="00601FA0">
            <w:pPr>
              <w:pStyle w:val="ListBullet"/>
            </w:pPr>
            <w:r w:rsidRPr="00601FA0">
              <w:t>control of handling procedures</w:t>
            </w:r>
          </w:p>
          <w:p w:rsidR="00000000" w:rsidRPr="00601FA0" w:rsidP="00601FA0">
            <w:pPr>
              <w:pStyle w:val="ListBullet"/>
            </w:pPr>
            <w:r w:rsidRPr="00601FA0">
              <w:t>preparation of surfaces</w:t>
            </w:r>
          </w:p>
          <w:p w:rsidR="00000000" w:rsidRPr="00601FA0" w:rsidP="00601FA0">
            <w:pPr>
              <w:pStyle w:val="ListBullet"/>
            </w:pPr>
            <w:r w:rsidRPr="00601FA0">
              <w:t>quality of materials</w:t>
            </w:r>
          </w:p>
          <w:p w:rsidR="00000000" w:rsidRPr="00601FA0" w:rsidP="00601FA0">
            <w:pPr>
              <w:pStyle w:val="ListBullet"/>
            </w:pPr>
            <w:r w:rsidRPr="00601FA0">
              <w:t>relevant regulations, including:</w:t>
            </w:r>
          </w:p>
          <w:p w:rsidR="00000000" w:rsidRPr="00601FA0" w:rsidP="00601FA0">
            <w:pPr>
              <w:pStyle w:val="ListBullet2"/>
            </w:pPr>
            <w:r w:rsidRPr="00601FA0">
              <w:t>Australian standards</w:t>
            </w:r>
          </w:p>
          <w:p w:rsidR="00000000" w:rsidRPr="00601FA0" w:rsidP="00601FA0">
            <w:pPr>
              <w:pStyle w:val="ListBullet2"/>
            </w:pPr>
            <w:r w:rsidRPr="00601FA0">
              <w:t>internal company quality policy and standards</w:t>
            </w:r>
          </w:p>
          <w:p w:rsidR="00000000" w:rsidRPr="00601FA0" w:rsidP="00601FA0">
            <w:pPr>
              <w:pStyle w:val="ListBullet2"/>
            </w:pPr>
            <w:r w:rsidRPr="00601FA0">
              <w:t>manufacturer specifications where specified</w:t>
            </w:r>
          </w:p>
          <w:p w:rsidR="00000000" w:rsidRPr="00601FA0" w:rsidP="00601FA0">
            <w:pPr>
              <w:pStyle w:val="ListBullet2"/>
            </w:pPr>
            <w:r w:rsidRPr="00601FA0">
              <w:t>workplace operations and procedures</w:t>
            </w:r>
          </w:p>
          <w:p w:rsidR="00000000" w:rsidP="00601FA0">
            <w:pPr>
              <w:pStyle w:val="ListBullet"/>
              <w:rPr>
                <w:lang w:val="en-NZ"/>
              </w:rPr>
            </w:pPr>
            <w:r w:rsidRPr="00601FA0">
              <w:t>use and maintenance of equipment.</w:t>
            </w:r>
          </w:p>
        </w:tc>
      </w:tr>
      <w:tr w:rsidTr="003606C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rPr>
                <w:rStyle w:val="BoldandItalics"/>
              </w:rPr>
              <w:t>Environmental requirements</w:t>
            </w:r>
            <w:r w:rsidRPr="00601FA0">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601FA0" w:rsidP="00601FA0">
            <w:pPr>
              <w:pStyle w:val="ListBullet"/>
            </w:pPr>
            <w:r w:rsidRPr="00601FA0">
              <w:t>clean-up management</w:t>
            </w:r>
          </w:p>
          <w:p w:rsidR="00000000" w:rsidRPr="00601FA0" w:rsidP="00601FA0">
            <w:pPr>
              <w:pStyle w:val="ListBullet"/>
            </w:pPr>
            <w:r w:rsidRPr="00601FA0">
              <w:t>dust and noise</w:t>
            </w:r>
          </w:p>
          <w:p w:rsidR="00000000" w:rsidRPr="00601FA0" w:rsidP="00601FA0">
            <w:pPr>
              <w:pStyle w:val="ListBullet"/>
            </w:pPr>
            <w:r w:rsidRPr="00601FA0">
              <w:t>stormwater protection</w:t>
            </w:r>
          </w:p>
          <w:p w:rsidR="00000000" w:rsidP="00601FA0">
            <w:pPr>
              <w:pStyle w:val="ListBullet"/>
              <w:rPr>
                <w:lang w:val="en-NZ"/>
              </w:rPr>
            </w:pPr>
            <w:r w:rsidRPr="00601FA0">
              <w:t>waste management.</w:t>
            </w:r>
          </w:p>
        </w:tc>
      </w:tr>
      <w:tr w:rsidTr="003606C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rPr>
                <w:rStyle w:val="BoldandItalics"/>
              </w:rPr>
              <w:t>Statutory and regulatory authority</w:t>
            </w:r>
            <w:r w:rsidRPr="00601FA0">
              <w:t xml:space="preserve"> includes: </w:t>
            </w:r>
          </w:p>
        </w:tc>
        <w:tc>
          <w:tcPr>
            <w:tcW w:w="5041" w:type="dxa"/>
            <w:tcBorders>
              <w:top w:val="nil"/>
              <w:left w:val="nil"/>
              <w:bottom w:val="nil"/>
              <w:right w:val="nil"/>
            </w:tcBorders>
            <w:tcMar>
              <w:top w:w="0" w:type="dxa"/>
              <w:left w:w="62" w:type="dxa"/>
              <w:bottom w:w="0" w:type="dxa"/>
              <w:right w:w="62" w:type="dxa"/>
            </w:tcMar>
          </w:tcPr>
          <w:p w:rsidR="00000000" w:rsidP="00601FA0">
            <w:pPr>
              <w:pStyle w:val="ListBullet"/>
              <w:rPr>
                <w:lang w:val="en-NZ"/>
              </w:rPr>
            </w:pPr>
            <w:r w:rsidRPr="00601FA0">
              <w:t>federal, state and local authorities administering applicable Acts, regulations and codes of practice.</w:t>
            </w:r>
          </w:p>
        </w:tc>
      </w:tr>
      <w:tr w:rsidTr="003606C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rPr>
                <w:rStyle w:val="BoldandItalics"/>
              </w:rPr>
              <w:t>Sealant materials</w:t>
            </w:r>
            <w:r w:rsidRPr="00601FA0">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601FA0" w:rsidP="00601FA0">
            <w:pPr>
              <w:pStyle w:val="ListBullet"/>
            </w:pPr>
            <w:r w:rsidRPr="00601FA0">
              <w:t>bitumen</w:t>
            </w:r>
          </w:p>
          <w:p w:rsidR="00000000" w:rsidRPr="00601FA0" w:rsidP="00601FA0">
            <w:pPr>
              <w:pStyle w:val="ListBullet"/>
            </w:pPr>
            <w:r w:rsidRPr="00601FA0">
              <w:t>mastic</w:t>
            </w:r>
          </w:p>
          <w:p w:rsidR="00000000" w:rsidRPr="00601FA0" w:rsidP="00601FA0">
            <w:pPr>
              <w:pStyle w:val="ListBullet"/>
            </w:pPr>
            <w:r w:rsidRPr="00601FA0">
              <w:t>putty</w:t>
            </w:r>
          </w:p>
          <w:p w:rsidR="00000000" w:rsidRPr="00601FA0" w:rsidP="00601FA0">
            <w:pPr>
              <w:pStyle w:val="ListBullet"/>
            </w:pPr>
            <w:r w:rsidRPr="00601FA0">
              <w:t>silicone</w:t>
            </w:r>
          </w:p>
          <w:p w:rsidR="00000000" w:rsidP="00601FA0">
            <w:pPr>
              <w:pStyle w:val="ListBullet"/>
              <w:rPr>
                <w:lang w:val="en-NZ"/>
              </w:rPr>
            </w:pPr>
            <w:r w:rsidRPr="00601FA0">
              <w:t>water</w:t>
            </w:r>
            <w:r w:rsidRPr="00601FA0">
              <w:t>proof paint.</w:t>
            </w:r>
          </w:p>
        </w:tc>
      </w:tr>
      <w:tr w:rsidTr="003606C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t xml:space="preserve">Sealant materials can be </w:t>
            </w:r>
            <w:r w:rsidRPr="00601FA0">
              <w:rPr>
                <w:rStyle w:val="BoldandItalics"/>
              </w:rPr>
              <w:t>applied</w:t>
            </w:r>
            <w:r w:rsidRPr="00601FA0">
              <w:t xml:space="preserve"> to: </w:t>
            </w:r>
          </w:p>
        </w:tc>
        <w:tc>
          <w:tcPr>
            <w:tcW w:w="5041" w:type="dxa"/>
            <w:tcBorders>
              <w:top w:val="nil"/>
              <w:left w:val="nil"/>
              <w:bottom w:val="nil"/>
              <w:right w:val="nil"/>
            </w:tcBorders>
            <w:tcMar>
              <w:top w:w="0" w:type="dxa"/>
              <w:left w:w="62" w:type="dxa"/>
              <w:bottom w:w="0" w:type="dxa"/>
              <w:right w:w="62" w:type="dxa"/>
            </w:tcMar>
          </w:tcPr>
          <w:p w:rsidR="00000000" w:rsidRPr="00601FA0" w:rsidP="00601FA0">
            <w:pPr>
              <w:pStyle w:val="ListBullet"/>
            </w:pPr>
            <w:r w:rsidRPr="00601FA0">
              <w:t>acrylic sheeting</w:t>
            </w:r>
          </w:p>
          <w:p w:rsidR="00000000" w:rsidRPr="00601FA0" w:rsidP="00601FA0">
            <w:pPr>
              <w:pStyle w:val="ListBullet"/>
            </w:pPr>
            <w:r w:rsidRPr="00601FA0">
              <w:t>bricks and concrete masonry</w:t>
            </w:r>
          </w:p>
          <w:p w:rsidR="00000000" w:rsidRPr="00601FA0" w:rsidP="00601FA0">
            <w:pPr>
              <w:pStyle w:val="ListBullet"/>
            </w:pPr>
            <w:r w:rsidRPr="00601FA0">
              <w:t>concrete</w:t>
            </w:r>
          </w:p>
          <w:p w:rsidR="00000000" w:rsidRPr="00601FA0" w:rsidP="00601FA0">
            <w:pPr>
              <w:pStyle w:val="ListBullet"/>
            </w:pPr>
            <w:r w:rsidRPr="00601FA0">
              <w:t>glass</w:t>
            </w:r>
          </w:p>
          <w:p w:rsidR="00000000" w:rsidRPr="00601FA0" w:rsidP="00601FA0">
            <w:pPr>
              <w:pStyle w:val="ListBullet"/>
            </w:pPr>
            <w:r w:rsidRPr="00601FA0">
              <w:t>metal sheeting</w:t>
            </w:r>
          </w:p>
          <w:p w:rsidR="00000000" w:rsidRPr="00601FA0" w:rsidP="00601FA0">
            <w:pPr>
              <w:pStyle w:val="ListBullet"/>
            </w:pPr>
            <w:r w:rsidRPr="00601FA0">
              <w:t>paints</w:t>
            </w:r>
          </w:p>
          <w:p w:rsidR="00000000" w:rsidRPr="00601FA0" w:rsidP="00601FA0">
            <w:pPr>
              <w:pStyle w:val="ListBullet"/>
            </w:pPr>
            <w:r w:rsidRPr="00601FA0">
              <w:t>plaster sheeting</w:t>
            </w:r>
          </w:p>
          <w:p w:rsidR="00000000" w:rsidRPr="00601FA0" w:rsidP="00601FA0">
            <w:pPr>
              <w:pStyle w:val="ListBullet"/>
            </w:pPr>
            <w:r w:rsidRPr="00601FA0">
              <w:t>plywood and particle board</w:t>
            </w:r>
          </w:p>
          <w:p w:rsidR="00000000" w:rsidRPr="00601FA0" w:rsidP="00601FA0">
            <w:pPr>
              <w:pStyle w:val="ListBullet"/>
            </w:pPr>
            <w:r w:rsidRPr="00601FA0">
              <w:t>structural metallic sections and components</w:t>
            </w:r>
          </w:p>
          <w:p w:rsidR="00000000" w:rsidP="00601FA0">
            <w:pPr>
              <w:pStyle w:val="ListBullet"/>
              <w:rPr>
                <w:lang w:val="en-NZ"/>
              </w:rPr>
            </w:pPr>
            <w:r w:rsidRPr="00601FA0">
              <w:t>timber.</w:t>
            </w:r>
          </w:p>
        </w:tc>
      </w:tr>
      <w:tr w:rsidTr="003606C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rPr>
                <w:rStyle w:val="BoldandItalics"/>
              </w:rPr>
              <w:t>Sealant devices</w:t>
            </w:r>
            <w:r w:rsidRPr="00601FA0">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601FA0" w:rsidP="00601FA0">
            <w:pPr>
              <w:pStyle w:val="ListBullet"/>
            </w:pPr>
            <w:r w:rsidRPr="00601FA0">
              <w:t>cover plates to aluminium framework</w:t>
            </w:r>
          </w:p>
          <w:p w:rsidR="00000000" w:rsidRPr="00601FA0" w:rsidP="00601FA0">
            <w:pPr>
              <w:pStyle w:val="ListBullet"/>
            </w:pPr>
            <w:r w:rsidRPr="00601FA0">
              <w:t>cover straps or beading to sheet jointing</w:t>
            </w:r>
          </w:p>
          <w:p w:rsidR="00000000" w:rsidRPr="00601FA0" w:rsidP="00601FA0">
            <w:pPr>
              <w:pStyle w:val="ListBullet"/>
            </w:pPr>
            <w:r w:rsidRPr="00601FA0">
              <w:t>flashings to window and door frames</w:t>
            </w:r>
          </w:p>
          <w:p w:rsidR="00000000" w:rsidRPr="00601FA0" w:rsidP="00601FA0">
            <w:pPr>
              <w:pStyle w:val="ListBullet"/>
            </w:pPr>
            <w:r w:rsidRPr="00601FA0">
              <w:t>impregnated material for masonry expansion joints</w:t>
            </w:r>
          </w:p>
          <w:p w:rsidR="00000000" w:rsidP="00601FA0">
            <w:pPr>
              <w:pStyle w:val="ListBullet"/>
              <w:rPr>
                <w:lang w:val="en-NZ"/>
              </w:rPr>
            </w:pPr>
            <w:r w:rsidRPr="00601FA0">
              <w:t>strip or sheet membrane.</w:t>
            </w:r>
          </w:p>
        </w:tc>
      </w:tr>
      <w:tr w:rsidTr="003606C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rPr>
                <w:rStyle w:val="BoldandItalics"/>
              </w:rPr>
              <w:t>Waste material and debris</w:t>
            </w:r>
            <w:r w:rsidRPr="00601FA0">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601FA0" w:rsidP="00601FA0">
            <w:pPr>
              <w:pStyle w:val="ListBullet"/>
            </w:pPr>
            <w:r w:rsidRPr="00601FA0">
              <w:t>broken or damaged goods</w:t>
            </w:r>
          </w:p>
          <w:p w:rsidR="00000000" w:rsidRPr="00601FA0" w:rsidP="00601FA0">
            <w:pPr>
              <w:pStyle w:val="ListBullet"/>
            </w:pPr>
            <w:r w:rsidRPr="00601FA0">
              <w:t>cardboard</w:t>
            </w:r>
          </w:p>
          <w:p w:rsidR="00000000" w:rsidRPr="00601FA0" w:rsidP="00601FA0">
            <w:pPr>
              <w:pStyle w:val="ListBullet"/>
            </w:pPr>
            <w:r w:rsidRPr="00601FA0">
              <w:t>loose material</w:t>
            </w:r>
          </w:p>
          <w:p w:rsidR="00000000" w:rsidRPr="00601FA0" w:rsidP="00601FA0">
            <w:pPr>
              <w:pStyle w:val="ListBullet"/>
            </w:pPr>
            <w:r w:rsidRPr="00601FA0">
              <w:t>paper</w:t>
            </w:r>
          </w:p>
          <w:p w:rsidR="00000000" w:rsidRPr="00601FA0" w:rsidP="00601FA0">
            <w:pPr>
              <w:pStyle w:val="ListBullet"/>
            </w:pPr>
            <w:r w:rsidRPr="00601FA0">
              <w:t>plastic</w:t>
            </w:r>
          </w:p>
          <w:p w:rsidR="00000000" w:rsidRPr="00601FA0" w:rsidP="00601FA0">
            <w:pPr>
              <w:pStyle w:val="ListBullet"/>
            </w:pPr>
            <w:r w:rsidRPr="00601FA0">
              <w:t>sealants and sealing materials.</w:t>
            </w:r>
          </w:p>
        </w:tc>
      </w:tr>
    </w:tbl>
    <w:p w:rsidR="003606C1" w:rsidP="00601FA0">
      <w:pPr>
        <w:pStyle w:val="BodyText"/>
      </w:pPr>
    </w:p>
    <w:p w:rsidR="003606C1" w:rsidP="00601FA0">
      <w:pPr>
        <w:pStyle w:val="BodyText"/>
      </w:pPr>
    </w:p>
    <w:p w:rsidR="00000000" w:rsidRPr="00601FA0" w:rsidP="00601FA0">
      <w:pPr>
        <w:pStyle w:val="Heading1"/>
      </w:pPr>
      <w:bookmarkStart w:id="12" w:name="O_198511"/>
      <w:bookmarkEnd w:id="12"/>
      <w:r w:rsidRPr="00601FA0">
        <w:t>Unit Sector(s)</w:t>
      </w:r>
    </w:p>
    <w:tbl>
      <w:tblPr>
        <w:tblW w:w="9368" w:type="dxa"/>
        <w:tblLayout w:type="fixed"/>
        <w:tblCellMar>
          <w:left w:w="62" w:type="dxa"/>
          <w:right w:w="62" w:type="dxa"/>
        </w:tblCellMar>
        <w:tblLook w:val="0000"/>
      </w:tblPr>
      <w:tblGrid>
        <w:gridCol w:w="2748"/>
        <w:gridCol w:w="6620"/>
      </w:tblGrid>
      <w:tr w:rsidTr="003606C1">
        <w:tblPrEx>
          <w:tblW w:w="936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rPr>
                <w:rStyle w:val="SpecialBold"/>
              </w:rPr>
              <w:t>Unit sector</w:t>
            </w:r>
          </w:p>
        </w:tc>
        <w:tc>
          <w:tcPr>
            <w:tcW w:w="6620" w:type="dxa"/>
            <w:tcBorders>
              <w:top w:val="nil"/>
              <w:left w:val="nil"/>
              <w:bottom w:val="nil"/>
              <w:right w:val="nil"/>
            </w:tcBorders>
            <w:tcMar>
              <w:top w:w="0" w:type="dxa"/>
              <w:left w:w="62" w:type="dxa"/>
              <w:bottom w:w="0" w:type="dxa"/>
              <w:right w:w="62" w:type="dxa"/>
            </w:tcMar>
          </w:tcPr>
          <w:p w:rsidR="00000000" w:rsidRPr="00601FA0" w:rsidP="00601FA0">
            <w:pPr>
              <w:pStyle w:val="BodyText"/>
            </w:pPr>
            <w:r w:rsidRPr="00601FA0">
              <w:t>Construction</w:t>
            </w:r>
          </w:p>
        </w:tc>
      </w:tr>
    </w:tbl>
    <w:p w:rsidR="003606C1" w:rsidP="00601FA0">
      <w:pPr>
        <w:pStyle w:val="BodyText"/>
      </w:pPr>
    </w:p>
    <w:p w:rsidR="003606C1" w:rsidP="00601FA0">
      <w:pPr>
        <w:pStyle w:val="BodyText"/>
      </w:pPr>
    </w:p>
    <w:p w:rsidR="00000000" w:rsidRPr="00601FA0" w:rsidP="00601FA0">
      <w:pPr>
        <w:pStyle w:val="Heading1"/>
      </w:pPr>
      <w:bookmarkStart w:id="13" w:name="O_198510"/>
      <w:bookmarkEnd w:id="13"/>
      <w:r w:rsidRPr="00601FA0">
        <w:t>Functional area</w:t>
      </w:r>
    </w:p>
    <w:tbl>
      <w:tblPr>
        <w:tblW w:w="9368" w:type="dxa"/>
        <w:tblLayout w:type="fixed"/>
        <w:tblCellMar>
          <w:left w:w="62" w:type="dxa"/>
          <w:right w:w="62" w:type="dxa"/>
        </w:tblCellMar>
        <w:tblLook w:val="0000"/>
      </w:tblPr>
      <w:tblGrid>
        <w:gridCol w:w="2748"/>
        <w:gridCol w:w="6620"/>
      </w:tblGrid>
      <w:tr w:rsidTr="003606C1">
        <w:tblPrEx>
          <w:tblW w:w="936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601FA0">
            <w:pPr>
              <w:pStyle w:val="BodyText"/>
              <w:rPr>
                <w:lang w:val="en-NZ"/>
              </w:rPr>
            </w:pPr>
            <w:r w:rsidRPr="00601FA0">
              <w:rPr>
                <w:rStyle w:val="SpecialBold"/>
              </w:rPr>
              <w:t>Functional area</w:t>
            </w:r>
          </w:p>
        </w:tc>
        <w:tc>
          <w:tcPr>
            <w:tcW w:w="6620" w:type="dxa"/>
            <w:tcBorders>
              <w:top w:val="nil"/>
              <w:left w:val="nil"/>
              <w:bottom w:val="nil"/>
              <w:right w:val="nil"/>
            </w:tcBorders>
            <w:tcMar>
              <w:top w:w="0" w:type="dxa"/>
              <w:left w:w="62" w:type="dxa"/>
              <w:bottom w:w="0" w:type="dxa"/>
              <w:right w:w="62" w:type="dxa"/>
            </w:tcMar>
          </w:tcPr>
          <w:p w:rsidR="00000000" w:rsidRPr="00601FA0" w:rsidP="00601FA0">
            <w:pPr>
              <w:pStyle w:val="BodyText"/>
            </w:pPr>
          </w:p>
        </w:tc>
      </w:tr>
    </w:tbl>
    <w:p w:rsidR="003606C1" w:rsidP="00601FA0">
      <w:pPr>
        <w:pStyle w:val="BodyText"/>
      </w:pPr>
    </w:p>
    <w:p w:rsidR="003606C1" w:rsidP="00601FA0">
      <w:pPr>
        <w:pStyle w:val="BodyText"/>
      </w:pPr>
    </w:p>
    <w:p w:rsidR="00000000" w:rsidRPr="00601FA0" w:rsidP="00601FA0"/>
    <w:sectPr w:rsidSect="00601F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06C1" w:rsidP="003606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6C1" w:rsidP="00601F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606C1" w:rsidP="00601F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606C1" w:rsidP="00601F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06C1" w:rsidP="003606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6C1" w:rsidP="00601FA0">
    <w:pPr>
      <w:pStyle w:val="Header"/>
      <w:framePr w:wrap="around"/>
    </w:pPr>
    <w:r>
      <w:fldChar w:fldCharType="begin"/>
    </w:r>
    <w:r>
      <w:instrText xml:space="preserve"> TITLE   \* MERGEFORMAT </w:instrText>
    </w:r>
    <w:r>
      <w:fldChar w:fldCharType="separate"/>
    </w:r>
    <w:r>
      <w:t>CPCCSH2003A Apply and install sealant and sealant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06C1" w:rsidP="00601F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AEBB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CED7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7A40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F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1FA0"/>
    <w:pPr>
      <w:spacing w:before="360" w:after="60"/>
      <w:outlineLvl w:val="0"/>
    </w:pPr>
    <w:rPr>
      <w:sz w:val="32"/>
    </w:rPr>
  </w:style>
  <w:style w:type="paragraph" w:styleId="Heading2">
    <w:name w:val="heading 2"/>
    <w:basedOn w:val="HeadingBase"/>
    <w:next w:val="BodyText"/>
    <w:link w:val="Heading2Char"/>
    <w:qFormat/>
    <w:rsid w:val="00601FA0"/>
    <w:pPr>
      <w:keepLines/>
      <w:spacing w:before="240" w:after="120"/>
      <w:outlineLvl w:val="1"/>
    </w:pPr>
    <w:rPr>
      <w:sz w:val="28"/>
      <w:szCs w:val="40"/>
    </w:rPr>
  </w:style>
  <w:style w:type="paragraph" w:styleId="Heading3">
    <w:name w:val="heading 3"/>
    <w:basedOn w:val="HeadingBase"/>
    <w:next w:val="BodyText"/>
    <w:link w:val="Heading3Char"/>
    <w:qFormat/>
    <w:rsid w:val="00601FA0"/>
    <w:pPr>
      <w:spacing w:before="180" w:after="120"/>
      <w:outlineLvl w:val="2"/>
    </w:pPr>
    <w:rPr>
      <w:spacing w:val="-10"/>
      <w:kern w:val="32"/>
    </w:rPr>
  </w:style>
  <w:style w:type="paragraph" w:styleId="Heading4">
    <w:name w:val="heading 4"/>
    <w:basedOn w:val="HeadingBase"/>
    <w:next w:val="BodyText"/>
    <w:link w:val="Heading4Char"/>
    <w:qFormat/>
    <w:rsid w:val="00601FA0"/>
    <w:pPr>
      <w:spacing w:before="160" w:after="120"/>
      <w:outlineLvl w:val="3"/>
    </w:pPr>
    <w:rPr>
      <w:sz w:val="22"/>
    </w:rPr>
  </w:style>
  <w:style w:type="paragraph" w:styleId="Heading5">
    <w:name w:val="heading 5"/>
    <w:basedOn w:val="HeadingBase"/>
    <w:next w:val="Normal"/>
    <w:link w:val="Heading5Char"/>
    <w:qFormat/>
    <w:rsid w:val="00601FA0"/>
    <w:pPr>
      <w:spacing w:before="80"/>
      <w:outlineLvl w:val="4"/>
    </w:pPr>
    <w:rPr>
      <w:color w:val="918585"/>
      <w:sz w:val="20"/>
    </w:rPr>
  </w:style>
  <w:style w:type="paragraph" w:styleId="Heading6">
    <w:name w:val="heading 6"/>
    <w:basedOn w:val="HeadingBase"/>
    <w:next w:val="Normal"/>
    <w:link w:val="Heading6Char"/>
    <w:qFormat/>
    <w:rsid w:val="00601FA0"/>
    <w:pPr>
      <w:spacing w:before="60"/>
      <w:outlineLvl w:val="5"/>
    </w:pPr>
    <w:rPr>
      <w:color w:val="918585"/>
      <w:sz w:val="20"/>
    </w:rPr>
  </w:style>
  <w:style w:type="paragraph" w:styleId="Heading7">
    <w:name w:val="heading 7"/>
    <w:basedOn w:val="Normal"/>
    <w:next w:val="Normal"/>
    <w:link w:val="Heading7Char"/>
    <w:qFormat/>
    <w:rsid w:val="00601FA0"/>
    <w:pPr>
      <w:ind w:left="720"/>
      <w:outlineLvl w:val="6"/>
    </w:pPr>
    <w:rPr>
      <w:i/>
    </w:rPr>
  </w:style>
  <w:style w:type="paragraph" w:styleId="Heading8">
    <w:name w:val="heading 8"/>
    <w:basedOn w:val="Normal"/>
    <w:next w:val="Normal"/>
    <w:link w:val="Heading8Char"/>
    <w:qFormat/>
    <w:rsid w:val="00601FA0"/>
    <w:pPr>
      <w:ind w:left="720"/>
      <w:outlineLvl w:val="7"/>
    </w:pPr>
    <w:rPr>
      <w:i/>
    </w:rPr>
  </w:style>
  <w:style w:type="paragraph" w:styleId="Heading9">
    <w:name w:val="heading 9"/>
    <w:basedOn w:val="Normal"/>
    <w:next w:val="Normal"/>
    <w:link w:val="Heading9Char"/>
    <w:qFormat/>
    <w:rsid w:val="00601FA0"/>
    <w:pPr>
      <w:ind w:left="720"/>
      <w:outlineLvl w:val="8"/>
    </w:pPr>
    <w:rPr>
      <w:i/>
    </w:rPr>
  </w:style>
  <w:style w:type="character" w:default="1" w:styleId="DefaultParagraphFont">
    <w:name w:val="Default Paragraph Font"/>
    <w:uiPriority w:val="1"/>
    <w:unhideWhenUsed/>
    <w:rsid w:val="00601F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1FA0"/>
  </w:style>
  <w:style w:type="character" w:customStyle="1" w:styleId="Heading1Char">
    <w:name w:val="Heading 1 Char"/>
    <w:basedOn w:val="DefaultParagraphFont"/>
    <w:link w:val="Heading1"/>
    <w:rsid w:val="00601FA0"/>
    <w:rPr>
      <w:rFonts w:ascii="Times New Roman" w:eastAsia="Times New Roman" w:hAnsi="Times New Roman" w:cs="Times New Roman"/>
      <w:b/>
      <w:sz w:val="32"/>
      <w:szCs w:val="20"/>
      <w:lang w:eastAsia="en-US"/>
    </w:rPr>
  </w:style>
  <w:style w:type="paragraph" w:styleId="BodyText">
    <w:name w:val="Body Text"/>
    <w:basedOn w:val="Normal"/>
    <w:link w:val="BodyTextChar"/>
    <w:rsid w:val="00601F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1FA0"/>
    <w:rPr>
      <w:rFonts w:ascii="Times New Roman" w:eastAsia="Times New Roman" w:hAnsi="Times New Roman" w:cs="Times New Roman"/>
      <w:sz w:val="24"/>
      <w:lang w:val="en-US" w:eastAsia="en-US"/>
    </w:rPr>
  </w:style>
  <w:style w:type="paragraph" w:styleId="Footer">
    <w:name w:val="footer"/>
    <w:basedOn w:val="Normal"/>
    <w:link w:val="FooterChar"/>
    <w:rsid w:val="00601F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1FA0"/>
    <w:rPr>
      <w:rFonts w:ascii="Times New Roman" w:eastAsia="Times New Roman" w:hAnsi="Times New Roman" w:cs="Times New Roman"/>
      <w:sz w:val="16"/>
      <w:lang w:val="en-US" w:eastAsia="en-US"/>
    </w:rPr>
  </w:style>
  <w:style w:type="paragraph" w:styleId="List">
    <w:name w:val="List"/>
    <w:basedOn w:val="BodyText"/>
    <w:next w:val="BodyText"/>
    <w:rsid w:val="00601FA0"/>
    <w:pPr>
      <w:tabs>
        <w:tab w:val="left" w:pos="340"/>
      </w:tabs>
      <w:spacing w:before="60" w:after="60"/>
      <w:ind w:left="340" w:hanging="340"/>
    </w:pPr>
  </w:style>
  <w:style w:type="paragraph" w:styleId="ListBullet">
    <w:name w:val="List Bullet"/>
    <w:basedOn w:val="List"/>
    <w:rsid w:val="00601FA0"/>
    <w:pPr>
      <w:numPr>
        <w:numId w:val="13"/>
      </w:numPr>
      <w:tabs>
        <w:tab w:val="clear" w:pos="340"/>
      </w:tabs>
      <w:spacing w:before="40" w:after="40"/>
    </w:pPr>
  </w:style>
  <w:style w:type="character" w:customStyle="1" w:styleId="SpecialBold">
    <w:name w:val="Special Bold"/>
    <w:basedOn w:val="DefaultParagraphFont"/>
    <w:rsid w:val="00601FA0"/>
    <w:rPr>
      <w:b/>
      <w:spacing w:val="0"/>
    </w:rPr>
  </w:style>
  <w:style w:type="paragraph" w:styleId="ListBullet2">
    <w:name w:val="List Bullet 2"/>
    <w:basedOn w:val="List2"/>
    <w:rsid w:val="00601FA0"/>
    <w:pPr>
      <w:numPr>
        <w:numId w:val="14"/>
      </w:numPr>
      <w:tabs>
        <w:tab w:val="clear" w:pos="680"/>
      </w:tabs>
    </w:pPr>
  </w:style>
  <w:style w:type="paragraph" w:styleId="Header">
    <w:name w:val="header"/>
    <w:basedOn w:val="Normal"/>
    <w:link w:val="HeaderChar"/>
    <w:rsid w:val="00601F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1F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1FA0"/>
    <w:pPr>
      <w:spacing w:before="240" w:after="120"/>
      <w:outlineLvl w:val="0"/>
    </w:pPr>
    <w:rPr>
      <w:rFonts w:ascii="Times New Roman" w:hAnsi="Times New Roman"/>
      <w:b/>
      <w:sz w:val="28"/>
    </w:rPr>
  </w:style>
  <w:style w:type="paragraph" w:customStyle="1" w:styleId="AllowPageBreak">
    <w:name w:val="AllowPageBreak"/>
    <w:rsid w:val="00601F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1FA0"/>
    <w:pPr>
      <w:tabs>
        <w:tab w:val="left" w:pos="680"/>
      </w:tabs>
      <w:spacing w:before="60" w:after="60"/>
      <w:ind w:left="680" w:hanging="340"/>
    </w:pPr>
  </w:style>
  <w:style w:type="character" w:customStyle="1" w:styleId="BoldandItalics">
    <w:name w:val="Bold and Italics"/>
    <w:qFormat/>
    <w:rsid w:val="00601FA0"/>
    <w:rPr>
      <w:b/>
      <w:i/>
      <w:u w:val="none"/>
    </w:rPr>
  </w:style>
  <w:style w:type="character" w:customStyle="1" w:styleId="Heading2Char">
    <w:name w:val="Heading 2 Char"/>
    <w:basedOn w:val="DefaultParagraphFont"/>
    <w:link w:val="Heading2"/>
    <w:rsid w:val="00601F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1F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1F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1F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1F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1F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1F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1FA0"/>
    <w:rPr>
      <w:rFonts w:ascii="Courier New" w:eastAsia="Times New Roman" w:hAnsi="Courier New" w:cs="Times New Roman"/>
      <w:i/>
      <w:szCs w:val="20"/>
      <w:lang w:val="en-US" w:eastAsia="en-US"/>
    </w:rPr>
  </w:style>
  <w:style w:type="paragraph" w:customStyle="1" w:styleId="HeadingBase">
    <w:name w:val="Heading Base"/>
    <w:rsid w:val="00601F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1FA0"/>
    <w:pPr>
      <w:tabs>
        <w:tab w:val="right" w:leader="dot" w:pos="9072"/>
      </w:tabs>
      <w:ind w:left="567"/>
    </w:pPr>
    <w:rPr>
      <w:szCs w:val="22"/>
    </w:rPr>
  </w:style>
  <w:style w:type="paragraph" w:customStyle="1" w:styleId="TOCBase">
    <w:name w:val="TOC Base"/>
    <w:rsid w:val="00601F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1FA0"/>
    <w:pPr>
      <w:tabs>
        <w:tab w:val="right" w:leader="dot" w:pos="9072"/>
      </w:tabs>
      <w:spacing w:before="40" w:after="40"/>
      <w:ind w:left="284"/>
    </w:pPr>
    <w:rPr>
      <w:rFonts w:ascii="Times New Roman" w:hAnsi="Times New Roman"/>
    </w:rPr>
  </w:style>
  <w:style w:type="paragraph" w:styleId="TOC1">
    <w:name w:val="toc 1"/>
    <w:basedOn w:val="TOCBase"/>
    <w:next w:val="Normal"/>
    <w:rsid w:val="00601F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1FA0"/>
    <w:pPr>
      <w:spacing w:before="5040"/>
      <w:jc w:val="center"/>
    </w:pPr>
    <w:rPr>
      <w:sz w:val="48"/>
      <w:szCs w:val="72"/>
      <w:lang w:val="en-US"/>
    </w:rPr>
  </w:style>
  <w:style w:type="character" w:customStyle="1" w:styleId="TitleChar">
    <w:name w:val="Title Char"/>
    <w:basedOn w:val="DefaultParagraphFont"/>
    <w:link w:val="Title"/>
    <w:rsid w:val="00601F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1FA0"/>
    <w:pPr>
      <w:tabs>
        <w:tab w:val="left" w:pos="3600"/>
        <w:tab w:val="left" w:pos="3958"/>
      </w:tabs>
    </w:pPr>
  </w:style>
  <w:style w:type="paragraph" w:customStyle="1" w:styleId="Note">
    <w:name w:val="Note"/>
    <w:basedOn w:val="BodyText"/>
    <w:rsid w:val="00601F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1FA0"/>
    <w:pPr>
      <w:framePr w:wrap="auto" w:hAnchor="text" w:y="6049"/>
    </w:pPr>
    <w:rPr>
      <w:color w:val="000000"/>
      <w:sz w:val="40"/>
    </w:rPr>
  </w:style>
  <w:style w:type="paragraph" w:customStyle="1" w:styleId="TOCTitle">
    <w:name w:val="TOCTitle"/>
    <w:basedOn w:val="Heading1"/>
    <w:rsid w:val="00601FA0"/>
    <w:pPr>
      <w:spacing w:after="240"/>
      <w:jc w:val="center"/>
      <w:outlineLvl w:val="9"/>
    </w:pPr>
    <w:rPr>
      <w:caps/>
    </w:rPr>
  </w:style>
  <w:style w:type="paragraph" w:customStyle="1" w:styleId="Version">
    <w:name w:val="Version"/>
    <w:rsid w:val="00601F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1FA0"/>
    <w:pPr>
      <w:keepNext w:val="0"/>
      <w:tabs>
        <w:tab w:val="right" w:pos="4176"/>
      </w:tabs>
      <w:ind w:left="198" w:hanging="198"/>
    </w:pPr>
    <w:rPr>
      <w:rFonts w:ascii="Garamond" w:hAnsi="Garamond"/>
    </w:rPr>
  </w:style>
  <w:style w:type="paragraph" w:styleId="IndexHeading">
    <w:name w:val="index heading"/>
    <w:basedOn w:val="Normal"/>
    <w:next w:val="Index1"/>
    <w:semiHidden/>
    <w:rsid w:val="00601FA0"/>
    <w:pPr>
      <w:spacing w:before="120" w:after="120"/>
    </w:pPr>
    <w:rPr>
      <w:rFonts w:ascii="Arial" w:hAnsi="Arial"/>
      <w:b/>
      <w:color w:val="918585"/>
      <w:sz w:val="24"/>
    </w:rPr>
  </w:style>
  <w:style w:type="paragraph" w:customStyle="1" w:styleId="Chapter">
    <w:name w:val="Chapter"/>
    <w:basedOn w:val="Normal"/>
    <w:rsid w:val="00601FA0"/>
    <w:pPr>
      <w:spacing w:before="240"/>
    </w:pPr>
    <w:rPr>
      <w:rFonts w:ascii="Times New Roman" w:hAnsi="Times New Roman"/>
      <w:smallCaps/>
      <w:spacing w:val="80"/>
      <w:sz w:val="28"/>
    </w:rPr>
  </w:style>
  <w:style w:type="paragraph" w:customStyle="1" w:styleId="InChapter">
    <w:name w:val="InChapter"/>
    <w:basedOn w:val="Heading3"/>
    <w:rsid w:val="00601FA0"/>
    <w:pPr>
      <w:spacing w:after="240"/>
      <w:outlineLvl w:val="9"/>
    </w:pPr>
    <w:rPr>
      <w:noProof/>
    </w:rPr>
  </w:style>
  <w:style w:type="paragraph" w:styleId="Index2">
    <w:name w:val="index 2"/>
    <w:basedOn w:val="Normal"/>
    <w:next w:val="Normal"/>
    <w:semiHidden/>
    <w:rsid w:val="00601FA0"/>
    <w:pPr>
      <w:tabs>
        <w:tab w:val="right" w:pos="4176"/>
      </w:tabs>
      <w:ind w:left="568" w:hanging="284"/>
    </w:pPr>
    <w:rPr>
      <w:rFonts w:ascii="Garamond" w:hAnsi="Garamond"/>
    </w:rPr>
  </w:style>
  <w:style w:type="paragraph" w:customStyle="1" w:styleId="Byline">
    <w:name w:val="Byline"/>
    <w:rsid w:val="00601F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1FA0"/>
    <w:pPr>
      <w:tabs>
        <w:tab w:val="clear" w:pos="3600"/>
        <w:tab w:val="clear" w:pos="3958"/>
      </w:tabs>
      <w:jc w:val="right"/>
    </w:pPr>
  </w:style>
  <w:style w:type="character" w:styleId="Emphasis">
    <w:name w:val="Emphasis"/>
    <w:basedOn w:val="DefaultParagraphFont"/>
    <w:qFormat/>
    <w:rsid w:val="00601FA0"/>
    <w:rPr>
      <w:i/>
    </w:rPr>
  </w:style>
  <w:style w:type="paragraph" w:styleId="Caption">
    <w:name w:val="caption"/>
    <w:basedOn w:val="BodyText"/>
    <w:next w:val="Normal"/>
    <w:qFormat/>
    <w:rsid w:val="00601FA0"/>
    <w:pPr>
      <w:framePr w:w="2268" w:hSpace="181" w:vSpace="181" w:wrap="around" w:vAnchor="text" w:hAnchor="page" w:x="1135" w:y="285" w:anchorLock="1"/>
    </w:pPr>
    <w:rPr>
      <w:i/>
    </w:rPr>
  </w:style>
  <w:style w:type="paragraph" w:customStyle="1" w:styleId="MiniTOCTitle">
    <w:name w:val="MiniTOCTitle"/>
    <w:basedOn w:val="Heading4"/>
    <w:rsid w:val="00601FA0"/>
    <w:pPr>
      <w:spacing w:before="240"/>
      <w:outlineLvl w:val="9"/>
    </w:pPr>
    <w:rPr>
      <w:noProof/>
      <w:sz w:val="24"/>
    </w:rPr>
  </w:style>
  <w:style w:type="paragraph" w:customStyle="1" w:styleId="MiniTOCItem">
    <w:name w:val="MiniTOCItem"/>
    <w:basedOn w:val="ListBullet"/>
    <w:rsid w:val="00601FA0"/>
    <w:pPr>
      <w:numPr>
        <w:numId w:val="0"/>
      </w:numPr>
      <w:tabs>
        <w:tab w:val="right" w:leader="dot" w:pos="6521"/>
      </w:tabs>
      <w:spacing w:before="0" w:after="0"/>
    </w:pPr>
  </w:style>
  <w:style w:type="paragraph" w:customStyle="1" w:styleId="TOFTitle">
    <w:name w:val="TOFTitle"/>
    <w:basedOn w:val="TOCTitle"/>
    <w:rsid w:val="00601FA0"/>
  </w:style>
  <w:style w:type="paragraph" w:styleId="TableofFigures">
    <w:name w:val="table of figures"/>
    <w:basedOn w:val="Normal"/>
    <w:next w:val="Normal"/>
    <w:semiHidden/>
    <w:rsid w:val="00601FA0"/>
    <w:pPr>
      <w:tabs>
        <w:tab w:val="right" w:leader="dot" w:pos="9072"/>
      </w:tabs>
      <w:ind w:left="970" w:hanging="403"/>
    </w:pPr>
    <w:rPr>
      <w:rFonts w:ascii="Times New Roman" w:hAnsi="Times New Roman"/>
      <w:b/>
    </w:rPr>
  </w:style>
  <w:style w:type="paragraph" w:styleId="ListNumber">
    <w:name w:val="List Number"/>
    <w:basedOn w:val="List"/>
    <w:rsid w:val="00601FA0"/>
    <w:pPr>
      <w:numPr>
        <w:numId w:val="11"/>
      </w:numPr>
    </w:pPr>
  </w:style>
  <w:style w:type="character" w:customStyle="1" w:styleId="WingdingSymbols">
    <w:name w:val="Wingding Symbols"/>
    <w:rsid w:val="00601FA0"/>
    <w:rPr>
      <w:rFonts w:ascii="Wingdings" w:hAnsi="Wingdings"/>
    </w:rPr>
  </w:style>
  <w:style w:type="paragraph" w:customStyle="1" w:styleId="TableHeading">
    <w:name w:val="Table Heading"/>
    <w:basedOn w:val="HeadingBase"/>
    <w:rsid w:val="00601FA0"/>
    <w:pPr>
      <w:keepLines/>
      <w:pBdr>
        <w:bottom w:val="single" w:sz="6" w:space="1" w:color="918585"/>
      </w:pBdr>
      <w:spacing w:before="240"/>
    </w:pPr>
  </w:style>
  <w:style w:type="character" w:customStyle="1" w:styleId="HotSpot">
    <w:name w:val="HotSpot"/>
    <w:rsid w:val="00601FA0"/>
    <w:rPr>
      <w:color w:val="0033CC"/>
      <w:u w:val="none"/>
    </w:rPr>
  </w:style>
  <w:style w:type="paragraph" w:customStyle="1" w:styleId="BodyTextRight">
    <w:name w:val="Body Text Right"/>
    <w:basedOn w:val="BodyText"/>
    <w:rsid w:val="00601FA0"/>
    <w:pPr>
      <w:spacing w:before="0" w:after="0"/>
      <w:jc w:val="right"/>
    </w:pPr>
  </w:style>
  <w:style w:type="paragraph" w:styleId="Index3">
    <w:name w:val="index 3"/>
    <w:basedOn w:val="ListNumber2"/>
    <w:next w:val="Normal"/>
    <w:semiHidden/>
    <w:rsid w:val="00601FA0"/>
    <w:pPr>
      <w:numPr>
        <w:numId w:val="0"/>
      </w:numPr>
      <w:tabs>
        <w:tab w:val="right" w:leader="dot" w:pos="4176"/>
      </w:tabs>
    </w:pPr>
  </w:style>
  <w:style w:type="paragraph" w:styleId="ListNumber2">
    <w:name w:val="List Number 2"/>
    <w:basedOn w:val="List2"/>
    <w:rsid w:val="00601FA0"/>
    <w:pPr>
      <w:numPr>
        <w:numId w:val="10"/>
      </w:numPr>
      <w:tabs>
        <w:tab w:val="clear" w:pos="1060"/>
      </w:tabs>
    </w:pPr>
  </w:style>
  <w:style w:type="paragraph" w:customStyle="1" w:styleId="MarginNote">
    <w:name w:val="Margin Note"/>
    <w:basedOn w:val="BodyText"/>
    <w:rsid w:val="00601F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1F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1F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1FA0"/>
    <w:rPr>
      <w:sz w:val="32"/>
    </w:rPr>
  </w:style>
  <w:style w:type="paragraph" w:customStyle="1" w:styleId="HeadingProcedure">
    <w:name w:val="Heading Procedure"/>
    <w:basedOn w:val="HeadingBase"/>
    <w:next w:val="Normal"/>
    <w:rsid w:val="00601FA0"/>
    <w:pPr>
      <w:tabs>
        <w:tab w:val="left" w:pos="0"/>
      </w:tabs>
      <w:spacing w:before="120" w:after="60"/>
    </w:pPr>
    <w:rPr>
      <w:i/>
      <w:color w:val="918585"/>
      <w:sz w:val="22"/>
    </w:rPr>
  </w:style>
  <w:style w:type="paragraph" w:customStyle="1" w:styleId="TableBodyText">
    <w:name w:val="Table Body Text"/>
    <w:basedOn w:val="BodyText"/>
    <w:rsid w:val="00601FA0"/>
    <w:pPr>
      <w:spacing w:before="60" w:after="60"/>
    </w:pPr>
  </w:style>
  <w:style w:type="paragraph" w:styleId="ListContinue">
    <w:name w:val="List Continue"/>
    <w:basedOn w:val="List"/>
    <w:rsid w:val="00601FA0"/>
    <w:pPr>
      <w:ind w:firstLine="0"/>
    </w:pPr>
  </w:style>
  <w:style w:type="paragraph" w:customStyle="1" w:styleId="ListNote">
    <w:name w:val="List Note"/>
    <w:basedOn w:val="List"/>
    <w:rsid w:val="00601FA0"/>
    <w:pPr>
      <w:pBdr>
        <w:top w:val="single" w:sz="6" w:space="2" w:color="918585"/>
        <w:bottom w:val="single" w:sz="6" w:space="2" w:color="918585"/>
      </w:pBdr>
      <w:tabs>
        <w:tab w:val="left" w:pos="1021"/>
      </w:tabs>
      <w:ind w:firstLine="0"/>
    </w:pPr>
  </w:style>
  <w:style w:type="paragraph" w:customStyle="1" w:styleId="Warning">
    <w:name w:val="Warning"/>
    <w:basedOn w:val="BodyText"/>
    <w:rsid w:val="00601FA0"/>
    <w:pPr>
      <w:shd w:val="clear" w:color="auto" w:fill="D9D9D9"/>
      <w:tabs>
        <w:tab w:val="left" w:pos="992"/>
      </w:tabs>
      <w:ind w:left="119" w:right="119"/>
    </w:pPr>
    <w:rPr>
      <w:sz w:val="20"/>
    </w:rPr>
  </w:style>
  <w:style w:type="paragraph" w:customStyle="1" w:styleId="MarginIcons">
    <w:name w:val="Margin Icons"/>
    <w:basedOn w:val="BodyText"/>
    <w:rsid w:val="00601F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1FA0"/>
    <w:rPr>
      <w:rFonts w:ascii="Courier New" w:hAnsi="Courier New"/>
    </w:rPr>
  </w:style>
  <w:style w:type="paragraph" w:customStyle="1" w:styleId="NoteBullet">
    <w:name w:val="Note Bullet"/>
    <w:basedOn w:val="Note"/>
    <w:rsid w:val="00601FA0"/>
    <w:pPr>
      <w:tabs>
        <w:tab w:val="clear" w:pos="680"/>
      </w:tabs>
      <w:spacing w:before="60" w:after="60"/>
    </w:pPr>
  </w:style>
  <w:style w:type="paragraph" w:customStyle="1" w:styleId="SubHeading2">
    <w:name w:val="SubHeading2"/>
    <w:basedOn w:val="HeadingBase"/>
    <w:rsid w:val="00601FA0"/>
    <w:pPr>
      <w:spacing w:before="240" w:after="60"/>
    </w:pPr>
    <w:rPr>
      <w:sz w:val="20"/>
    </w:rPr>
  </w:style>
  <w:style w:type="paragraph" w:customStyle="1" w:styleId="SubHeading1">
    <w:name w:val="SubHeading1"/>
    <w:basedOn w:val="HeadingBase"/>
    <w:rsid w:val="00601FA0"/>
    <w:pPr>
      <w:spacing w:before="240" w:after="60"/>
    </w:pPr>
    <w:rPr>
      <w:color w:val="918585"/>
      <w:sz w:val="22"/>
    </w:rPr>
  </w:style>
  <w:style w:type="paragraph" w:customStyle="1" w:styleId="SideHeading">
    <w:name w:val="Side Heading"/>
    <w:basedOn w:val="HeadingBase"/>
    <w:rsid w:val="00601F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1FA0"/>
    <w:pPr>
      <w:numPr>
        <w:numId w:val="12"/>
      </w:numPr>
    </w:pPr>
  </w:style>
  <w:style w:type="paragraph" w:styleId="PlainText">
    <w:name w:val="Plain Text"/>
    <w:basedOn w:val="Normal"/>
    <w:link w:val="PlainTextChar"/>
    <w:rsid w:val="00601FA0"/>
    <w:rPr>
      <w:sz w:val="20"/>
    </w:rPr>
  </w:style>
  <w:style w:type="character" w:customStyle="1" w:styleId="PlainTextChar">
    <w:name w:val="Plain Text Char"/>
    <w:basedOn w:val="DefaultParagraphFont"/>
    <w:link w:val="PlainText"/>
    <w:rsid w:val="00601F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1FA0"/>
    <w:rPr>
      <w:b/>
      <w:smallCaps/>
    </w:rPr>
  </w:style>
  <w:style w:type="paragraph" w:customStyle="1" w:styleId="TableListNumber">
    <w:name w:val="Table List Number"/>
    <w:basedOn w:val="ListNumber"/>
    <w:rsid w:val="00601FA0"/>
    <w:pPr>
      <w:numPr>
        <w:numId w:val="0"/>
      </w:numPr>
    </w:pPr>
  </w:style>
  <w:style w:type="paragraph" w:styleId="TOC4">
    <w:name w:val="toc 4"/>
    <w:basedOn w:val="TOCBase"/>
    <w:next w:val="Normal"/>
    <w:semiHidden/>
    <w:rsid w:val="00601FA0"/>
    <w:pPr>
      <w:tabs>
        <w:tab w:val="right" w:leader="dot" w:pos="9071"/>
      </w:tabs>
      <w:ind w:left="1701"/>
    </w:pPr>
  </w:style>
  <w:style w:type="paragraph" w:customStyle="1" w:styleId="ListAlpha">
    <w:name w:val="List Alpha"/>
    <w:basedOn w:val="List"/>
    <w:rsid w:val="00601FA0"/>
    <w:pPr>
      <w:numPr>
        <w:numId w:val="9"/>
      </w:numPr>
    </w:pPr>
  </w:style>
  <w:style w:type="paragraph" w:customStyle="1" w:styleId="ListAlpha2">
    <w:name w:val="List Alpha 2"/>
    <w:basedOn w:val="List2"/>
    <w:rsid w:val="00601FA0"/>
    <w:pPr>
      <w:numPr>
        <w:numId w:val="8"/>
      </w:numPr>
    </w:pPr>
  </w:style>
  <w:style w:type="paragraph" w:styleId="List3">
    <w:name w:val="List 3"/>
    <w:basedOn w:val="BodyText"/>
    <w:rsid w:val="00601FA0"/>
    <w:pPr>
      <w:tabs>
        <w:tab w:val="left" w:pos="1021"/>
      </w:tabs>
      <w:spacing w:before="60" w:after="60"/>
      <w:ind w:left="1020" w:hanging="340"/>
    </w:pPr>
  </w:style>
  <w:style w:type="paragraph" w:styleId="List4">
    <w:name w:val="List 4"/>
    <w:basedOn w:val="BodyText"/>
    <w:rsid w:val="00601FA0"/>
    <w:pPr>
      <w:tabs>
        <w:tab w:val="left" w:pos="1361"/>
      </w:tabs>
      <w:spacing w:before="60" w:after="60"/>
      <w:ind w:left="1361" w:hanging="340"/>
    </w:pPr>
  </w:style>
  <w:style w:type="paragraph" w:styleId="List5">
    <w:name w:val="List 5"/>
    <w:basedOn w:val="BodyText"/>
    <w:rsid w:val="00601FA0"/>
    <w:pPr>
      <w:tabs>
        <w:tab w:val="left" w:pos="1701"/>
      </w:tabs>
      <w:spacing w:before="60" w:after="60"/>
      <w:ind w:left="1701" w:hanging="340"/>
    </w:pPr>
  </w:style>
  <w:style w:type="paragraph" w:styleId="ListBullet3">
    <w:name w:val="List Bullet 3"/>
    <w:basedOn w:val="List3"/>
    <w:rsid w:val="00601FA0"/>
    <w:pPr>
      <w:numPr>
        <w:numId w:val="15"/>
      </w:numPr>
      <w:tabs>
        <w:tab w:val="clear" w:pos="1021"/>
      </w:tabs>
      <w:ind w:left="1037" w:hanging="357"/>
    </w:pPr>
  </w:style>
  <w:style w:type="paragraph" w:styleId="ListBullet4">
    <w:name w:val="List Bullet 4"/>
    <w:basedOn w:val="List4"/>
    <w:rsid w:val="00601FA0"/>
    <w:pPr>
      <w:numPr>
        <w:numId w:val="3"/>
      </w:numPr>
    </w:pPr>
  </w:style>
  <w:style w:type="paragraph" w:styleId="ListBullet5">
    <w:name w:val="List Bullet 5"/>
    <w:basedOn w:val="List5"/>
    <w:rsid w:val="00601FA0"/>
    <w:pPr>
      <w:numPr>
        <w:numId w:val="4"/>
      </w:numPr>
    </w:pPr>
  </w:style>
  <w:style w:type="paragraph" w:styleId="ListContinue2">
    <w:name w:val="List Continue 2"/>
    <w:basedOn w:val="List2"/>
    <w:rsid w:val="00601FA0"/>
    <w:pPr>
      <w:ind w:firstLine="0"/>
    </w:pPr>
  </w:style>
  <w:style w:type="paragraph" w:styleId="ListContinue3">
    <w:name w:val="List Continue 3"/>
    <w:basedOn w:val="List3"/>
    <w:rsid w:val="00601FA0"/>
    <w:pPr>
      <w:ind w:left="1021" w:firstLine="0"/>
    </w:pPr>
  </w:style>
  <w:style w:type="paragraph" w:styleId="ListContinue4">
    <w:name w:val="List Continue 4"/>
    <w:basedOn w:val="List4"/>
    <w:rsid w:val="00601FA0"/>
    <w:pPr>
      <w:ind w:firstLine="0"/>
    </w:pPr>
  </w:style>
  <w:style w:type="paragraph" w:styleId="ListContinue5">
    <w:name w:val="List Continue 5"/>
    <w:basedOn w:val="List5"/>
    <w:rsid w:val="00601FA0"/>
    <w:pPr>
      <w:ind w:firstLine="0"/>
    </w:pPr>
  </w:style>
  <w:style w:type="paragraph" w:styleId="ListNumber3">
    <w:name w:val="List Number 3"/>
    <w:basedOn w:val="List3"/>
    <w:rsid w:val="00601FA0"/>
    <w:pPr>
      <w:numPr>
        <w:numId w:val="5"/>
      </w:numPr>
    </w:pPr>
  </w:style>
  <w:style w:type="paragraph" w:styleId="ListNumber4">
    <w:name w:val="List Number 4"/>
    <w:basedOn w:val="List4"/>
    <w:rsid w:val="00601FA0"/>
    <w:pPr>
      <w:numPr>
        <w:numId w:val="6"/>
      </w:numPr>
    </w:pPr>
  </w:style>
  <w:style w:type="paragraph" w:styleId="ListNumber5">
    <w:name w:val="List Number 5"/>
    <w:basedOn w:val="List5"/>
    <w:rsid w:val="00601FA0"/>
    <w:pPr>
      <w:numPr>
        <w:numId w:val="7"/>
      </w:numPr>
    </w:pPr>
  </w:style>
  <w:style w:type="paragraph" w:styleId="BlockText">
    <w:name w:val="Block Text"/>
    <w:basedOn w:val="Normal"/>
    <w:rsid w:val="00601FA0"/>
    <w:pPr>
      <w:spacing w:after="120"/>
      <w:ind w:left="1440" w:right="1440"/>
    </w:pPr>
  </w:style>
  <w:style w:type="character" w:customStyle="1" w:styleId="Subscript">
    <w:name w:val="Subscript"/>
    <w:basedOn w:val="DefaultParagraphFont"/>
    <w:rsid w:val="00601FA0"/>
    <w:rPr>
      <w:sz w:val="16"/>
      <w:vertAlign w:val="subscript"/>
    </w:rPr>
  </w:style>
  <w:style w:type="character" w:customStyle="1" w:styleId="Superscript">
    <w:name w:val="Superscript"/>
    <w:basedOn w:val="DefaultParagraphFont"/>
    <w:rsid w:val="00601FA0"/>
    <w:rPr>
      <w:sz w:val="16"/>
      <w:vertAlign w:val="superscript"/>
    </w:rPr>
  </w:style>
  <w:style w:type="character" w:customStyle="1" w:styleId="Symbols">
    <w:name w:val="Symbols"/>
    <w:basedOn w:val="DefaultParagraphFont"/>
    <w:rsid w:val="00601FA0"/>
    <w:rPr>
      <w:rFonts w:ascii="Symbol" w:hAnsi="Symbol"/>
    </w:rPr>
  </w:style>
  <w:style w:type="character" w:customStyle="1" w:styleId="MenuOptions">
    <w:name w:val="Menu Options"/>
    <w:basedOn w:val="DefaultParagraphFont"/>
    <w:rsid w:val="00601FA0"/>
    <w:rPr>
      <w:rFonts w:ascii="Arial Narrow" w:hAnsi="Arial Narrow"/>
      <w:smallCaps/>
    </w:rPr>
  </w:style>
  <w:style w:type="character" w:customStyle="1" w:styleId="Buttons">
    <w:name w:val="Buttons"/>
    <w:basedOn w:val="DefaultParagraphFont"/>
    <w:rsid w:val="00601FA0"/>
    <w:rPr>
      <w:b/>
    </w:rPr>
  </w:style>
  <w:style w:type="character" w:customStyle="1" w:styleId="Underlined">
    <w:name w:val="Underlined"/>
    <w:basedOn w:val="DefaultParagraphFont"/>
    <w:rsid w:val="00601FA0"/>
    <w:rPr>
      <w:u w:val="single"/>
    </w:rPr>
  </w:style>
  <w:style w:type="paragraph" w:customStyle="1" w:styleId="TableBodyTextRight">
    <w:name w:val="Table Body Text Right"/>
    <w:basedOn w:val="TableBodyText"/>
    <w:rsid w:val="00601FA0"/>
    <w:pPr>
      <w:widowControl w:val="0"/>
      <w:autoSpaceDE w:val="0"/>
      <w:autoSpaceDN w:val="0"/>
      <w:adjustRightInd w:val="0"/>
      <w:jc w:val="right"/>
    </w:pPr>
    <w:rPr>
      <w:rFonts w:cs="Arial"/>
      <w:szCs w:val="18"/>
    </w:rPr>
  </w:style>
  <w:style w:type="paragraph" w:customStyle="1" w:styleId="CopyrightText">
    <w:name w:val="Copyright Text"/>
    <w:basedOn w:val="BodyText"/>
    <w:rsid w:val="00601FA0"/>
    <w:rPr>
      <w:sz w:val="18"/>
    </w:rPr>
  </w:style>
  <w:style w:type="paragraph" w:customStyle="1" w:styleId="BodySmallRight">
    <w:name w:val="Body Small Right"/>
    <w:basedOn w:val="BodyTextRight"/>
    <w:rsid w:val="00601FA0"/>
    <w:rPr>
      <w:sz w:val="18"/>
      <w:szCs w:val="18"/>
    </w:rPr>
  </w:style>
  <w:style w:type="paragraph" w:customStyle="1" w:styleId="MarginEdition">
    <w:name w:val="Margin Edition"/>
    <w:basedOn w:val="MarginNote"/>
    <w:rsid w:val="00601FA0"/>
    <w:pPr>
      <w:spacing w:before="0" w:after="0"/>
    </w:pPr>
    <w:rPr>
      <w:rFonts w:ascii="Times New Roman" w:hAnsi="Times New Roman"/>
      <w:color w:val="999999"/>
    </w:rPr>
  </w:style>
  <w:style w:type="paragraph" w:customStyle="1" w:styleId="Spacer">
    <w:name w:val="Spacer"/>
    <w:basedOn w:val="Normal"/>
    <w:rsid w:val="00601FA0"/>
    <w:rPr>
      <w:sz w:val="2"/>
      <w:szCs w:val="2"/>
    </w:rPr>
  </w:style>
  <w:style w:type="character" w:customStyle="1" w:styleId="Small">
    <w:name w:val="Small"/>
    <w:basedOn w:val="DefaultParagraphFont"/>
    <w:rsid w:val="00601FA0"/>
    <w:rPr>
      <w:sz w:val="16"/>
    </w:rPr>
  </w:style>
  <w:style w:type="paragraph" w:customStyle="1" w:styleId="WideTable">
    <w:name w:val="Wide Table"/>
    <w:basedOn w:val="Normal"/>
    <w:rsid w:val="00601FA0"/>
    <w:pPr>
      <w:ind w:left="-1418"/>
    </w:pPr>
    <w:rPr>
      <w:sz w:val="2"/>
      <w:szCs w:val="2"/>
    </w:rPr>
  </w:style>
  <w:style w:type="character" w:styleId="PageNumber">
    <w:name w:val="page number"/>
    <w:basedOn w:val="DefaultParagraphFont"/>
    <w:rsid w:val="00601FA0"/>
  </w:style>
  <w:style w:type="paragraph" w:styleId="Quote">
    <w:name w:val="Quote"/>
    <w:basedOn w:val="Heading1"/>
    <w:link w:val="QuoteChar"/>
    <w:qFormat/>
    <w:rsid w:val="00601FA0"/>
    <w:rPr>
      <w:b w:val="0"/>
      <w:sz w:val="72"/>
      <w:szCs w:val="72"/>
      <w:lang w:val="en-NZ"/>
    </w:rPr>
  </w:style>
  <w:style w:type="character" w:customStyle="1" w:styleId="QuoteChar">
    <w:name w:val="Quote Char"/>
    <w:basedOn w:val="DefaultParagraphFont"/>
    <w:link w:val="Quote"/>
    <w:rsid w:val="00601F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1FA0"/>
    <w:pPr>
      <w:pageBreakBefore/>
    </w:pPr>
  </w:style>
  <w:style w:type="paragraph" w:customStyle="1" w:styleId="Border">
    <w:name w:val="Border"/>
    <w:basedOn w:val="Normal"/>
    <w:qFormat/>
    <w:rsid w:val="00601F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1FA0"/>
    <w:rPr>
      <w:b/>
      <w:bCs/>
      <w:i/>
      <w:iCs/>
      <w:color w:val="auto"/>
    </w:rPr>
  </w:style>
  <w:style w:type="paragraph" w:styleId="IntenseQuote">
    <w:name w:val="Intense Quote"/>
    <w:basedOn w:val="Normal"/>
    <w:next w:val="Normal"/>
    <w:link w:val="IntenseQuoteChar"/>
    <w:uiPriority w:val="30"/>
    <w:qFormat/>
    <w:rsid w:val="00601F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1F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1FA0"/>
    <w:rPr>
      <w:smallCaps/>
      <w:color w:val="auto"/>
      <w:u w:val="single"/>
    </w:rPr>
  </w:style>
  <w:style w:type="character" w:styleId="IntenseReference">
    <w:name w:val="Intense Reference"/>
    <w:basedOn w:val="DefaultParagraphFont"/>
    <w:uiPriority w:val="32"/>
    <w:qFormat/>
    <w:rsid w:val="00601FA0"/>
    <w:rPr>
      <w:b/>
      <w:bCs/>
      <w:smallCaps/>
      <w:color w:val="auto"/>
      <w:spacing w:val="5"/>
      <w:u w:val="single"/>
    </w:rPr>
  </w:style>
  <w:style w:type="paragraph" w:customStyle="1" w:styleId="2ColumnHeading">
    <w:name w:val="2Column Heading"/>
    <w:basedOn w:val="BodyText"/>
    <w:qFormat/>
    <w:rsid w:val="00601FA0"/>
    <w:pPr>
      <w:spacing w:after="60"/>
      <w:ind w:left="-2268"/>
    </w:pPr>
    <w:rPr>
      <w:b/>
    </w:rPr>
  </w:style>
  <w:style w:type="paragraph" w:customStyle="1" w:styleId="Heading1TOC">
    <w:name w:val="Heading1 TOC"/>
    <w:basedOn w:val="Normal"/>
    <w:qFormat/>
    <w:rsid w:val="00601FA0"/>
    <w:pPr>
      <w:spacing w:before="240" w:after="120"/>
    </w:pPr>
    <w:rPr>
      <w:rFonts w:ascii="Times New Roman" w:hAnsi="Times New Roman"/>
      <w:b/>
      <w:sz w:val="32"/>
    </w:rPr>
  </w:style>
  <w:style w:type="paragraph" w:customStyle="1" w:styleId="Heading2TOC">
    <w:name w:val="Heading2 TOC"/>
    <w:basedOn w:val="Normal"/>
    <w:qFormat/>
    <w:rsid w:val="00601FA0"/>
    <w:pPr>
      <w:spacing w:before="240" w:after="60"/>
    </w:pPr>
    <w:rPr>
      <w:rFonts w:ascii="Times New Roman" w:hAnsi="Times New Roman"/>
      <w:b/>
      <w:sz w:val="28"/>
    </w:rPr>
  </w:style>
  <w:style w:type="character" w:customStyle="1" w:styleId="Underline">
    <w:name w:val="Underline"/>
    <w:basedOn w:val="DefaultParagraphFont"/>
    <w:qFormat/>
    <w:rsid w:val="00601FA0"/>
    <w:rPr>
      <w:u w:val="single"/>
    </w:rPr>
  </w:style>
  <w:style w:type="paragraph" w:styleId="BalloonText">
    <w:name w:val="Balloon Text"/>
    <w:basedOn w:val="Normal"/>
    <w:link w:val="BalloonTextChar"/>
    <w:rsid w:val="00601FA0"/>
    <w:rPr>
      <w:rFonts w:ascii="Tahoma" w:hAnsi="Tahoma" w:cs="Tahoma"/>
      <w:sz w:val="16"/>
      <w:szCs w:val="16"/>
    </w:rPr>
  </w:style>
  <w:style w:type="character" w:customStyle="1" w:styleId="BalloonTextChar">
    <w:name w:val="Balloon Text Char"/>
    <w:basedOn w:val="DefaultParagraphFont"/>
    <w:link w:val="BalloonText"/>
    <w:rsid w:val="00601F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1F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1F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1751</Words>
  <Characters>11155</Characters>
  <Application>Microsoft Office Word</Application>
  <DocSecurity>0</DocSecurity>
  <Lines>398</Lines>
  <Paragraphs>214</Paragraphs>
  <ScaleCrop>false</ScaleCrop>
  <Company>Author-it Software Corporation Ltd.</Company>
  <LinksUpToDate>false</LinksUpToDate>
  <CharactersWithSpaces>12834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CPCCSH2003A Apply and install sealant and sealant devices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2012-05-26T05:40:00Z</dcterms:created>
  <dcterms:modified xsi:type="dcterms:W3CDTF">2012-05-26T05:40:00Z</dcterms:modified>
</cp:coreProperties>
</file>