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A2B" w:rsidP="006E4A2B">
      <w:pPr>
        <w:pStyle w:val="Title"/>
      </w:pPr>
      <w:r>
        <w:fldChar w:fldCharType="begin"/>
      </w:r>
      <w:r>
        <w:instrText xml:space="preserve"> TITLE   \* MERGEFORMAT </w:instrText>
      </w:r>
      <w:r>
        <w:fldChar w:fldCharType="separate"/>
      </w:r>
      <w:r>
        <w:t>CPCCPD3028A Apply decorative paint finishes</w:t>
      </w:r>
      <w:r>
        <w:fldChar w:fldCharType="end"/>
      </w:r>
    </w:p>
    <w:p w:rsidR="006E4A2B" w:rsidP="006E4A2B">
      <w:pPr>
        <w:pStyle w:val="Version"/>
        <w:sectPr w:rsidSect="005500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029" w:rsidP="00550029">
      <w:pPr>
        <w:pStyle w:val="SuperHeading"/>
      </w:pPr>
      <w:r w:rsidRPr="00550029">
        <w:t>CPCCPD3028A Apply decorative paint finishes</w:t>
      </w:r>
    </w:p>
    <w:p w:rsidR="00000000" w:rsidRPr="00550029" w:rsidP="00550029">
      <w:pPr>
        <w:pStyle w:val="Heading1"/>
      </w:pPr>
      <w:bookmarkStart w:id="1" w:name="O_269638"/>
      <w:bookmarkEnd w:id="1"/>
      <w:r w:rsidRPr="00550029">
        <w:t>Modification History</w:t>
      </w:r>
    </w:p>
    <w:p w:rsidR="00000000" w:rsidRPr="00550029" w:rsidP="00550029">
      <w:pPr>
        <w:pStyle w:val="BodyText"/>
      </w:pPr>
      <w:r w:rsidRPr="00550029">
        <w:t>Not Applicable</w:t>
      </w:r>
    </w:p>
    <w:p w:rsidR="00000000" w:rsidRPr="00550029" w:rsidP="00550029">
      <w:pPr>
        <w:pStyle w:val="AllowPageBreak"/>
      </w:pPr>
    </w:p>
    <w:p w:rsidR="00000000" w:rsidRPr="00550029" w:rsidP="00550029">
      <w:pPr>
        <w:pStyle w:val="Heading1"/>
      </w:pPr>
      <w:bookmarkStart w:id="2" w:name="O_198284"/>
      <w:bookmarkEnd w:id="2"/>
      <w:r w:rsidRPr="00550029">
        <w:t>Unit Descriptor</w:t>
      </w:r>
    </w:p>
    <w:tbl>
      <w:tblPr>
        <w:tblW w:w="0" w:type="auto"/>
        <w:tblLayout w:type="fixed"/>
        <w:tblCellMar>
          <w:left w:w="62" w:type="dxa"/>
          <w:right w:w="62" w:type="dxa"/>
        </w:tblCellMar>
        <w:tblLook w:val="0000"/>
      </w:tblPr>
      <w:tblGrid>
        <w:gridCol w:w="2757"/>
        <w:gridCol w:w="5765"/>
      </w:tblGrid>
      <w:tr w:rsidTr="006E4A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Unit descriptor</w:t>
            </w:r>
          </w:p>
        </w:tc>
        <w:tc>
          <w:tcPr>
            <w:tcW w:w="5765"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This unit of competency specifies the outcomes required to apply decorative paint finishes to a range of di</w:t>
            </w:r>
            <w:r w:rsidRPr="00550029">
              <w:t>fferent material surfaces.</w:t>
            </w:r>
          </w:p>
          <w:p w:rsidR="00000000" w:rsidRPr="00550029" w:rsidP="00550029">
            <w:pPr>
              <w:pStyle w:val="BodyText"/>
            </w:pPr>
            <w:r w:rsidRPr="00550029">
              <w:t>The unit includes planning and preparation for the work; preparation of the application area; application of mirror paint finishes, broken colour effects and lines by brush; and completion of clean-up activities.</w:t>
            </w:r>
          </w:p>
        </w:tc>
      </w:tr>
    </w:tbl>
    <w:p w:rsidR="006E4A2B" w:rsidP="00550029">
      <w:pPr>
        <w:pStyle w:val="BodyText"/>
      </w:pPr>
    </w:p>
    <w:p w:rsidR="006E4A2B" w:rsidP="00550029">
      <w:pPr>
        <w:pStyle w:val="BodyText"/>
      </w:pPr>
    </w:p>
    <w:p w:rsidR="00000000" w:rsidRPr="00550029" w:rsidP="00550029">
      <w:pPr>
        <w:pStyle w:val="Heading1"/>
      </w:pPr>
      <w:bookmarkStart w:id="3" w:name="O_198287"/>
      <w:bookmarkEnd w:id="3"/>
      <w:r w:rsidRPr="00550029">
        <w:t>Application of the Unit</w:t>
      </w:r>
    </w:p>
    <w:tbl>
      <w:tblPr>
        <w:tblW w:w="0" w:type="auto"/>
        <w:tblLayout w:type="fixed"/>
        <w:tblCellMar>
          <w:left w:w="62" w:type="dxa"/>
          <w:right w:w="62" w:type="dxa"/>
        </w:tblCellMar>
        <w:tblLook w:val="0000"/>
      </w:tblPr>
      <w:tblGrid>
        <w:gridCol w:w="2816"/>
        <w:gridCol w:w="5706"/>
      </w:tblGrid>
      <w:tr w:rsidTr="006E4A2B">
        <w:tblPrEx>
          <w:tblW w:w="0" w:type="auto"/>
          <w:tblLayout w:type="fixed"/>
          <w:tblCellMar>
            <w:left w:w="62" w:type="dxa"/>
            <w:right w:w="62" w:type="dxa"/>
          </w:tblCellMar>
          <w:tblLook w:val="0000"/>
        </w:tblPrEx>
        <w:trPr>
          <w:tblHeader/>
        </w:trPr>
        <w:tc>
          <w:tcPr>
            <w:tcW w:w="2816"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Application of the unit</w:t>
            </w:r>
          </w:p>
        </w:tc>
        <w:tc>
          <w:tcPr>
            <w:tcW w:w="5706"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This unit of competency supports the attainment of the understanding and skills to apply commonly used decorative paint finishes, which may include working with others and as a member of a team.</w:t>
            </w:r>
          </w:p>
        </w:tc>
      </w:tr>
    </w:tbl>
    <w:p w:rsidR="006E4A2B" w:rsidP="00550029">
      <w:pPr>
        <w:pStyle w:val="BodyText"/>
      </w:pPr>
    </w:p>
    <w:p w:rsidR="006E4A2B" w:rsidP="00550029">
      <w:pPr>
        <w:pStyle w:val="BodyText"/>
      </w:pPr>
    </w:p>
    <w:p w:rsidR="00000000" w:rsidRPr="00550029" w:rsidP="00550029">
      <w:pPr>
        <w:pStyle w:val="Heading1"/>
      </w:pPr>
      <w:bookmarkStart w:id="4" w:name="O_277898"/>
      <w:bookmarkEnd w:id="4"/>
      <w:r w:rsidRPr="00550029">
        <w:t>Licensing/Regulatory Information</w:t>
      </w:r>
    </w:p>
    <w:p w:rsidR="00000000" w:rsidRPr="00550029" w:rsidP="00550029">
      <w:pPr>
        <w:pStyle w:val="BodyText"/>
      </w:pPr>
      <w:r w:rsidRPr="00550029">
        <w:t>Not Applicable</w:t>
      </w:r>
    </w:p>
    <w:p w:rsidR="00000000" w:rsidRPr="00550029" w:rsidP="00550029">
      <w:pPr>
        <w:pStyle w:val="AllowPageBreak"/>
      </w:pPr>
    </w:p>
    <w:p w:rsidR="00000000" w:rsidRPr="00550029" w:rsidP="00550029">
      <w:pPr>
        <w:pStyle w:val="Heading1"/>
      </w:pPr>
      <w:bookmarkStart w:id="5" w:name="O_198286"/>
      <w:bookmarkEnd w:id="5"/>
      <w:r w:rsidRPr="00550029">
        <w:t>Pre-Requisites</w:t>
      </w:r>
    </w:p>
    <w:tbl>
      <w:tblPr>
        <w:tblW w:w="0" w:type="auto"/>
        <w:tblLayout w:type="fixed"/>
        <w:tblCellMar>
          <w:left w:w="62" w:type="dxa"/>
          <w:right w:w="62" w:type="dxa"/>
        </w:tblCellMar>
        <w:tblLook w:val="0000"/>
      </w:tblPr>
      <w:tblGrid>
        <w:gridCol w:w="2698"/>
        <w:gridCol w:w="2527"/>
        <w:gridCol w:w="3297"/>
      </w:tblGrid>
      <w:tr w:rsidTr="006E4A2B">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Prerequisite units</w:t>
            </w:r>
          </w:p>
        </w:tc>
        <w:tc>
          <w:tcPr>
            <w:tcW w:w="5824" w:type="dxa"/>
            <w:gridSpan w:val="2"/>
            <w:tcBorders>
              <w:top w:val="nil"/>
              <w:left w:val="nil"/>
              <w:bottom w:val="nil"/>
              <w:right w:val="nil"/>
            </w:tcBorders>
            <w:tcMar>
              <w:top w:w="0" w:type="dxa"/>
              <w:left w:w="62" w:type="dxa"/>
              <w:bottom w:w="0" w:type="dxa"/>
              <w:right w:w="62" w:type="dxa"/>
            </w:tcMar>
          </w:tcPr>
          <w:p w:rsidR="00000000" w:rsidP="00550029">
            <w:pPr>
              <w:pStyle w:val="BodyText"/>
              <w:rPr>
                <w:lang w:val="en-NZ"/>
              </w:rPr>
            </w:pPr>
          </w:p>
        </w:tc>
      </w:tr>
      <w:tr w:rsidTr="006E4A2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t>CPCCOHS2001A</w:t>
            </w:r>
          </w:p>
        </w:tc>
        <w:tc>
          <w:tcPr>
            <w:tcW w:w="3297"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t>Apply OHS requirements, policies and procedures in the construction industry</w:t>
            </w:r>
          </w:p>
        </w:tc>
      </w:tr>
      <w:tr w:rsidTr="006E4A2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97" w:type="dxa"/>
            <w:tcBorders>
              <w:top w:val="nil"/>
              <w:left w:val="nil"/>
              <w:bottom w:val="nil"/>
              <w:right w:val="nil"/>
            </w:tcBorders>
            <w:tcMar>
              <w:top w:w="0" w:type="dxa"/>
              <w:left w:w="62" w:type="dxa"/>
              <w:bottom w:w="0" w:type="dxa"/>
              <w:right w:w="62" w:type="dxa"/>
            </w:tcMar>
          </w:tcPr>
          <w:p w:rsidR="00000000" w:rsidRPr="00550029" w:rsidP="00550029">
            <w:pPr>
              <w:pStyle w:val="BodyText"/>
            </w:pPr>
          </w:p>
        </w:tc>
      </w:tr>
    </w:tbl>
    <w:p w:rsidR="006E4A2B" w:rsidP="00550029">
      <w:pPr>
        <w:pStyle w:val="BodyText"/>
      </w:pPr>
    </w:p>
    <w:p w:rsidR="006E4A2B" w:rsidP="00550029">
      <w:pPr>
        <w:pStyle w:val="BodyText"/>
      </w:pPr>
    </w:p>
    <w:p w:rsidR="00000000" w:rsidRPr="00550029" w:rsidP="00550029">
      <w:pPr>
        <w:pStyle w:val="Heading1"/>
      </w:pPr>
      <w:bookmarkStart w:id="6" w:name="O_198285"/>
      <w:bookmarkEnd w:id="6"/>
      <w:r w:rsidRPr="00550029">
        <w:t>Employability Skills Information</w:t>
      </w:r>
    </w:p>
    <w:tbl>
      <w:tblPr>
        <w:tblW w:w="0" w:type="auto"/>
        <w:tblLayout w:type="fixed"/>
        <w:tblCellMar>
          <w:left w:w="62" w:type="dxa"/>
          <w:right w:w="62" w:type="dxa"/>
        </w:tblCellMar>
        <w:tblLook w:val="0000"/>
      </w:tblPr>
      <w:tblGrid>
        <w:gridCol w:w="2848"/>
        <w:gridCol w:w="5674"/>
      </w:tblGrid>
      <w:tr w:rsidTr="006E4A2B">
        <w:tblPrEx>
          <w:tblW w:w="0" w:type="auto"/>
          <w:tblLayout w:type="fixed"/>
          <w:tblCellMar>
            <w:left w:w="62" w:type="dxa"/>
            <w:right w:w="62" w:type="dxa"/>
          </w:tblCellMar>
          <w:tblLook w:val="0000"/>
        </w:tblPrEx>
        <w:trPr>
          <w:tblHeader/>
        </w:trPr>
        <w:tc>
          <w:tcPr>
            <w:tcW w:w="284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Employability skills</w:t>
            </w:r>
          </w:p>
        </w:tc>
        <w:tc>
          <w:tcPr>
            <w:tcW w:w="5674"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This unit contains employability skills.</w:t>
            </w:r>
          </w:p>
        </w:tc>
      </w:tr>
    </w:tbl>
    <w:p w:rsidR="006E4A2B" w:rsidP="00550029">
      <w:pPr>
        <w:pStyle w:val="BodyText"/>
      </w:pPr>
    </w:p>
    <w:p w:rsidR="006E4A2B" w:rsidP="00550029">
      <w:pPr>
        <w:pStyle w:val="BodyText"/>
      </w:pPr>
    </w:p>
    <w:p w:rsidR="00000000" w:rsidRPr="00550029" w:rsidP="00550029">
      <w:pPr>
        <w:pStyle w:val="Heading1"/>
      </w:pPr>
      <w:bookmarkStart w:id="7" w:name="O_287684"/>
      <w:bookmarkEnd w:id="7"/>
      <w:r w:rsidRPr="00550029">
        <w:t>Elements and Performance Criteria Pre-Content</w:t>
      </w:r>
    </w:p>
    <w:tbl>
      <w:tblPr>
        <w:tblW w:w="0" w:type="auto"/>
        <w:tblLayout w:type="fixed"/>
        <w:tblCellMar>
          <w:left w:w="62" w:type="dxa"/>
          <w:right w:w="62" w:type="dxa"/>
        </w:tblCellMar>
        <w:tblLook w:val="0000"/>
      </w:tblPr>
      <w:tblGrid>
        <w:gridCol w:w="2567"/>
        <w:gridCol w:w="5955"/>
      </w:tblGrid>
      <w:tr w:rsidTr="006E4A2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50029">
            <w:pPr>
              <w:pStyle w:val="BodyText"/>
              <w:rPr>
                <w:lang w:val="en-NZ"/>
              </w:rPr>
            </w:pPr>
            <w:r w:rsidRPr="00550029">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50029" w:rsidP="00550029">
            <w:pPr>
              <w:pStyle w:val="BodyText"/>
            </w:pPr>
            <w:r w:rsidRPr="00550029">
              <w:t>Performance criteria describe the performance needed to demonstrate achievement of the element. Where bold italicised text is used, further information is detailed in the required skills and knowledge section and the range statement. Assessment of performa</w:t>
            </w:r>
            <w:r w:rsidRPr="00550029">
              <w:t>nce is to be consistent with the evidence guide.</w:t>
            </w:r>
          </w:p>
        </w:tc>
      </w:tr>
    </w:tbl>
    <w:p w:rsidR="00000000" w:rsidRPr="00550029" w:rsidP="00550029">
      <w:pPr>
        <w:pStyle w:val="BodyText"/>
      </w:pPr>
    </w:p>
    <w:p w:rsidR="00000000" w:rsidRPr="00550029" w:rsidP="00550029">
      <w:pPr>
        <w:pStyle w:val="AllowPageBreak"/>
      </w:pPr>
    </w:p>
    <w:p w:rsidR="00000000" w:rsidRPr="00550029" w:rsidP="00550029">
      <w:pPr>
        <w:pStyle w:val="Heading1"/>
      </w:pPr>
      <w:bookmarkStart w:id="8" w:name="O_234351"/>
      <w:bookmarkEnd w:id="8"/>
      <w:r w:rsidRPr="00550029">
        <w:t>Elements and Performance Criteria</w:t>
      </w:r>
    </w:p>
    <w:tbl>
      <w:tblPr>
        <w:tblW w:w="0" w:type="auto"/>
        <w:tblLayout w:type="fixed"/>
        <w:tblCellMar>
          <w:left w:w="62" w:type="dxa"/>
          <w:right w:w="62" w:type="dxa"/>
        </w:tblCellMar>
        <w:tblLook w:val="0000"/>
      </w:tblPr>
      <w:tblGrid>
        <w:gridCol w:w="2567"/>
        <w:gridCol w:w="5955"/>
      </w:tblGrid>
      <w:tr w:rsidTr="006E4A2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50029" w:rsidP="00550029">
            <w:pPr>
              <w:pStyle w:val="BodyText"/>
            </w:pPr>
            <w:r w:rsidRPr="00550029">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50029">
            <w:pPr>
              <w:pStyle w:val="BodyText"/>
              <w:rPr>
                <w:lang w:val="en-NZ"/>
              </w:rPr>
            </w:pPr>
            <w:r w:rsidRPr="00550029">
              <w:rPr>
                <w:rStyle w:val="SpecialBold"/>
              </w:rPr>
              <w:t>PERFORMANCE CRITERIA</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1.</w:t>
            </w:r>
            <w:r w:rsidRPr="00550029">
              <w:tab/>
              <w:t>Plan and prepare.</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1.1.</w:t>
            </w:r>
            <w:r w:rsidRPr="00550029">
              <w:tab/>
              <w:t xml:space="preserve">Work instructions and operational details are obtained using relevant </w:t>
            </w:r>
            <w:r w:rsidRPr="00550029">
              <w:rPr>
                <w:rStyle w:val="BoldandItalics"/>
              </w:rPr>
              <w:t>information</w:t>
            </w:r>
            <w:r w:rsidRPr="00550029">
              <w:t xml:space="preserve">, confirmed and applied for </w:t>
            </w:r>
            <w:r w:rsidRPr="00550029">
              <w:rPr>
                <w:rStyle w:val="BoldandItalics"/>
              </w:rPr>
              <w:t>planning and preparation</w:t>
            </w:r>
            <w:r w:rsidRPr="00550029">
              <w:t xml:space="preserve"> purposes. </w:t>
            </w:r>
          </w:p>
          <w:p w:rsidR="00000000" w:rsidRPr="00550029" w:rsidP="00550029">
            <w:pPr>
              <w:pStyle w:val="List2"/>
            </w:pPr>
            <w:r w:rsidRPr="00550029">
              <w:t>1.2.</w:t>
            </w:r>
            <w:r w:rsidRPr="00550029">
              <w:tab/>
            </w:r>
            <w:r w:rsidRPr="00550029">
              <w:rPr>
                <w:rStyle w:val="BoldandItalics"/>
              </w:rPr>
              <w:t>Safety</w:t>
            </w:r>
            <w:r w:rsidRPr="00550029">
              <w:t xml:space="preserve"> (</w:t>
            </w:r>
            <w:r w:rsidRPr="00550029">
              <w:rPr>
                <w:rStyle w:val="BoldandItalics"/>
              </w:rPr>
              <w:t>OHS</w:t>
            </w:r>
            <w:r w:rsidRPr="00550029">
              <w:t xml:space="preserve">) requirements are followed in accordance with safety plans and policies. </w:t>
            </w:r>
          </w:p>
          <w:p w:rsidR="00000000" w:rsidRPr="00550029" w:rsidP="00550029">
            <w:pPr>
              <w:pStyle w:val="List2"/>
            </w:pPr>
            <w:r w:rsidRPr="00550029">
              <w:t>1.3.</w:t>
            </w:r>
            <w:r w:rsidRPr="00550029">
              <w:tab/>
              <w:t>Signage and barricade requirements are identified and implemented.</w:t>
            </w:r>
          </w:p>
          <w:p w:rsidR="00000000" w:rsidRPr="00550029" w:rsidP="00550029">
            <w:pPr>
              <w:pStyle w:val="List2"/>
            </w:pPr>
            <w:r w:rsidRPr="00550029">
              <w:t>1.4.</w:t>
            </w:r>
            <w:r w:rsidRPr="00550029">
              <w:tab/>
            </w:r>
            <w:r w:rsidRPr="00550029">
              <w:rPr>
                <w:rStyle w:val="BoldandItalics"/>
              </w:rPr>
              <w:t>Tools and equipment</w:t>
            </w:r>
            <w:r w:rsidRPr="00550029">
              <w:t xml:space="preserve"> are </w:t>
            </w:r>
            <w:r w:rsidRPr="00550029">
              <w:t xml:space="preserve">selected to carry out tasks are consistent with the requirements of the job, checked for serviceability and any faults are rectified or reported prior to commencement. </w:t>
            </w:r>
          </w:p>
          <w:p w:rsidR="00000000" w:rsidRPr="00550029" w:rsidP="00550029">
            <w:pPr>
              <w:pStyle w:val="List2"/>
            </w:pPr>
            <w:r w:rsidRPr="00550029">
              <w:t>1.5.</w:t>
            </w:r>
            <w:r w:rsidRPr="00550029">
              <w:tab/>
            </w:r>
            <w:r w:rsidRPr="00550029">
              <w:rPr>
                <w:rStyle w:val="BoldandItalics"/>
              </w:rPr>
              <w:t>Materials</w:t>
            </w:r>
            <w:r w:rsidRPr="00550029">
              <w:t xml:space="preserve"> quantity requirements are calculated in accordance with plans, specifica</w:t>
            </w:r>
            <w:r w:rsidRPr="00550029">
              <w:t xml:space="preserve">tions and </w:t>
            </w:r>
            <w:r w:rsidRPr="00550029">
              <w:rPr>
                <w:rStyle w:val="BoldandItalics"/>
              </w:rPr>
              <w:t>quality requirements</w:t>
            </w:r>
            <w:r w:rsidRPr="00550029">
              <w:t xml:space="preserve">. </w:t>
            </w:r>
          </w:p>
          <w:p w:rsidR="00000000" w:rsidRPr="00550029" w:rsidP="00550029">
            <w:pPr>
              <w:pStyle w:val="List2"/>
            </w:pPr>
            <w:r w:rsidRPr="00550029">
              <w:t>1.6.</w:t>
            </w:r>
            <w:r w:rsidRPr="00550029">
              <w:tab/>
              <w:t>Materials appropriate to the work application are identified, obtained, prepared, safely handled and located ready for use.</w:t>
            </w:r>
          </w:p>
          <w:p w:rsidR="00000000" w:rsidP="00550029">
            <w:pPr>
              <w:pStyle w:val="List2"/>
              <w:rPr>
                <w:lang w:val="en-NZ"/>
              </w:rPr>
            </w:pPr>
            <w:r w:rsidRPr="00550029">
              <w:t>1.7.</w:t>
            </w:r>
            <w:r w:rsidRPr="00550029">
              <w:tab/>
            </w:r>
            <w:r w:rsidRPr="00550029">
              <w:rPr>
                <w:rStyle w:val="BoldandItalics"/>
              </w:rPr>
              <w:t>Environmental requirements</w:t>
            </w:r>
            <w:r w:rsidRPr="00550029">
              <w:t xml:space="preserve"> are identified for the project in accordance with environmenta</w:t>
            </w:r>
            <w:r w:rsidRPr="00550029">
              <w:t xml:space="preserve">l plans and regulatory obligations and applied. </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2.</w:t>
            </w:r>
            <w:r w:rsidRPr="00550029">
              <w:tab/>
              <w:t>Prepare application area.</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2.1.</w:t>
            </w:r>
            <w:r w:rsidRPr="00550029">
              <w:tab/>
              <w:t xml:space="preserve">Area is set up for application processes to suit surfaces to be painted with </w:t>
            </w:r>
            <w:r w:rsidRPr="00550029">
              <w:rPr>
                <w:rStyle w:val="BoldandItalics"/>
              </w:rPr>
              <w:t>decorative paint finishes</w:t>
            </w:r>
            <w:r w:rsidRPr="00550029">
              <w:t xml:space="preserve">. </w:t>
            </w:r>
          </w:p>
          <w:p w:rsidR="00000000" w:rsidRPr="00550029" w:rsidP="00550029">
            <w:pPr>
              <w:pStyle w:val="List2"/>
            </w:pPr>
            <w:r w:rsidRPr="00550029">
              <w:t>2.2.</w:t>
            </w:r>
            <w:r w:rsidRPr="00550029">
              <w:tab/>
            </w:r>
            <w:r w:rsidRPr="00550029">
              <w:t>Adjoining surfaces to application area are protected by masking off or covering prior to application of decorative paint finishing materials.</w:t>
            </w:r>
          </w:p>
          <w:p w:rsidR="00000000" w:rsidRPr="00550029" w:rsidP="00550029">
            <w:pPr>
              <w:pStyle w:val="List2"/>
            </w:pPr>
            <w:r w:rsidRPr="00550029">
              <w:t>2.3.</w:t>
            </w:r>
            <w:r w:rsidRPr="00550029">
              <w:tab/>
              <w:t>Ventilation is provided in application area to maintain safety of self and others.</w:t>
            </w:r>
          </w:p>
          <w:p w:rsidR="00000000" w:rsidP="00550029">
            <w:pPr>
              <w:pStyle w:val="List2"/>
              <w:rPr>
                <w:lang w:val="en-NZ"/>
              </w:rPr>
            </w:pPr>
            <w:r w:rsidRPr="00550029">
              <w:t>2.4.</w:t>
            </w:r>
            <w:r w:rsidRPr="00550029">
              <w:tab/>
              <w:t>Measures are taken to</w:t>
            </w:r>
            <w:r w:rsidRPr="00550029">
              <w:t xml:space="preserve"> ensure application area is dust free.</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3.</w:t>
            </w:r>
            <w:r w:rsidRPr="00550029">
              <w:tab/>
              <w:t>Apply mirror paint finish.</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3.1.</w:t>
            </w:r>
            <w:r w:rsidRPr="00550029">
              <w:tab/>
              <w:t xml:space="preserve">Paint viscosity is adjusted to suit climatic conditions and method of application in accordance with manufacturer specifications and/or job specifications for </w:t>
            </w:r>
            <w:r w:rsidRPr="00550029">
              <w:rPr>
                <w:rStyle w:val="BoldandItalics"/>
              </w:rPr>
              <w:t>mirror finishing</w:t>
            </w:r>
            <w:r w:rsidRPr="00550029">
              <w:t xml:space="preserve">. </w:t>
            </w:r>
          </w:p>
          <w:p w:rsidR="00000000" w:rsidRPr="00550029" w:rsidP="00550029">
            <w:pPr>
              <w:pStyle w:val="List2"/>
            </w:pPr>
            <w:r w:rsidRPr="00550029">
              <w:t>3.2</w:t>
            </w:r>
            <w:r w:rsidRPr="00550029">
              <w:t>.</w:t>
            </w:r>
            <w:r w:rsidRPr="00550029">
              <w:tab/>
              <w:t>Prime and intermediate coats are applied to specifications, allowed to dry thoroughly and sanded to a smooth, even finish.</w:t>
            </w:r>
          </w:p>
          <w:p w:rsidR="00000000" w:rsidP="00550029">
            <w:pPr>
              <w:pStyle w:val="List2"/>
              <w:rPr>
                <w:lang w:val="en-NZ"/>
              </w:rPr>
            </w:pPr>
            <w:r w:rsidRPr="00550029">
              <w:t>3.3.</w:t>
            </w:r>
            <w:r w:rsidRPr="00550029">
              <w:tab/>
              <w:t>Final coat is applied without imperfections, flowing out to an even, smooth finish in accordance with manufacturer specificati</w:t>
            </w:r>
            <w:r w:rsidRPr="00550029">
              <w:t>ons and/or job specifications.</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4.</w:t>
            </w:r>
            <w:r w:rsidRPr="00550029">
              <w:tab/>
              <w:t>Apply broken colour effects.</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4.1.</w:t>
            </w:r>
            <w:r w:rsidRPr="00550029">
              <w:tab/>
              <w:t xml:space="preserve">Ground coat to specified colour and consistency is applied evenly to prepared surface for </w:t>
            </w:r>
            <w:r w:rsidRPr="00550029">
              <w:rPr>
                <w:rStyle w:val="BoldandItalics"/>
              </w:rPr>
              <w:t xml:space="preserve">broken colour </w:t>
            </w:r>
            <w:r w:rsidRPr="00550029">
              <w:rPr>
                <w:rStyle w:val="BoldandItalics"/>
              </w:rPr>
              <w:t>effects</w:t>
            </w:r>
            <w:r w:rsidRPr="00550029">
              <w:t xml:space="preserve">. </w:t>
            </w:r>
          </w:p>
          <w:p w:rsidR="00000000" w:rsidRPr="00550029" w:rsidP="00550029">
            <w:pPr>
              <w:pStyle w:val="List2"/>
            </w:pPr>
            <w:r w:rsidRPr="00550029">
              <w:t>4.2.</w:t>
            </w:r>
            <w:r w:rsidRPr="00550029">
              <w:tab/>
              <w:t>Scumble glaze is applied to prepared ground and desired broken colou</w:t>
            </w:r>
            <w:r w:rsidRPr="00550029">
              <w:t>r effect is produced to match sample in accordance with manufacturer specifications and/or job specifications.</w:t>
            </w:r>
          </w:p>
          <w:p w:rsidR="00000000" w:rsidP="00550029">
            <w:pPr>
              <w:pStyle w:val="List2"/>
              <w:rPr>
                <w:lang w:val="en-NZ"/>
              </w:rPr>
            </w:pPr>
            <w:r w:rsidRPr="00550029">
              <w:t>4.3.</w:t>
            </w:r>
            <w:r w:rsidRPr="00550029">
              <w:tab/>
              <w:t>Clear coating is applied to achieve an even finish to specified sheen level in accordance with manufacturer specifications and/or job specif</w:t>
            </w:r>
            <w:r w:rsidRPr="00550029">
              <w:t>ications.</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5.</w:t>
            </w:r>
            <w:r w:rsidRPr="00550029">
              <w:tab/>
              <w:t>Apply modern acrylic finishes</w:t>
            </w:r>
          </w:p>
        </w:tc>
        <w:tc>
          <w:tcPr>
            <w:tcW w:w="5955" w:type="dxa"/>
            <w:tcBorders>
              <w:top w:val="nil"/>
              <w:left w:val="nil"/>
              <w:bottom w:val="nil"/>
              <w:right w:val="nil"/>
            </w:tcBorders>
            <w:tcMar>
              <w:top w:w="0" w:type="dxa"/>
              <w:left w:w="62" w:type="dxa"/>
              <w:bottom w:w="0" w:type="dxa"/>
              <w:right w:w="62" w:type="dxa"/>
            </w:tcMar>
          </w:tcPr>
          <w:p w:rsidR="00000000" w:rsidP="00550029">
            <w:pPr>
              <w:pStyle w:val="List2"/>
              <w:rPr>
                <w:lang w:val="en-NZ"/>
              </w:rPr>
            </w:pPr>
            <w:r w:rsidRPr="00550029">
              <w:t>5.1.</w:t>
            </w:r>
            <w:r w:rsidRPr="00550029">
              <w:tab/>
            </w:r>
            <w:r w:rsidRPr="00550029">
              <w:rPr>
                <w:rStyle w:val="BoldandItalics"/>
              </w:rPr>
              <w:t>Acrylic finishes</w:t>
            </w:r>
            <w:r w:rsidRPr="00550029">
              <w:t xml:space="preserve"> are applied to achieve an even finish in accordance with manufacturer specifications and/or job specifications </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6.</w:t>
            </w:r>
            <w:r w:rsidRPr="00550029">
              <w:tab/>
              <w:t>Apply lining by brush.</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6.1.</w:t>
            </w:r>
            <w:r w:rsidRPr="00550029">
              <w:tab/>
            </w:r>
            <w:r w:rsidRPr="00550029">
              <w:t>Lining work is selected and set out to designed effect on prepared surface to specifications.</w:t>
            </w:r>
          </w:p>
          <w:p w:rsidR="00000000" w:rsidRPr="00550029" w:rsidP="00550029">
            <w:pPr>
              <w:pStyle w:val="List2"/>
            </w:pPr>
            <w:r w:rsidRPr="00550029">
              <w:t>6.2.</w:t>
            </w:r>
            <w:r w:rsidRPr="00550029">
              <w:tab/>
              <w:t>Paint materials, applicators and brushware are identified and selected in accordance with suitability of use for lining application and job specifications.</w:t>
            </w:r>
          </w:p>
          <w:p w:rsidR="00000000" w:rsidP="00550029">
            <w:pPr>
              <w:pStyle w:val="List2"/>
              <w:rPr>
                <w:lang w:val="en-NZ"/>
              </w:rPr>
            </w:pPr>
            <w:r w:rsidRPr="00550029">
              <w:t>6</w:t>
            </w:r>
            <w:r w:rsidRPr="00550029">
              <w:t>.3.</w:t>
            </w:r>
            <w:r w:rsidRPr="00550029">
              <w:tab/>
              <w:t>Specified application techniques are applied to produce designed lining work effects and finish in accordance with manufacturer specifications and/or job specifications.</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7.</w:t>
            </w:r>
            <w:r w:rsidRPr="00550029">
              <w:tab/>
              <w:t>Apply basic stencilling</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7.1.</w:t>
            </w:r>
            <w:r w:rsidRPr="00550029">
              <w:tab/>
            </w:r>
            <w:r w:rsidRPr="00550029">
              <w:rPr>
                <w:rStyle w:val="BoldandItalics"/>
              </w:rPr>
              <w:t>Stencil</w:t>
            </w:r>
            <w:r w:rsidRPr="00550029">
              <w:t xml:space="preserve"> design is selected and laid out onto reco</w:t>
            </w:r>
            <w:r w:rsidRPr="00550029">
              <w:t xml:space="preserve">mmended material. </w:t>
            </w:r>
          </w:p>
          <w:p w:rsidR="00000000" w:rsidRPr="00550029" w:rsidP="00550029">
            <w:pPr>
              <w:pStyle w:val="List2"/>
            </w:pPr>
            <w:r w:rsidRPr="00550029">
              <w:t>7.2.</w:t>
            </w:r>
            <w:r w:rsidRPr="00550029">
              <w:tab/>
              <w:t>Specified transfer method, is used and design is cut accurately using a 'register' mark.</w:t>
            </w:r>
          </w:p>
          <w:p w:rsidR="00000000" w:rsidP="00550029">
            <w:pPr>
              <w:pStyle w:val="List2"/>
              <w:rPr>
                <w:lang w:val="en-NZ"/>
              </w:rPr>
            </w:pPr>
            <w:r w:rsidRPr="00550029">
              <w:t>7.3.</w:t>
            </w:r>
            <w:r w:rsidRPr="00550029">
              <w:tab/>
              <w:t>Initial stencil is placed and taped to designed location and paint is applied to produce colour to specifications.</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8.</w:t>
            </w:r>
            <w:r w:rsidRPr="00550029">
              <w:tab/>
              <w:t>Apply basic special</w:t>
            </w:r>
            <w:r w:rsidRPr="00550029">
              <w:t xml:space="preserve"> finishes</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8.1.</w:t>
            </w:r>
            <w:r w:rsidRPr="00550029">
              <w:tab/>
              <w:t xml:space="preserve">Special effect materials, applicators and brushware are identified and selected in accordance with suitability of use for application of </w:t>
            </w:r>
            <w:r w:rsidRPr="00550029">
              <w:rPr>
                <w:rStyle w:val="BoldandItalics"/>
              </w:rPr>
              <w:t>special finishes</w:t>
            </w:r>
            <w:r w:rsidRPr="00550029">
              <w:t xml:space="preserve"> and job specifications. </w:t>
            </w:r>
          </w:p>
          <w:p w:rsidR="00000000" w:rsidP="00550029">
            <w:pPr>
              <w:pStyle w:val="List2"/>
              <w:rPr>
                <w:lang w:val="en-NZ"/>
              </w:rPr>
            </w:pPr>
            <w:r w:rsidRPr="00550029">
              <w:t>8.2.</w:t>
            </w:r>
            <w:r w:rsidRPr="00550029">
              <w:tab/>
              <w:t>A range of traditional and modern special finishes are ap</w:t>
            </w:r>
            <w:r w:rsidRPr="00550029">
              <w:t>plied to produce specified effects and finish in accordance with manufacturer specifications and/or job specifications.</w:t>
            </w:r>
          </w:p>
        </w:tc>
      </w:tr>
      <w:tr w:rsidTr="006E4A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50029">
            <w:pPr>
              <w:pStyle w:val="List"/>
              <w:rPr>
                <w:lang w:val="en-NZ"/>
              </w:rPr>
            </w:pPr>
            <w:r w:rsidRPr="00550029">
              <w:t>9.</w:t>
            </w:r>
            <w:r w:rsidRPr="00550029">
              <w:tab/>
              <w:t>Clean up and store equipment.</w:t>
            </w:r>
          </w:p>
        </w:tc>
        <w:tc>
          <w:tcPr>
            <w:tcW w:w="5955" w:type="dxa"/>
            <w:tcBorders>
              <w:top w:val="nil"/>
              <w:left w:val="nil"/>
              <w:bottom w:val="nil"/>
              <w:right w:val="nil"/>
            </w:tcBorders>
            <w:tcMar>
              <w:top w:w="0" w:type="dxa"/>
              <w:left w:w="62" w:type="dxa"/>
              <w:bottom w:w="0" w:type="dxa"/>
              <w:right w:w="62" w:type="dxa"/>
            </w:tcMar>
          </w:tcPr>
          <w:p w:rsidR="00000000" w:rsidRPr="00550029" w:rsidP="00550029">
            <w:pPr>
              <w:pStyle w:val="List2"/>
            </w:pPr>
            <w:r w:rsidRPr="00550029">
              <w:t>9.1.</w:t>
            </w:r>
            <w:r w:rsidRPr="00550029">
              <w:tab/>
              <w:t>Special effect painting equipment and spray painting equipment are dismantled, cleaned, maintaine</w:t>
            </w:r>
            <w:r w:rsidRPr="00550029">
              <w:t>d and stored.</w:t>
            </w:r>
          </w:p>
          <w:p w:rsidR="00000000" w:rsidRPr="00550029" w:rsidP="00550029">
            <w:pPr>
              <w:pStyle w:val="List2"/>
            </w:pPr>
            <w:r w:rsidRPr="00550029">
              <w:t>9.2.</w:t>
            </w:r>
            <w:r w:rsidRPr="00550029">
              <w:tab/>
              <w:t>Waste and unwanted materials are removed and placed into job waste bins or rubbish stockpile in a safe and effective manner in accordance with sound work practices compliant with environmental requirements.</w:t>
            </w:r>
          </w:p>
          <w:p w:rsidR="00000000" w:rsidRPr="00550029" w:rsidP="00550029">
            <w:pPr>
              <w:pStyle w:val="List2"/>
            </w:pPr>
            <w:r w:rsidRPr="00550029">
              <w:t>9.3.</w:t>
            </w:r>
            <w:r w:rsidRPr="00550029">
              <w:tab/>
              <w:t>Unused materials are seal</w:t>
            </w:r>
            <w:r w:rsidRPr="00550029">
              <w:t>ed and stored/stacked in accordance with standard material handling practices and techniques and company requirements.</w:t>
            </w:r>
          </w:p>
          <w:p w:rsidR="00000000" w:rsidRPr="00550029" w:rsidP="00550029">
            <w:pPr>
              <w:pStyle w:val="List2"/>
            </w:pPr>
            <w:r w:rsidRPr="00550029">
              <w:t>9.4.</w:t>
            </w:r>
            <w:r w:rsidRPr="00550029">
              <w:tab/>
            </w:r>
            <w:r w:rsidRPr="00550029">
              <w:rPr>
                <w:rStyle w:val="BoldandItalics"/>
              </w:rPr>
              <w:t>Paint waste</w:t>
            </w:r>
            <w:r w:rsidRPr="00550029">
              <w:t xml:space="preserve">, </w:t>
            </w:r>
            <w:r w:rsidRPr="00550029">
              <w:rPr>
                <w:rStyle w:val="BoldandItalics"/>
              </w:rPr>
              <w:t>water and solvents</w:t>
            </w:r>
            <w:r w:rsidRPr="00550029">
              <w:t xml:space="preserve"> used in cleaning painting equipment are disposed of in an environmentally sustainable manner and in </w:t>
            </w:r>
            <w:r w:rsidRPr="00550029">
              <w:t xml:space="preserve">accordance with relevant legislative requirements </w:t>
            </w:r>
          </w:p>
          <w:p w:rsidR="00000000" w:rsidRPr="00550029" w:rsidP="00550029">
            <w:pPr>
              <w:pStyle w:val="List2"/>
            </w:pPr>
            <w:r w:rsidRPr="00550029">
              <w:t>9.5.</w:t>
            </w:r>
            <w:r w:rsidRPr="00550029">
              <w:tab/>
              <w:t>Work area is cleared and materials disposed of, reused or recycled in accordance with legislation, regulations, codes of practice and job specification.</w:t>
            </w:r>
          </w:p>
          <w:p w:rsidR="00000000" w:rsidRPr="00550029" w:rsidP="00550029">
            <w:pPr>
              <w:pStyle w:val="List2"/>
            </w:pPr>
            <w:r w:rsidRPr="00550029">
              <w:t>9.6.</w:t>
            </w:r>
            <w:r w:rsidRPr="00550029">
              <w:tab/>
            </w:r>
            <w:r w:rsidRPr="00550029">
              <w:t>Tools and equipment are cleaned, checked, maintained and stored in accordance with manufacturer specifications and/or standard work practices.</w:t>
            </w:r>
          </w:p>
        </w:tc>
      </w:tr>
    </w:tbl>
    <w:p w:rsidR="006E4A2B" w:rsidP="00550029">
      <w:pPr>
        <w:pStyle w:val="BodyText"/>
      </w:pPr>
    </w:p>
    <w:p w:rsidR="006E4A2B" w:rsidP="00550029">
      <w:pPr>
        <w:pStyle w:val="BodyText"/>
      </w:pPr>
    </w:p>
    <w:p w:rsidR="00000000" w:rsidRPr="00550029" w:rsidP="00550029">
      <w:pPr>
        <w:pStyle w:val="Heading1"/>
      </w:pPr>
      <w:bookmarkStart w:id="9" w:name="O_258301"/>
      <w:bookmarkEnd w:id="9"/>
      <w:r w:rsidRPr="00550029">
        <w:t>Required Skills and Knowledge</w:t>
      </w:r>
    </w:p>
    <w:tbl>
      <w:tblPr>
        <w:tblW w:w="0" w:type="auto"/>
        <w:tblLayout w:type="fixed"/>
        <w:tblCellMar>
          <w:left w:w="62" w:type="dxa"/>
          <w:right w:w="62" w:type="dxa"/>
        </w:tblCellMar>
        <w:tblLook w:val="0000"/>
      </w:tblPr>
      <w:tblGrid>
        <w:gridCol w:w="8522"/>
      </w:tblGrid>
      <w:tr w:rsidTr="006E4A2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REQUIRED SKILLS AND KNOWLEDGE</w:t>
            </w:r>
          </w:p>
        </w:tc>
      </w:tr>
      <w:tr w:rsidTr="006E4A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t>This section describes the skills and knowledge required for this unit.</w:t>
            </w:r>
          </w:p>
        </w:tc>
      </w:tr>
      <w:tr w:rsidTr="006E4A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Required skills</w:t>
            </w:r>
          </w:p>
        </w:tc>
      </w:tr>
      <w:tr w:rsidTr="006E4A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Required skills for this unit are:</w:t>
            </w:r>
          </w:p>
          <w:p w:rsidR="00000000" w:rsidRPr="00550029" w:rsidP="00550029">
            <w:pPr>
              <w:pStyle w:val="ListBullet"/>
            </w:pPr>
            <w:r w:rsidRPr="00550029">
              <w:t>communication skills to:</w:t>
            </w:r>
          </w:p>
          <w:p w:rsidR="00000000" w:rsidRPr="00550029" w:rsidP="00550029">
            <w:pPr>
              <w:pStyle w:val="ListBullet2"/>
            </w:pPr>
            <w:r w:rsidRPr="00550029">
              <w:t>determine requirements</w:t>
            </w:r>
          </w:p>
          <w:p w:rsidR="00000000" w:rsidRPr="00550029" w:rsidP="00550029">
            <w:pPr>
              <w:pStyle w:val="ListBullet2"/>
            </w:pPr>
            <w:r w:rsidRPr="00550029">
              <w:t>enable clear and direct communication, using questioning to identify and confirm requirements, share information, listen and understand</w:t>
            </w:r>
          </w:p>
          <w:p w:rsidR="00000000" w:rsidRPr="00550029" w:rsidP="00550029">
            <w:pPr>
              <w:pStyle w:val="ListBullet2"/>
            </w:pPr>
            <w:r w:rsidRPr="00550029">
              <w:t>follow instructions</w:t>
            </w:r>
          </w:p>
          <w:p w:rsidR="00000000" w:rsidRPr="00550029" w:rsidP="00550029">
            <w:pPr>
              <w:pStyle w:val="ListBullet2"/>
            </w:pPr>
            <w:r w:rsidRPr="00550029">
              <w:t>read and interpret:</w:t>
            </w:r>
          </w:p>
          <w:p w:rsidR="00000000" w:rsidRPr="00550029" w:rsidP="00550029">
            <w:pPr>
              <w:pStyle w:val="ListBullet3"/>
            </w:pPr>
            <w:r w:rsidRPr="00550029">
              <w:t>documentation from a variety of sources</w:t>
            </w:r>
          </w:p>
          <w:p w:rsidR="00000000" w:rsidRPr="00550029" w:rsidP="00550029">
            <w:pPr>
              <w:pStyle w:val="ListBullet3"/>
            </w:pPr>
            <w:r w:rsidRPr="00550029">
              <w:t>drawings and specifications</w:t>
            </w:r>
          </w:p>
          <w:p w:rsidR="00000000" w:rsidRPr="00550029" w:rsidP="00550029">
            <w:pPr>
              <w:pStyle w:val="ListBullet2"/>
            </w:pPr>
            <w:r w:rsidRPr="00550029">
              <w:t>report fa</w:t>
            </w:r>
            <w:r w:rsidRPr="00550029">
              <w:t>ults</w:t>
            </w:r>
          </w:p>
          <w:p w:rsidR="00000000" w:rsidRPr="00550029" w:rsidP="00550029">
            <w:pPr>
              <w:pStyle w:val="ListBullet2"/>
            </w:pPr>
            <w:r w:rsidRPr="00550029">
              <w:t>use language and concepts appropriate to cultural differences</w:t>
            </w:r>
          </w:p>
          <w:p w:rsidR="00000000" w:rsidRPr="00550029" w:rsidP="00550029">
            <w:pPr>
              <w:pStyle w:val="ListBullet2"/>
            </w:pPr>
            <w:r w:rsidRPr="00550029">
              <w:t>use and interpret non-verbal communication, such as hand signals</w:t>
            </w:r>
          </w:p>
          <w:p w:rsidR="00000000" w:rsidRPr="00550029" w:rsidP="00550029">
            <w:pPr>
              <w:pStyle w:val="ListBullet"/>
            </w:pPr>
            <w:r w:rsidRPr="00550029">
              <w:t>evaluating own actions and making judgments about performance and necessary improvements</w:t>
            </w:r>
          </w:p>
          <w:p w:rsidR="00000000" w:rsidRPr="00550029" w:rsidP="00550029">
            <w:pPr>
              <w:pStyle w:val="ListBullet"/>
            </w:pPr>
            <w:r w:rsidRPr="00550029">
              <w:t>identifying and accurately reporting to appropriate personnel any faults in tools, equipment or materials</w:t>
            </w:r>
          </w:p>
          <w:p w:rsidR="00000000" w:rsidRPr="00550029" w:rsidP="00550029">
            <w:pPr>
              <w:pStyle w:val="ListBullet"/>
            </w:pPr>
            <w:r w:rsidRPr="00550029">
              <w:t>organisational skills, including the ability to plan and set out work</w:t>
            </w:r>
          </w:p>
          <w:p w:rsidR="00000000" w:rsidRPr="00550029" w:rsidP="00550029">
            <w:pPr>
              <w:pStyle w:val="ListBullet"/>
            </w:pPr>
            <w:r w:rsidRPr="00550029">
              <w:t>recognising procedures, following instructions, responding to change and contrib</w:t>
            </w:r>
            <w:r w:rsidRPr="00550029">
              <w:t>uting to workplace responsibilities, such as current work site environmental and sustainability frameworks or management systems</w:t>
            </w:r>
          </w:p>
          <w:p w:rsidR="00000000" w:rsidRPr="00550029" w:rsidP="00550029">
            <w:pPr>
              <w:pStyle w:val="ListBullet"/>
            </w:pPr>
            <w:r w:rsidRPr="00550029">
              <w:t>teamwork skills to coordinate own work with others to action tasks and relate to people from a range of cultural and ethnic bac</w:t>
            </w:r>
            <w:r w:rsidRPr="00550029">
              <w:t>kgrounds and with varying physical and mental abilities</w:t>
            </w:r>
          </w:p>
          <w:p w:rsidR="00000000" w:rsidRPr="00550029" w:rsidP="00550029">
            <w:pPr>
              <w:pStyle w:val="ListBullet"/>
            </w:pPr>
            <w:r w:rsidRPr="00550029">
              <w:t>technological skills to:</w:t>
            </w:r>
          </w:p>
          <w:p w:rsidR="00000000" w:rsidRPr="00550029" w:rsidP="00550029">
            <w:pPr>
              <w:pStyle w:val="ListBullet2"/>
            </w:pPr>
            <w:r w:rsidRPr="00550029">
              <w:t>use a range of mobile technology, such as two-way radio and mobile phones</w:t>
            </w:r>
          </w:p>
          <w:p w:rsidR="00000000" w:rsidP="00550029">
            <w:pPr>
              <w:pStyle w:val="ListBullet2"/>
              <w:rPr>
                <w:lang w:val="en-NZ"/>
              </w:rPr>
            </w:pPr>
            <w:r w:rsidRPr="00550029">
              <w:t>voice and hand signals to access and understand site-specific instructions.</w:t>
            </w:r>
          </w:p>
        </w:tc>
      </w:tr>
      <w:tr w:rsidTr="006E4A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Required knowledge</w:t>
            </w:r>
          </w:p>
        </w:tc>
      </w:tr>
      <w:tr w:rsidTr="006E4A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Required knowledge for this unit is:</w:t>
            </w:r>
          </w:p>
          <w:p w:rsidR="00000000" w:rsidRPr="00550029" w:rsidP="00550029">
            <w:pPr>
              <w:pStyle w:val="ListBullet"/>
            </w:pPr>
            <w:r w:rsidRPr="00550029">
              <w:t>Australian Paint Approval Scheme (APAS) classifications</w:t>
            </w:r>
          </w:p>
          <w:p w:rsidR="00000000" w:rsidRPr="00550029" w:rsidP="00550029">
            <w:pPr>
              <w:pStyle w:val="ListBullet"/>
            </w:pPr>
            <w:r w:rsidRPr="00550029">
              <w:t>colour fleck materials and application techniques</w:t>
            </w:r>
          </w:p>
          <w:p w:rsidR="00000000" w:rsidRPr="00550029" w:rsidP="00550029">
            <w:pPr>
              <w:pStyle w:val="ListBullet"/>
            </w:pPr>
            <w:r w:rsidRPr="00550029">
              <w:t>compatibility of surface coatings to substrates</w:t>
            </w:r>
          </w:p>
          <w:p w:rsidR="00000000" w:rsidRPr="00550029" w:rsidP="00550029">
            <w:pPr>
              <w:pStyle w:val="ListBullet"/>
            </w:pPr>
            <w:r w:rsidRPr="00550029">
              <w:t>decorative painted finishes technology</w:t>
            </w:r>
          </w:p>
          <w:p w:rsidR="00000000" w:rsidRPr="00550029" w:rsidP="00550029">
            <w:pPr>
              <w:pStyle w:val="ListBullet"/>
            </w:pPr>
            <w:r w:rsidRPr="00550029">
              <w:t>job safety analysis (JSA)</w:t>
            </w:r>
            <w:r w:rsidRPr="00550029">
              <w:t xml:space="preserve"> and safe work method statements</w:t>
            </w:r>
          </w:p>
          <w:p w:rsidR="00000000" w:rsidRPr="00550029" w:rsidP="00550029">
            <w:pPr>
              <w:pStyle w:val="ListBullet"/>
            </w:pPr>
            <w:r w:rsidRPr="00550029">
              <w:t>material safety data sheets (MSDS)</w:t>
            </w:r>
          </w:p>
          <w:p w:rsidR="00000000" w:rsidRPr="00550029" w:rsidP="00550029">
            <w:pPr>
              <w:pStyle w:val="ListBullet"/>
            </w:pPr>
            <w:r w:rsidRPr="00550029">
              <w:t>materials storage and environmentally sustainable waste management, including correct disposal of water-based, latex-based and solvent-based paints</w:t>
            </w:r>
          </w:p>
          <w:p w:rsidR="00000000" w:rsidRPr="00550029" w:rsidP="00550029">
            <w:pPr>
              <w:pStyle w:val="ListBullet"/>
            </w:pPr>
            <w:r w:rsidRPr="00550029">
              <w:t>painting and decorating terminology</w:t>
            </w:r>
          </w:p>
          <w:p w:rsidR="00000000" w:rsidRPr="00550029" w:rsidP="00550029">
            <w:pPr>
              <w:pStyle w:val="ListBullet"/>
            </w:pPr>
            <w:r w:rsidRPr="00550029">
              <w:t>plan</w:t>
            </w:r>
            <w:r w:rsidRPr="00550029">
              <w:t>s, drawings and specifications</w:t>
            </w:r>
          </w:p>
          <w:p w:rsidR="00000000" w:rsidRPr="00550029" w:rsidP="00550029">
            <w:pPr>
              <w:pStyle w:val="ListBullet"/>
            </w:pPr>
            <w:r w:rsidRPr="00550029">
              <w:t>processes for the calculation of material requirements</w:t>
            </w:r>
          </w:p>
          <w:p w:rsidR="00000000" w:rsidRPr="00550029" w:rsidP="00550029">
            <w:pPr>
              <w:pStyle w:val="ListBullet"/>
            </w:pPr>
            <w:r w:rsidRPr="00550029">
              <w:t>quality requirements</w:t>
            </w:r>
          </w:p>
          <w:p w:rsidR="00000000" w:rsidRPr="00550029" w:rsidP="00550029">
            <w:pPr>
              <w:pStyle w:val="ListBullet"/>
            </w:pPr>
            <w:r w:rsidRPr="00550029">
              <w:t>solid waste and paint sludge disposal techniques and relevant legislation, including Environmental Protection Authority (EPA) and local Council regul</w:t>
            </w:r>
            <w:r w:rsidRPr="00550029">
              <w:t>ations</w:t>
            </w:r>
          </w:p>
          <w:p w:rsidR="00000000" w:rsidRPr="00550029" w:rsidP="00550029">
            <w:pPr>
              <w:pStyle w:val="ListBullet"/>
            </w:pPr>
            <w:r w:rsidRPr="00550029">
              <w:t>types of paints, including the characteristics and uses of paint materials with various volatile organic compound (VOCs) levels and alternative and natural paints</w:t>
            </w:r>
          </w:p>
          <w:p w:rsidR="00000000" w:rsidRPr="00550029" w:rsidP="00550029">
            <w:pPr>
              <w:pStyle w:val="ListBullet"/>
            </w:pPr>
            <w:r w:rsidRPr="00550029">
              <w:t>workplace and equipment safety requirements.</w:t>
            </w:r>
          </w:p>
        </w:tc>
      </w:tr>
    </w:tbl>
    <w:p w:rsidR="006E4A2B" w:rsidP="00550029">
      <w:pPr>
        <w:pStyle w:val="BodyText"/>
      </w:pPr>
    </w:p>
    <w:p w:rsidR="006E4A2B" w:rsidP="00550029">
      <w:pPr>
        <w:pStyle w:val="BodyText"/>
      </w:pPr>
    </w:p>
    <w:p w:rsidR="00000000" w:rsidRPr="00550029" w:rsidP="00550029">
      <w:pPr>
        <w:pStyle w:val="AllowPageBreak"/>
      </w:pPr>
    </w:p>
    <w:p w:rsidR="00000000" w:rsidRPr="00550029" w:rsidP="00550029">
      <w:pPr>
        <w:pStyle w:val="Heading1"/>
      </w:pPr>
      <w:bookmarkStart w:id="10" w:name="O_242335"/>
      <w:bookmarkEnd w:id="10"/>
      <w:r w:rsidRPr="00550029">
        <w:t>Evidence Guide</w:t>
      </w:r>
    </w:p>
    <w:tbl>
      <w:tblPr>
        <w:tblW w:w="0" w:type="auto"/>
        <w:tblLayout w:type="fixed"/>
        <w:tblCellMar>
          <w:left w:w="62" w:type="dxa"/>
          <w:right w:w="62" w:type="dxa"/>
        </w:tblCellMar>
        <w:tblLook w:val="0000"/>
      </w:tblPr>
      <w:tblGrid>
        <w:gridCol w:w="3508"/>
        <w:gridCol w:w="5014"/>
      </w:tblGrid>
      <w:tr w:rsidTr="006E4A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50029">
            <w:pPr>
              <w:pStyle w:val="BodyText"/>
              <w:rPr>
                <w:lang w:val="en-NZ"/>
              </w:rPr>
            </w:pPr>
            <w:r w:rsidRPr="00550029">
              <w:rPr>
                <w:rStyle w:val="SpecialBold"/>
              </w:rPr>
              <w:t>EVIDENCE GUIDE</w:t>
            </w:r>
          </w:p>
        </w:tc>
      </w:tr>
      <w:tr w:rsidTr="006E4A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50029">
            <w:pPr>
              <w:pStyle w:val="BodyText"/>
              <w:rPr>
                <w:lang w:val="en-NZ"/>
              </w:rPr>
            </w:pPr>
            <w:r w:rsidRPr="00550029">
              <w:t>The evidence guide provides advice on assessment and must be read in conjunction with the performance criteria, required skills and knowledge, range statement and the Assessment Guidelines for the Training Package.</w:t>
            </w:r>
          </w:p>
        </w:tc>
      </w:tr>
      <w:tr w:rsidTr="006E4A2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t>This unit of competency could be assessed in the workplace or a close simulation of the workplace environment, provided that simulated or project-based assessment techniques fully replicate construction workplace conditions, material</w:t>
            </w:r>
            <w:r w:rsidRPr="00550029">
              <w:t xml:space="preserve">s, activities, responsibilities and procedures. </w:t>
            </w:r>
          </w:p>
        </w:tc>
      </w:tr>
      <w:tr w:rsidTr="006E4A2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A person who demonstrates competency in this unit must be able to provide evidence of the ability to:</w:t>
            </w:r>
          </w:p>
          <w:p w:rsidR="00000000" w:rsidRPr="00550029" w:rsidP="00550029">
            <w:pPr>
              <w:pStyle w:val="ListBullet"/>
            </w:pPr>
            <w:r w:rsidRPr="00550029">
              <w:t>locate, in</w:t>
            </w:r>
            <w:r w:rsidRPr="00550029">
              <w:t>terpret and apply relevant information, standards and specifications</w:t>
            </w:r>
          </w:p>
          <w:p w:rsidR="00000000" w:rsidRPr="00550029" w:rsidP="00550029">
            <w:pPr>
              <w:pStyle w:val="ListBullet"/>
            </w:pPr>
            <w:r w:rsidRPr="00550029">
              <w:t>comply with site safety plan and OHS legislation, regulations and codes of practice applicable to workplace operations</w:t>
            </w:r>
          </w:p>
          <w:p w:rsidR="00000000" w:rsidRPr="00550029" w:rsidP="00550029">
            <w:pPr>
              <w:pStyle w:val="ListBullet"/>
            </w:pPr>
            <w:r w:rsidRPr="00550029">
              <w:t>comply with organisational policies and procedures including quality</w:t>
            </w:r>
            <w:r w:rsidRPr="00550029">
              <w:t xml:space="preserve"> requirements</w:t>
            </w:r>
          </w:p>
          <w:p w:rsidR="00000000" w:rsidRPr="00550029" w:rsidP="00550029">
            <w:pPr>
              <w:pStyle w:val="ListBullet"/>
            </w:pPr>
            <w:r w:rsidRPr="00550029">
              <w:t>safely and effectively operate and use tools, plant and equipment</w:t>
            </w:r>
          </w:p>
          <w:p w:rsidR="00000000" w:rsidRPr="00550029" w:rsidP="00550029">
            <w:pPr>
              <w:pStyle w:val="ListBullet"/>
            </w:pPr>
            <w:r w:rsidRPr="00550029">
              <w:t>communicate and work effectively and safely with others</w:t>
            </w:r>
          </w:p>
          <w:p w:rsidR="00000000" w:rsidRPr="00550029" w:rsidP="00550029">
            <w:pPr>
              <w:pStyle w:val="ListBullet"/>
            </w:pPr>
            <w:r w:rsidRPr="00550029">
              <w:t>complete to specification, the following decorative finishes:</w:t>
            </w:r>
          </w:p>
          <w:p w:rsidR="00000000" w:rsidRPr="00550029" w:rsidP="00550029">
            <w:pPr>
              <w:pStyle w:val="ListBullet2"/>
            </w:pPr>
            <w:r w:rsidRPr="00550029">
              <w:t>a mirror finish to a minimum of a door or standard panel</w:t>
            </w:r>
          </w:p>
          <w:p w:rsidR="00000000" w:rsidRPr="00550029" w:rsidP="00550029">
            <w:pPr>
              <w:pStyle w:val="ListBullet2"/>
            </w:pPr>
            <w:r w:rsidRPr="00550029">
              <w:t>a minimum of two broken colour effects on walls or standard panel size surfaces</w:t>
            </w:r>
          </w:p>
          <w:p w:rsidR="00000000" w:rsidRPr="00550029" w:rsidP="00550029">
            <w:pPr>
              <w:pStyle w:val="ListBullet2"/>
            </w:pPr>
            <w:r w:rsidRPr="00550029">
              <w:t>use of lining within a decorative finish</w:t>
            </w:r>
          </w:p>
          <w:p w:rsidR="00000000" w:rsidRPr="00550029" w:rsidP="00550029">
            <w:pPr>
              <w:pStyle w:val="ListBullet2"/>
            </w:pPr>
            <w:r w:rsidRPr="00550029">
              <w:t>a minimum of two (one traditional and one modern) special effects including imitation marbling, imitation wood graining and basic gildi</w:t>
            </w:r>
            <w:r w:rsidRPr="00550029">
              <w:t>ng</w:t>
            </w:r>
          </w:p>
          <w:p w:rsidR="00000000" w:rsidRPr="00550029" w:rsidP="00550029">
            <w:pPr>
              <w:pStyle w:val="ListBullet"/>
            </w:pPr>
            <w:r w:rsidRPr="00550029">
              <w:t>dispose of all paint types in an environmentally sustainable way compliant with relevant local legislation and regulations</w:t>
            </w:r>
          </w:p>
          <w:p w:rsidR="00000000" w:rsidP="00550029">
            <w:pPr>
              <w:pStyle w:val="ListBullet"/>
              <w:rPr>
                <w:lang w:val="en-NZ"/>
              </w:rPr>
            </w:pPr>
            <w:r w:rsidRPr="00550029">
              <w:t>clean and store painting equipment using environmentally sustainable methods and work practices including waste reticulation syst</w:t>
            </w:r>
            <w:r w:rsidRPr="00550029">
              <w:t>ems.</w:t>
            </w:r>
          </w:p>
        </w:tc>
      </w:tr>
      <w:tr w:rsidTr="006E4A2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This competency is to be assessed using standard and authorised work practices, safety requirements and environmental constraints.</w:t>
            </w:r>
          </w:p>
          <w:p w:rsidR="00000000" w:rsidRPr="00550029" w:rsidP="00550029">
            <w:pPr>
              <w:pStyle w:val="BodyText"/>
            </w:pPr>
            <w:r w:rsidRPr="00550029">
              <w:t>Assessment of essential underpinning knowledge will usually be conducted in an off-site context.</w:t>
            </w:r>
          </w:p>
          <w:p w:rsidR="00000000" w:rsidRPr="00550029" w:rsidP="00550029">
            <w:pPr>
              <w:pStyle w:val="BodyText"/>
            </w:pPr>
            <w:r w:rsidRPr="00550029">
              <w:t>Assessment is to comply with relevant regulatory or Australian standards' requirements.</w:t>
            </w:r>
          </w:p>
          <w:p w:rsidR="00000000" w:rsidRPr="00550029" w:rsidP="00550029">
            <w:pPr>
              <w:pStyle w:val="BodyText"/>
            </w:pPr>
            <w:r w:rsidRPr="00550029">
              <w:t>Resource implications for assessment include:</w:t>
            </w:r>
          </w:p>
          <w:p w:rsidR="00000000" w:rsidRPr="00550029" w:rsidP="00550029">
            <w:pPr>
              <w:pStyle w:val="ListBullet"/>
            </w:pPr>
            <w:r w:rsidRPr="00550029">
              <w:t>an induction procedure a</w:t>
            </w:r>
            <w:r w:rsidRPr="00550029">
              <w:t>nd requirement</w:t>
            </w:r>
          </w:p>
          <w:p w:rsidR="00000000" w:rsidRPr="00550029" w:rsidP="00550029">
            <w:pPr>
              <w:pStyle w:val="ListBullet"/>
            </w:pPr>
            <w:r w:rsidRPr="00550029">
              <w:t>realistic tasks or simulated tasks covering the mandatory task requirements</w:t>
            </w:r>
          </w:p>
          <w:p w:rsidR="00000000" w:rsidRPr="00550029" w:rsidP="00550029">
            <w:pPr>
              <w:pStyle w:val="ListBullet"/>
            </w:pPr>
            <w:r w:rsidRPr="00550029">
              <w:t>relevant specifications and work instructions</w:t>
            </w:r>
          </w:p>
          <w:p w:rsidR="00000000" w:rsidRPr="00550029" w:rsidP="00550029">
            <w:pPr>
              <w:pStyle w:val="ListBullet"/>
            </w:pPr>
            <w:r w:rsidRPr="00550029">
              <w:t>tools and equipment appropriate to applying safe work practices</w:t>
            </w:r>
          </w:p>
          <w:p w:rsidR="00000000" w:rsidRPr="00550029" w:rsidP="00550029">
            <w:pPr>
              <w:pStyle w:val="ListBullet"/>
            </w:pPr>
            <w:r w:rsidRPr="00550029">
              <w:t>support materials appropriate to activity</w:t>
            </w:r>
          </w:p>
          <w:p w:rsidR="00000000" w:rsidRPr="00550029" w:rsidP="00550029">
            <w:pPr>
              <w:pStyle w:val="ListBullet"/>
            </w:pPr>
            <w:r w:rsidRPr="00550029">
              <w:t>workplace ins</w:t>
            </w:r>
            <w:r w:rsidRPr="00550029">
              <w:t>tructions relating to safe work practices and addressing hazards and emergencies</w:t>
            </w:r>
          </w:p>
          <w:p w:rsidR="00000000" w:rsidRPr="00550029" w:rsidP="00550029">
            <w:pPr>
              <w:pStyle w:val="ListBullet"/>
            </w:pPr>
            <w:r w:rsidRPr="00550029">
              <w:t>material safety data sheets</w:t>
            </w:r>
          </w:p>
          <w:p w:rsidR="00000000" w:rsidRPr="00550029" w:rsidP="00550029">
            <w:pPr>
              <w:pStyle w:val="ListBullet"/>
            </w:pPr>
            <w:r w:rsidRPr="00550029">
              <w:t>research resources, including industry related systems information.</w:t>
            </w:r>
          </w:p>
          <w:p w:rsidR="00000000" w:rsidP="00550029">
            <w:pPr>
              <w:pStyle w:val="BodyText"/>
              <w:rPr>
                <w:lang w:val="en-NZ"/>
              </w:rPr>
            </w:pPr>
            <w:r w:rsidRPr="00550029">
              <w:t xml:space="preserve">Reasonable adjustments for people with disabilities must be made to assessment </w:t>
            </w:r>
            <w:r w:rsidRPr="00550029">
              <w:t xml:space="preserve">processes where required. This could include access to modified equipment and other physical resources, and the provision of appropriate assessment support. </w:t>
            </w:r>
          </w:p>
        </w:tc>
      </w:tr>
      <w:tr w:rsidTr="006E4A2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Assessment methods must:</w:t>
            </w:r>
          </w:p>
          <w:p w:rsidR="00000000" w:rsidRPr="00550029" w:rsidP="00550029">
            <w:pPr>
              <w:pStyle w:val="ListBullet"/>
            </w:pPr>
            <w:r w:rsidRPr="00550029">
              <w:t>satisfy the endorsed Assessment Guidelines of the Construction, Plumbing and Services Training Package</w:t>
            </w:r>
          </w:p>
          <w:p w:rsidR="00000000" w:rsidRPr="00550029" w:rsidP="00550029">
            <w:pPr>
              <w:pStyle w:val="ListBullet"/>
            </w:pPr>
            <w:r w:rsidRPr="00550029">
              <w:t xml:space="preserve">include direct observation of tasks in real or simulated work conditions, with questioning to confirm the ability to consistently identify and correctly </w:t>
            </w:r>
            <w:r w:rsidRPr="00550029">
              <w:t>interpret the essential underpinning knowledge required for practical application</w:t>
            </w:r>
          </w:p>
          <w:p w:rsidR="00000000" w:rsidRPr="00550029" w:rsidP="00550029">
            <w:pPr>
              <w:pStyle w:val="ListBullet"/>
            </w:pPr>
            <w:r w:rsidRPr="00550029">
              <w:t>reinforce the integration of employability skills with workplace tasks and job roles</w:t>
            </w:r>
          </w:p>
          <w:p w:rsidR="00000000" w:rsidRPr="00550029" w:rsidP="00550029">
            <w:pPr>
              <w:pStyle w:val="ListBullet"/>
            </w:pPr>
            <w:r w:rsidRPr="00550029">
              <w:t>confirm that competency is verified and able to be transferred to other circumstances and</w:t>
            </w:r>
            <w:r w:rsidRPr="00550029">
              <w:t xml:space="preserve"> environments.</w:t>
            </w:r>
          </w:p>
          <w:p w:rsidR="00000000" w:rsidRPr="00550029" w:rsidP="00550029">
            <w:pPr>
              <w:pStyle w:val="BodyText"/>
            </w:pPr>
            <w:r w:rsidRPr="00550029">
              <w:t>Validity and sufficiency of evidence requires that:</w:t>
            </w:r>
          </w:p>
          <w:p w:rsidR="00000000" w:rsidRPr="00550029" w:rsidP="00550029">
            <w:pPr>
              <w:pStyle w:val="ListBullet"/>
            </w:pPr>
            <w:r w:rsidRPr="00550029">
              <w:t>competency will need to be demonstrated over a period of time reflecting the scope of the role and the practical requirements of the workplace</w:t>
            </w:r>
          </w:p>
          <w:p w:rsidR="00000000" w:rsidRPr="00550029" w:rsidP="00550029">
            <w:pPr>
              <w:pStyle w:val="ListBullet"/>
            </w:pPr>
            <w:r w:rsidRPr="00550029">
              <w:t xml:space="preserve">where the assessment is part of a structured </w:t>
            </w:r>
            <w:r w:rsidRPr="00550029">
              <w:t>learning experience the evidence collected must relate to a number of performances assessed at different points in time and separated by further learning and practice, with a decision on competency only taken at the point when the assessor has complete con</w:t>
            </w:r>
            <w:r w:rsidRPr="00550029">
              <w:t>fidence in the person's demonstrated ability and applied knowledge</w:t>
            </w:r>
          </w:p>
          <w:p w:rsidR="00000000" w:rsidRPr="00550029" w:rsidP="00550029">
            <w:pPr>
              <w:pStyle w:val="ListBullet"/>
            </w:pPr>
            <w:r w:rsidRPr="00550029">
              <w:t>all assessment that is part of a structured learning experience must include a combination of direct, indirect and supplementary evidence.</w:t>
            </w:r>
          </w:p>
          <w:p w:rsidR="00000000" w:rsidRPr="00550029" w:rsidP="00550029">
            <w:pPr>
              <w:pStyle w:val="BodyText"/>
            </w:pPr>
            <w:r w:rsidRPr="00550029">
              <w:t xml:space="preserve">Assessment processes and techniques should as far </w:t>
            </w:r>
            <w:r w:rsidRPr="00550029">
              <w:t>as is practical take into account the language, literacy and numeracy capacity of the candidate in relation to the competency being assessed.</w:t>
            </w:r>
          </w:p>
          <w:p w:rsidR="00000000" w:rsidRPr="00550029" w:rsidP="00550029">
            <w:pPr>
              <w:pStyle w:val="BodyText"/>
            </w:pPr>
            <w:r w:rsidRPr="00550029">
              <w:t>Supplementary evidence of competency may be obtained from relevant authenticated documentation from third parties,</w:t>
            </w:r>
            <w:r w:rsidRPr="00550029">
              <w:t xml:space="preserve"> such as existing supervisors, team leaders or specialist training staff. </w:t>
            </w:r>
          </w:p>
        </w:tc>
      </w:tr>
    </w:tbl>
    <w:p w:rsidR="006E4A2B" w:rsidP="00550029">
      <w:pPr>
        <w:pStyle w:val="BodyText"/>
      </w:pPr>
    </w:p>
    <w:p w:rsidR="006E4A2B" w:rsidP="00550029">
      <w:pPr>
        <w:pStyle w:val="BodyText"/>
      </w:pPr>
    </w:p>
    <w:p w:rsidR="00000000" w:rsidRPr="00550029" w:rsidP="00550029">
      <w:pPr>
        <w:pStyle w:val="Heading1"/>
      </w:pPr>
      <w:bookmarkStart w:id="11" w:name="O_250318"/>
      <w:bookmarkEnd w:id="11"/>
      <w:r w:rsidRPr="00550029">
        <w:t>Range Statement</w:t>
      </w:r>
    </w:p>
    <w:tbl>
      <w:tblPr>
        <w:tblW w:w="0" w:type="auto"/>
        <w:tblLayout w:type="fixed"/>
        <w:tblCellMar>
          <w:left w:w="62" w:type="dxa"/>
          <w:right w:w="62" w:type="dxa"/>
        </w:tblCellMar>
        <w:tblLook w:val="0000"/>
      </w:tblPr>
      <w:tblGrid>
        <w:gridCol w:w="3428"/>
        <w:gridCol w:w="5094"/>
      </w:tblGrid>
      <w:tr w:rsidTr="006E4A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50029">
            <w:pPr>
              <w:pStyle w:val="BodyText"/>
              <w:rPr>
                <w:lang w:val="en-NZ"/>
              </w:rPr>
            </w:pPr>
            <w:r w:rsidRPr="00550029">
              <w:rPr>
                <w:rStyle w:val="SpecialBold"/>
              </w:rPr>
              <w:t>RANGE STATEMENT</w:t>
            </w:r>
          </w:p>
        </w:tc>
      </w:tr>
      <w:tr w:rsidTr="006E4A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50029">
            <w:pPr>
              <w:pStyle w:val="BodyText"/>
              <w:rPr>
                <w:lang w:val="en-NZ"/>
              </w:rPr>
            </w:pPr>
            <w:r w:rsidRPr="00550029">
              <w:t>The range statement relates to the unit of competency as a whole. It allows for differe</w:t>
            </w:r>
            <w:r w:rsidRPr="00550029">
              <w:t>nt work environments and situations that may affect performance. Bold italicised wording, if used in the performance criteria, is detailed below. Essential operating conditions that may be present with training and assessment (depending on the work situati</w:t>
            </w:r>
            <w:r w:rsidRPr="00550029">
              <w:t>on, needs of the candidate, accessibility of the item, and local industry and regional contexts) may also be included.</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Information</w:t>
            </w:r>
            <w:r w:rsidRPr="00550029">
              <w:t xml:space="preserve"> includes: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diagrams or sketches</w:t>
            </w:r>
          </w:p>
          <w:p w:rsidR="00000000" w:rsidRPr="00550029" w:rsidP="00550029">
            <w:pPr>
              <w:pStyle w:val="ListBullet"/>
            </w:pPr>
            <w:r w:rsidRPr="00550029">
              <w:t>instructions issued by authorised organisational or external personnel</w:t>
            </w:r>
          </w:p>
          <w:p w:rsidR="00000000" w:rsidRPr="00550029" w:rsidP="00550029">
            <w:pPr>
              <w:pStyle w:val="ListBullet"/>
            </w:pPr>
            <w:r w:rsidRPr="00550029">
              <w:t>manufacturer specifications and instructions, where specified</w:t>
            </w:r>
          </w:p>
          <w:p w:rsidR="00000000" w:rsidRPr="00550029" w:rsidP="00550029">
            <w:pPr>
              <w:pStyle w:val="ListBullet"/>
            </w:pPr>
            <w:r w:rsidRPr="00550029">
              <w:t>MSDS</w:t>
            </w:r>
          </w:p>
          <w:p w:rsidR="00000000" w:rsidRPr="00550029" w:rsidP="00550029">
            <w:pPr>
              <w:pStyle w:val="ListBullet"/>
            </w:pPr>
            <w:r w:rsidRPr="00550029">
              <w:t>memos</w:t>
            </w:r>
          </w:p>
          <w:p w:rsidR="00000000" w:rsidRPr="00550029" w:rsidP="00550029">
            <w:pPr>
              <w:pStyle w:val="ListBullet"/>
            </w:pPr>
            <w:r w:rsidRPr="00550029">
              <w:t>regulatory and legislative requirements pertaining to the application of decorative paint finishes</w:t>
            </w:r>
          </w:p>
          <w:p w:rsidR="00000000" w:rsidRPr="00550029" w:rsidP="00550029">
            <w:pPr>
              <w:pStyle w:val="ListBullet"/>
            </w:pPr>
            <w:r w:rsidRPr="00550029">
              <w:t>relevant Australian standards</w:t>
            </w:r>
          </w:p>
          <w:p w:rsidR="00000000" w:rsidRPr="00550029" w:rsidP="00550029">
            <w:pPr>
              <w:pStyle w:val="ListBullet"/>
            </w:pPr>
            <w:r w:rsidRPr="00550029">
              <w:t>safe work procedures relating to the application of de</w:t>
            </w:r>
            <w:r w:rsidRPr="00550029">
              <w:t>corative paint finishes</w:t>
            </w:r>
          </w:p>
          <w:p w:rsidR="00000000" w:rsidRPr="00550029" w:rsidP="00550029">
            <w:pPr>
              <w:pStyle w:val="ListBullet"/>
            </w:pPr>
            <w:r w:rsidRPr="00550029">
              <w:t>signage</w:t>
            </w:r>
          </w:p>
          <w:p w:rsidR="00000000" w:rsidRPr="00550029" w:rsidP="00550029">
            <w:pPr>
              <w:pStyle w:val="ListBullet"/>
            </w:pPr>
            <w:r w:rsidRPr="00550029">
              <w:t>verbal, written and graphical instructions</w:t>
            </w:r>
          </w:p>
          <w:p w:rsidR="00000000" w:rsidRPr="00550029" w:rsidP="00550029">
            <w:pPr>
              <w:pStyle w:val="ListBullet"/>
            </w:pPr>
            <w:r w:rsidRPr="00550029">
              <w:t>work bulletins</w:t>
            </w:r>
          </w:p>
          <w:p w:rsidR="00000000" w:rsidP="00550029">
            <w:pPr>
              <w:pStyle w:val="ListBullet"/>
              <w:rPr>
                <w:lang w:val="en-NZ"/>
              </w:rPr>
            </w:pPr>
            <w:r w:rsidRPr="00550029">
              <w:t>work schedules, plans and specifications.</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Planning and preparation</w:t>
            </w:r>
            <w:r w:rsidRPr="00550029">
              <w:t xml:space="preserve"> include: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assessment of conditions and hazards</w:t>
            </w:r>
          </w:p>
          <w:p w:rsidR="00000000" w:rsidRPr="00550029" w:rsidP="00550029">
            <w:pPr>
              <w:pStyle w:val="ListBullet"/>
            </w:pPr>
            <w:r w:rsidRPr="00550029">
              <w:t>determination of work re</w:t>
            </w:r>
            <w:r w:rsidRPr="00550029">
              <w:t>quirements and safety plans and policies</w:t>
            </w:r>
          </w:p>
          <w:p w:rsidR="00000000" w:rsidRPr="00550029" w:rsidP="00550029">
            <w:pPr>
              <w:pStyle w:val="ListBullet"/>
            </w:pPr>
            <w:r w:rsidRPr="00550029">
              <w:t>equipment defect identification</w:t>
            </w:r>
          </w:p>
          <w:p w:rsidR="00000000" w:rsidP="00550029">
            <w:pPr>
              <w:pStyle w:val="ListBullet"/>
              <w:rPr>
                <w:lang w:val="en-NZ"/>
              </w:rPr>
            </w:pPr>
            <w:r w:rsidRPr="00550029">
              <w:t>work site inspection.</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Safety</w:t>
            </w:r>
            <w:r w:rsidRPr="00550029">
              <w:t xml:space="preserve"> (</w:t>
            </w:r>
            <w:r w:rsidRPr="00550029">
              <w:rPr>
                <w:rStyle w:val="BoldandItalics"/>
              </w:rPr>
              <w:t>OHS</w:t>
            </w:r>
            <w:r w:rsidRPr="00550029">
              <w:t xml:space="preserve">) is to be in accordance with state and territory legislation and regulations and project safety plan and may include: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emergency procedures, includ</w:t>
            </w:r>
            <w:r w:rsidRPr="00550029">
              <w:t>ing extinguishing fires, organisational first aid requirements and evacuation</w:t>
            </w:r>
          </w:p>
          <w:p w:rsidR="00000000" w:rsidRPr="00550029" w:rsidP="00550029">
            <w:pPr>
              <w:pStyle w:val="ListBullet"/>
            </w:pPr>
            <w:r w:rsidRPr="00550029">
              <w:t>handling activities that may require the assistance of others or the use of manual or mechanical lifting devices where size, weight or other issues, such as a disability are a fa</w:t>
            </w:r>
            <w:r w:rsidRPr="00550029">
              <w:t>ctor</w:t>
            </w:r>
          </w:p>
          <w:p w:rsidR="00000000" w:rsidRPr="00550029" w:rsidP="00550029">
            <w:pPr>
              <w:pStyle w:val="ListBullet"/>
            </w:pPr>
            <w:r w:rsidRPr="00550029">
              <w:t>hazard control</w:t>
            </w:r>
          </w:p>
          <w:p w:rsidR="00000000" w:rsidRPr="00550029" w:rsidP="00550029">
            <w:pPr>
              <w:pStyle w:val="ListBullet"/>
            </w:pPr>
            <w:r w:rsidRPr="00550029">
              <w:t>hazardous materials and substances</w:t>
            </w:r>
          </w:p>
          <w:p w:rsidR="00000000" w:rsidRPr="00550029" w:rsidP="00550029">
            <w:pPr>
              <w:pStyle w:val="ListBullet"/>
            </w:pPr>
            <w:r w:rsidRPr="00550029">
              <w:t>organisational first aid</w:t>
            </w:r>
          </w:p>
          <w:p w:rsidR="00000000" w:rsidRPr="00550029" w:rsidP="00550029">
            <w:pPr>
              <w:pStyle w:val="ListBullet"/>
            </w:pPr>
            <w:r w:rsidRPr="00550029">
              <w:t>PPE prescribed under legislation, regulations and workplace policies and practices</w:t>
            </w:r>
          </w:p>
          <w:p w:rsidR="00000000" w:rsidRPr="00550029" w:rsidP="00550029">
            <w:pPr>
              <w:pStyle w:val="ListBullet"/>
            </w:pPr>
            <w:r w:rsidRPr="00550029">
              <w:t>safe operating procedures, including the conduct of operational risk assessment and treatment</w:t>
            </w:r>
            <w:r w:rsidRPr="00550029">
              <w:t>s associated with:</w:t>
            </w:r>
          </w:p>
          <w:p w:rsidR="00000000" w:rsidRPr="00550029" w:rsidP="00550029">
            <w:pPr>
              <w:pStyle w:val="ListBullet2"/>
            </w:pPr>
            <w:r w:rsidRPr="00550029">
              <w:t>earth leakage boxes</w:t>
            </w:r>
          </w:p>
          <w:p w:rsidR="00000000" w:rsidRPr="00550029" w:rsidP="00550029">
            <w:pPr>
              <w:pStyle w:val="ListBullet2"/>
            </w:pPr>
            <w:r w:rsidRPr="00550029">
              <w:t>electrical and fire and/or explosion from combustible materials</w:t>
            </w:r>
          </w:p>
          <w:p w:rsidR="00000000" w:rsidRPr="00550029" w:rsidP="00550029">
            <w:pPr>
              <w:pStyle w:val="ListBullet2"/>
            </w:pPr>
            <w:r w:rsidRPr="00550029">
              <w:t>falling objects</w:t>
            </w:r>
          </w:p>
          <w:p w:rsidR="00000000" w:rsidRPr="00550029" w:rsidP="00550029">
            <w:pPr>
              <w:pStyle w:val="ListBullet2"/>
            </w:pPr>
            <w:r w:rsidRPr="00550029">
              <w:t>lighting</w:t>
            </w:r>
          </w:p>
          <w:p w:rsidR="00000000" w:rsidRPr="00550029" w:rsidP="00550029">
            <w:pPr>
              <w:pStyle w:val="ListBullet2"/>
            </w:pPr>
            <w:r w:rsidRPr="00550029">
              <w:t>manual handling</w:t>
            </w:r>
          </w:p>
          <w:p w:rsidR="00000000" w:rsidRPr="00550029" w:rsidP="00550029">
            <w:pPr>
              <w:pStyle w:val="ListBullet2"/>
            </w:pPr>
            <w:r w:rsidRPr="00550029">
              <w:t>power cables, including overhead service trays, cables and conduits</w:t>
            </w:r>
          </w:p>
          <w:p w:rsidR="00000000" w:rsidRPr="00550029" w:rsidP="00550029">
            <w:pPr>
              <w:pStyle w:val="ListBullet2"/>
            </w:pPr>
            <w:r w:rsidRPr="00550029">
              <w:t>restricted access barriers</w:t>
            </w:r>
          </w:p>
          <w:p w:rsidR="00000000" w:rsidRPr="00550029" w:rsidP="00550029">
            <w:pPr>
              <w:pStyle w:val="ListBullet2"/>
            </w:pPr>
            <w:r w:rsidRPr="00550029">
              <w:t>solvents, lead, chemicals, fumes/gases</w:t>
            </w:r>
          </w:p>
          <w:p w:rsidR="00000000" w:rsidRPr="00550029" w:rsidP="00550029">
            <w:pPr>
              <w:pStyle w:val="ListBullet2"/>
            </w:pPr>
            <w:r w:rsidRPr="00550029">
              <w:t>surrounding structures</w:t>
            </w:r>
          </w:p>
          <w:p w:rsidR="00000000" w:rsidRPr="00550029" w:rsidP="00550029">
            <w:pPr>
              <w:pStyle w:val="ListBullet2"/>
            </w:pPr>
            <w:r w:rsidRPr="00550029">
              <w:t>traffic control</w:t>
            </w:r>
          </w:p>
          <w:p w:rsidR="00000000" w:rsidRPr="00550029" w:rsidP="00550029">
            <w:pPr>
              <w:pStyle w:val="ListBullet2"/>
            </w:pPr>
            <w:r w:rsidRPr="00550029">
              <w:t>trip hazards</w:t>
            </w:r>
          </w:p>
          <w:p w:rsidR="00000000" w:rsidRPr="00550029" w:rsidP="00550029">
            <w:pPr>
              <w:pStyle w:val="ListBullet2"/>
            </w:pPr>
            <w:r w:rsidRPr="00550029">
              <w:t>work access platforms</w:t>
            </w:r>
          </w:p>
          <w:p w:rsidR="00000000" w:rsidRPr="00550029" w:rsidP="00550029">
            <w:pPr>
              <w:pStyle w:val="ListBullet2"/>
            </w:pPr>
            <w:r w:rsidRPr="00550029">
              <w:t>work site visitors and the public</w:t>
            </w:r>
          </w:p>
          <w:p w:rsidR="00000000" w:rsidRPr="00550029" w:rsidP="00550029">
            <w:pPr>
              <w:pStyle w:val="ListBullet2"/>
            </w:pPr>
            <w:r w:rsidRPr="00550029">
              <w:t>working at heights</w:t>
            </w:r>
          </w:p>
          <w:p w:rsidR="00000000" w:rsidRPr="00550029" w:rsidP="00550029">
            <w:pPr>
              <w:pStyle w:val="ListBullet2"/>
            </w:pPr>
            <w:r w:rsidRPr="00550029">
              <w:t>working in confined spaces</w:t>
            </w:r>
          </w:p>
          <w:p w:rsidR="00000000" w:rsidRPr="00550029" w:rsidP="00550029">
            <w:pPr>
              <w:pStyle w:val="ListBullet2"/>
            </w:pPr>
            <w:r w:rsidRPr="00550029">
              <w:t>working in proximity to others, work site visitors and the publ</w:t>
            </w:r>
            <w:r w:rsidRPr="00550029">
              <w:t>ic</w:t>
            </w:r>
          </w:p>
          <w:p w:rsidR="00000000" w:rsidRPr="00550029" w:rsidP="00550029">
            <w:pPr>
              <w:pStyle w:val="ListBullet"/>
            </w:pPr>
            <w:r w:rsidRPr="00550029">
              <w:t>use of firefighting equipment</w:t>
            </w:r>
          </w:p>
          <w:p w:rsidR="00000000" w:rsidRPr="00550029" w:rsidP="00550029">
            <w:pPr>
              <w:pStyle w:val="ListBullet"/>
            </w:pPr>
            <w:r w:rsidRPr="00550029">
              <w:t>use of tools and equipment</w:t>
            </w:r>
          </w:p>
          <w:p w:rsidR="00000000" w:rsidP="00550029">
            <w:pPr>
              <w:pStyle w:val="ListBullet"/>
              <w:rPr>
                <w:lang w:val="en-NZ"/>
              </w:rPr>
            </w:pPr>
            <w:r w:rsidRPr="00550029">
              <w:t>workplace environmental requirements and safety.</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Tools and equipment</w:t>
            </w:r>
            <w:r w:rsidRPr="00550029">
              <w:t xml:space="preserve"> include: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brushes</w:t>
            </w:r>
          </w:p>
          <w:p w:rsidR="00000000" w:rsidRPr="00550029" w:rsidP="00550029">
            <w:pPr>
              <w:pStyle w:val="ListBullet"/>
            </w:pPr>
            <w:r w:rsidRPr="00550029">
              <w:t>compressors</w:t>
            </w:r>
          </w:p>
          <w:p w:rsidR="00000000" w:rsidRPr="00550029" w:rsidP="00550029">
            <w:pPr>
              <w:pStyle w:val="ListBullet"/>
            </w:pPr>
            <w:r w:rsidRPr="00550029">
              <w:t>mobile scaffold</w:t>
            </w:r>
          </w:p>
          <w:p w:rsidR="00000000" w:rsidRPr="00550029" w:rsidP="00550029">
            <w:pPr>
              <w:pStyle w:val="ListBullet"/>
            </w:pPr>
            <w:r w:rsidRPr="00550029">
              <w:t>planks</w:t>
            </w:r>
          </w:p>
          <w:p w:rsidR="00000000" w:rsidRPr="00550029" w:rsidP="00550029">
            <w:pPr>
              <w:pStyle w:val="ListBullet"/>
            </w:pPr>
            <w:r w:rsidRPr="00550029">
              <w:t>rollers</w:t>
            </w:r>
          </w:p>
          <w:p w:rsidR="00000000" w:rsidRPr="00550029" w:rsidP="00550029">
            <w:pPr>
              <w:pStyle w:val="ListBullet"/>
            </w:pPr>
            <w:r w:rsidRPr="00550029">
              <w:t>sanders</w:t>
            </w:r>
          </w:p>
          <w:p w:rsidR="00000000" w:rsidRPr="00550029" w:rsidP="00550029">
            <w:pPr>
              <w:pStyle w:val="ListBullet"/>
            </w:pPr>
            <w:r w:rsidRPr="00550029">
              <w:t>scrapers</w:t>
            </w:r>
          </w:p>
          <w:p w:rsidR="00000000" w:rsidRPr="00550029" w:rsidP="00550029">
            <w:pPr>
              <w:pStyle w:val="ListBullet"/>
            </w:pPr>
            <w:r w:rsidRPr="00550029">
              <w:t>spray equipment</w:t>
            </w:r>
          </w:p>
          <w:p w:rsidR="00000000" w:rsidRPr="00550029" w:rsidP="00550029">
            <w:pPr>
              <w:pStyle w:val="ListBullet"/>
            </w:pPr>
            <w:r w:rsidRPr="00550029">
              <w:t>stepladders</w:t>
            </w:r>
          </w:p>
          <w:p w:rsidR="00000000" w:rsidRPr="00550029" w:rsidP="00550029">
            <w:pPr>
              <w:pStyle w:val="ListBullet"/>
            </w:pPr>
            <w:r w:rsidRPr="00550029">
              <w:t>trestles</w:t>
            </w:r>
          </w:p>
          <w:p w:rsidR="00000000" w:rsidP="00550029">
            <w:pPr>
              <w:pStyle w:val="ListBullet"/>
              <w:rPr>
                <w:lang w:val="en-NZ"/>
              </w:rPr>
            </w:pPr>
            <w:r w:rsidRPr="00550029">
              <w:t>vacuum cleaners.</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Materials</w:t>
            </w:r>
            <w:r w:rsidRPr="00550029">
              <w:t xml:space="preserve"> include: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clear finishes</w:t>
            </w:r>
          </w:p>
          <w:p w:rsidR="00000000" w:rsidRPr="00550029" w:rsidP="00550029">
            <w:pPr>
              <w:pStyle w:val="ListBullet"/>
            </w:pPr>
            <w:r w:rsidRPr="00550029">
              <w:t>fillers</w:t>
            </w:r>
          </w:p>
          <w:p w:rsidR="00000000" w:rsidRPr="00550029" w:rsidP="00550029">
            <w:pPr>
              <w:pStyle w:val="ListBullet"/>
            </w:pPr>
            <w:r w:rsidRPr="00550029">
              <w:t>linseed oil</w:t>
            </w:r>
          </w:p>
          <w:p w:rsidR="00000000" w:rsidRPr="00550029" w:rsidP="00550029">
            <w:pPr>
              <w:pStyle w:val="ListBullet"/>
            </w:pPr>
            <w:r w:rsidRPr="00550029">
              <w:t>manufacturers' proprietary products</w:t>
            </w:r>
          </w:p>
          <w:p w:rsidR="00000000" w:rsidRPr="00550029" w:rsidP="00550029">
            <w:pPr>
              <w:pStyle w:val="ListBullet"/>
            </w:pPr>
            <w:r w:rsidRPr="00550029">
              <w:t>oil-based products</w:t>
            </w:r>
          </w:p>
          <w:p w:rsidR="00000000" w:rsidRPr="00550029" w:rsidP="00550029">
            <w:pPr>
              <w:pStyle w:val="ListBullet"/>
            </w:pPr>
            <w:r w:rsidRPr="00550029">
              <w:t>scumbling mediums</w:t>
            </w:r>
          </w:p>
          <w:p w:rsidR="00000000" w:rsidRPr="00550029" w:rsidP="00550029">
            <w:pPr>
              <w:pStyle w:val="ListBullet"/>
            </w:pPr>
            <w:r w:rsidRPr="00550029">
              <w:t>stainers</w:t>
            </w:r>
          </w:p>
          <w:p w:rsidR="00000000" w:rsidRPr="00550029" w:rsidP="00550029">
            <w:pPr>
              <w:pStyle w:val="ListBullet"/>
            </w:pPr>
            <w:r w:rsidRPr="00550029">
              <w:t>terebine dryers</w:t>
            </w:r>
          </w:p>
          <w:p w:rsidR="00000000" w:rsidP="00550029">
            <w:pPr>
              <w:pStyle w:val="ListBullet"/>
              <w:rPr>
                <w:lang w:val="en-NZ"/>
              </w:rPr>
            </w:pPr>
            <w:r w:rsidRPr="00550029">
              <w:t>water-based products.</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Quality requirements</w:t>
            </w:r>
            <w:r w:rsidRPr="00550029">
              <w:t xml:space="preserve"> include: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internal company quality policy and standards</w:t>
            </w:r>
          </w:p>
          <w:p w:rsidR="00000000" w:rsidRPr="00550029" w:rsidP="00550029">
            <w:pPr>
              <w:pStyle w:val="ListBullet"/>
            </w:pPr>
            <w:r w:rsidRPr="00550029">
              <w:t>manufacturer specifications, where specified</w:t>
            </w:r>
          </w:p>
          <w:p w:rsidR="00000000" w:rsidRPr="00550029" w:rsidP="00550029">
            <w:pPr>
              <w:pStyle w:val="ListBullet"/>
            </w:pPr>
            <w:r w:rsidRPr="00550029">
              <w:t>relevant regulations, including Australian standards</w:t>
            </w:r>
          </w:p>
          <w:p w:rsidR="00000000" w:rsidP="00550029">
            <w:pPr>
              <w:pStyle w:val="ListBullet"/>
              <w:rPr>
                <w:lang w:val="en-NZ"/>
              </w:rPr>
            </w:pPr>
            <w:r w:rsidRPr="00550029">
              <w:t>workplace operations and procedures.</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Environmental requirements</w:t>
            </w:r>
            <w:r w:rsidRPr="00550029">
              <w:t xml:space="preserve"> include: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clean-up management</w:t>
            </w:r>
          </w:p>
          <w:p w:rsidR="00000000" w:rsidRPr="00550029" w:rsidP="00550029">
            <w:pPr>
              <w:pStyle w:val="ListBullet"/>
            </w:pPr>
            <w:r w:rsidRPr="00550029">
              <w:t>dust and noise</w:t>
            </w:r>
          </w:p>
          <w:p w:rsidR="00000000" w:rsidRPr="00550029" w:rsidP="00550029">
            <w:pPr>
              <w:pStyle w:val="ListBullet"/>
            </w:pPr>
            <w:r w:rsidRPr="00550029">
              <w:t>low odour and emissions</w:t>
            </w:r>
          </w:p>
          <w:p w:rsidR="00000000" w:rsidRPr="00550029" w:rsidP="00550029">
            <w:pPr>
              <w:pStyle w:val="ListBullet"/>
            </w:pPr>
            <w:r w:rsidRPr="00550029">
              <w:t>stormwater protection</w:t>
            </w:r>
          </w:p>
          <w:p w:rsidR="00000000" w:rsidP="00550029">
            <w:pPr>
              <w:pStyle w:val="ListBullet"/>
              <w:rPr>
                <w:lang w:val="en-NZ"/>
              </w:rPr>
            </w:pPr>
            <w:r w:rsidRPr="00550029">
              <w:t>waste management.</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Decorative paint finishes</w:t>
            </w:r>
            <w:r w:rsidRPr="00550029">
              <w:t xml:space="preserv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include:</w:t>
            </w:r>
          </w:p>
          <w:p w:rsidR="00000000" w:rsidRPr="00550029" w:rsidP="00550029">
            <w:pPr>
              <w:pStyle w:val="ListBullet2"/>
            </w:pPr>
            <w:r w:rsidRPr="00550029">
              <w:t>broken colour effects</w:t>
            </w:r>
          </w:p>
          <w:p w:rsidR="00000000" w:rsidRPr="00550029" w:rsidP="00550029">
            <w:pPr>
              <w:pStyle w:val="ListBullet2"/>
            </w:pPr>
            <w:r w:rsidRPr="00550029">
              <w:t>lines</w:t>
            </w:r>
          </w:p>
          <w:p w:rsidR="00000000" w:rsidRPr="00550029" w:rsidP="00550029">
            <w:pPr>
              <w:pStyle w:val="ListBullet2"/>
            </w:pPr>
            <w:r w:rsidRPr="00550029">
              <w:t>mirror finish</w:t>
            </w:r>
          </w:p>
          <w:p w:rsidR="00000000" w:rsidRPr="00550029" w:rsidP="00550029">
            <w:pPr>
              <w:pStyle w:val="ListBullet2"/>
            </w:pPr>
            <w:r w:rsidRPr="00550029">
              <w:t>gilding</w:t>
            </w:r>
          </w:p>
          <w:p w:rsidR="00000000" w:rsidRPr="00550029" w:rsidP="00550029">
            <w:pPr>
              <w:pStyle w:val="ListBullet2"/>
            </w:pPr>
            <w:r w:rsidRPr="00550029">
              <w:t>stencilling</w:t>
            </w:r>
          </w:p>
          <w:p w:rsidR="00000000" w:rsidRPr="00550029" w:rsidP="00550029">
            <w:pPr>
              <w:pStyle w:val="ListBullet2"/>
            </w:pPr>
            <w:r w:rsidRPr="00550029">
              <w:t>basic imitation marbling</w:t>
            </w:r>
          </w:p>
          <w:p w:rsidR="00000000" w:rsidRPr="00550029" w:rsidP="00550029">
            <w:pPr>
              <w:pStyle w:val="ListBullet2"/>
            </w:pPr>
            <w:r w:rsidRPr="00550029">
              <w:t>basic imitation wood graining.</w:t>
            </w:r>
          </w:p>
          <w:p w:rsidR="00000000" w:rsidRPr="00550029" w:rsidP="00550029">
            <w:pPr>
              <w:pStyle w:val="ListBullet"/>
            </w:pPr>
            <w:r w:rsidRPr="00550029">
              <w:t>may include:</w:t>
            </w:r>
          </w:p>
          <w:p w:rsidR="00000000" w:rsidRPr="00550029" w:rsidP="00550029">
            <w:pPr>
              <w:pStyle w:val="ListBullet2"/>
            </w:pPr>
            <w:r w:rsidRPr="00550029">
              <w:t>gilding</w:t>
            </w:r>
          </w:p>
          <w:p w:rsidR="00000000" w:rsidP="00550029">
            <w:pPr>
              <w:pStyle w:val="ListBullet"/>
              <w:rPr>
                <w:lang w:val="en-NZ"/>
              </w:rPr>
            </w:pPr>
            <w:r w:rsidRPr="00550029">
              <w:t>luminescent finishes.</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Mirror finishing</w:t>
            </w:r>
            <w:r w:rsidRPr="00550029">
              <w:t xml:space="preserv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is applied by:</w:t>
            </w:r>
          </w:p>
          <w:p w:rsidR="00000000" w:rsidRPr="00550029" w:rsidP="00550029">
            <w:pPr>
              <w:pStyle w:val="ListBullet2"/>
            </w:pPr>
            <w:r w:rsidRPr="00550029">
              <w:t>brush</w:t>
            </w:r>
          </w:p>
          <w:p w:rsidR="00000000" w:rsidRPr="00550029" w:rsidP="00550029">
            <w:pPr>
              <w:pStyle w:val="ListBullet2"/>
            </w:pPr>
            <w:r w:rsidRPr="00550029">
              <w:t>brush/roller</w:t>
            </w:r>
          </w:p>
          <w:p w:rsidR="00000000" w:rsidRPr="00550029" w:rsidP="00550029">
            <w:pPr>
              <w:pStyle w:val="ListBullet"/>
            </w:pPr>
            <w:r w:rsidRPr="00550029">
              <w:t>may be applied by:</w:t>
            </w:r>
          </w:p>
          <w:p w:rsidR="00000000" w:rsidRPr="00550029" w:rsidP="00550029">
            <w:pPr>
              <w:pStyle w:val="ListBullet2"/>
            </w:pPr>
            <w:r w:rsidRPr="00550029">
              <w:t>spray</w:t>
            </w:r>
          </w:p>
          <w:p w:rsidR="00000000" w:rsidP="00550029">
            <w:pPr>
              <w:pStyle w:val="ListBullet"/>
              <w:rPr>
                <w:lang w:val="en-NZ"/>
              </w:rPr>
            </w:pPr>
            <w:r w:rsidRPr="00550029">
              <w:t>flood coating.</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Broken colour effects</w:t>
            </w:r>
            <w:r w:rsidRPr="00550029">
              <w:t xml:space="preserv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are achieved using:</w:t>
            </w:r>
          </w:p>
          <w:p w:rsidR="00000000" w:rsidRPr="00550029" w:rsidP="00550029">
            <w:pPr>
              <w:pStyle w:val="ListBullet2"/>
            </w:pPr>
            <w:r w:rsidRPr="00550029">
              <w:t>rag rolling</w:t>
            </w:r>
          </w:p>
          <w:p w:rsidR="00000000" w:rsidRPr="00550029" w:rsidP="00550029">
            <w:pPr>
              <w:pStyle w:val="ListBullet2"/>
            </w:pPr>
            <w:r w:rsidRPr="00550029">
              <w:t>sponging</w:t>
            </w:r>
          </w:p>
          <w:p w:rsidR="00000000" w:rsidRPr="00550029" w:rsidP="00550029">
            <w:pPr>
              <w:pStyle w:val="ListBullet2"/>
            </w:pPr>
            <w:r w:rsidRPr="00550029">
              <w:t>stippling</w:t>
            </w:r>
          </w:p>
          <w:p w:rsidR="00000000" w:rsidRPr="00550029" w:rsidP="00550029">
            <w:pPr>
              <w:pStyle w:val="ListBullet"/>
            </w:pPr>
            <w:r w:rsidRPr="00550029">
              <w:t>may use:</w:t>
            </w:r>
          </w:p>
          <w:p w:rsidR="00000000" w:rsidRPr="00550029" w:rsidP="00550029">
            <w:pPr>
              <w:pStyle w:val="ListBullet2"/>
            </w:pPr>
            <w:r w:rsidRPr="00550029">
              <w:t>bagging</w:t>
            </w:r>
          </w:p>
          <w:p w:rsidR="00000000" w:rsidRPr="00550029" w:rsidP="00550029">
            <w:pPr>
              <w:pStyle w:val="ListBullet2"/>
            </w:pPr>
            <w:r w:rsidRPr="00550029">
              <w:t>flouncing</w:t>
            </w:r>
          </w:p>
          <w:p w:rsidR="00000000" w:rsidRPr="00550029" w:rsidP="00550029">
            <w:pPr>
              <w:pStyle w:val="ListBullet2"/>
            </w:pPr>
            <w:r w:rsidRPr="00550029">
              <w:t>dragging</w:t>
            </w:r>
          </w:p>
          <w:p w:rsidR="00000000" w:rsidRPr="00550029" w:rsidP="00550029">
            <w:pPr>
              <w:pStyle w:val="ListBullet2"/>
            </w:pPr>
            <w:r w:rsidRPr="00550029">
              <w:t>blending</w:t>
            </w:r>
          </w:p>
          <w:p w:rsidR="00000000" w:rsidP="00550029">
            <w:pPr>
              <w:pStyle w:val="ListBullet"/>
              <w:rPr>
                <w:lang w:val="en-NZ"/>
              </w:rPr>
            </w:pPr>
            <w:r w:rsidRPr="00550029">
              <w:t>highlighting.</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Acrylic finishes</w:t>
            </w:r>
            <w:r w:rsidRPr="00550029">
              <w:t xml:space="preserve"> </w:t>
            </w:r>
            <w:r w:rsidRPr="00550029">
              <w:rPr>
                <w:rStyle w:val="BoldandItalics"/>
              </w:rPr>
              <w:t>include but are not limited to</w:t>
            </w:r>
            <w:r w:rsidRPr="00550029">
              <w:t xml:space="preserv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suede</w:t>
            </w:r>
          </w:p>
          <w:p w:rsidR="00000000" w:rsidRPr="00550029" w:rsidP="00550029">
            <w:pPr>
              <w:pStyle w:val="ListBullet"/>
            </w:pPr>
            <w:r w:rsidRPr="00550029">
              <w:t>metalessence</w:t>
            </w:r>
          </w:p>
          <w:p w:rsidR="00000000" w:rsidRPr="00550029" w:rsidP="00550029">
            <w:pPr>
              <w:pStyle w:val="ListBullet"/>
            </w:pPr>
            <w:r w:rsidRPr="00550029">
              <w:t>pearlessence/illuminessence</w:t>
            </w:r>
          </w:p>
          <w:p w:rsidR="00000000" w:rsidP="00550029">
            <w:pPr>
              <w:pStyle w:val="ListBullet"/>
              <w:rPr>
                <w:lang w:val="en-NZ"/>
              </w:rPr>
            </w:pPr>
            <w:r w:rsidRPr="00550029">
              <w:t>lime washes.</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Stencilling</w:t>
            </w:r>
            <w:r w:rsidRPr="00550029">
              <w:t xml:space="preserve"> includes the use of: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cutting boards</w:t>
            </w:r>
          </w:p>
          <w:p w:rsidR="00000000" w:rsidRPr="00550029" w:rsidP="00550029">
            <w:pPr>
              <w:pStyle w:val="ListBullet"/>
            </w:pPr>
            <w:r w:rsidRPr="00550029">
              <w:t>cutting knives and scalpels</w:t>
            </w:r>
          </w:p>
          <w:p w:rsidR="00000000" w:rsidRPr="00550029" w:rsidP="00550029">
            <w:pPr>
              <w:pStyle w:val="ListBullet"/>
            </w:pPr>
            <w:r w:rsidRPr="00550029">
              <w:t>drawing and tracing materials</w:t>
            </w:r>
          </w:p>
          <w:p w:rsidR="00000000" w:rsidRPr="00550029" w:rsidP="00550029">
            <w:pPr>
              <w:pStyle w:val="ListBullet"/>
            </w:pPr>
            <w:r w:rsidRPr="00550029">
              <w:t>stencil brushes</w:t>
            </w:r>
          </w:p>
          <w:p w:rsidR="00000000" w:rsidP="00550029">
            <w:pPr>
              <w:pStyle w:val="ListBullet"/>
              <w:rPr>
                <w:lang w:val="en-NZ"/>
              </w:rPr>
            </w:pPr>
            <w:r w:rsidRPr="00550029">
              <w:t>stencil materials.</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Special finishes</w:t>
            </w:r>
            <w:r w:rsidRPr="00550029">
              <w:t xml:space="preserve"> include: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basic imitation marbling</w:t>
            </w:r>
          </w:p>
          <w:p w:rsidR="00000000" w:rsidRPr="00550029" w:rsidP="00550029">
            <w:pPr>
              <w:pStyle w:val="ListBullet"/>
            </w:pPr>
            <w:r w:rsidRPr="00550029">
              <w:t>basic imitation wood graining</w:t>
            </w:r>
          </w:p>
          <w:p w:rsidR="00000000" w:rsidP="00550029">
            <w:pPr>
              <w:pStyle w:val="ListBullet"/>
              <w:rPr>
                <w:lang w:val="en-NZ"/>
              </w:rPr>
            </w:pPr>
            <w:r w:rsidRPr="00550029">
              <w:t>basic gilding.</w:t>
            </w:r>
          </w:p>
        </w:tc>
      </w:tr>
      <w:tr w:rsidTr="006E4A2B">
        <w:tblPrEx>
          <w:tblW w:w="0" w:type="auto"/>
          <w:tblLayout w:type="fixed"/>
          <w:tblCellMar>
            <w:left w:w="62" w:type="dxa"/>
            <w:right w:w="62" w:type="dxa"/>
          </w:tblCellMar>
          <w:tblLook w:val="0000"/>
        </w:tblPrEx>
        <w:tc>
          <w:tcPr>
            <w:tcW w:w="3428"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BoldandItalics"/>
              </w:rPr>
              <w:t>Paint waste</w:t>
            </w:r>
            <w:r w:rsidRPr="00550029">
              <w:t xml:space="preserve">, </w:t>
            </w:r>
            <w:r w:rsidRPr="00550029">
              <w:rPr>
                <w:rStyle w:val="BoldandItalics"/>
              </w:rPr>
              <w:t>water and solvents</w:t>
            </w:r>
            <w:r w:rsidRPr="00550029">
              <w:t xml:space="preserve"> disposal includes: </w:t>
            </w:r>
          </w:p>
        </w:tc>
        <w:tc>
          <w:tcPr>
            <w:tcW w:w="5094" w:type="dxa"/>
            <w:tcBorders>
              <w:top w:val="nil"/>
              <w:left w:val="nil"/>
              <w:bottom w:val="nil"/>
              <w:right w:val="nil"/>
            </w:tcBorders>
            <w:tcMar>
              <w:top w:w="0" w:type="dxa"/>
              <w:left w:w="62" w:type="dxa"/>
              <w:bottom w:w="0" w:type="dxa"/>
              <w:right w:w="62" w:type="dxa"/>
            </w:tcMar>
          </w:tcPr>
          <w:p w:rsidR="00000000" w:rsidRPr="00550029" w:rsidP="00550029">
            <w:pPr>
              <w:pStyle w:val="ListBullet"/>
            </w:pPr>
            <w:r w:rsidRPr="00550029">
              <w:t>use of manual and machine environmentally sustainable cleaning methods</w:t>
            </w:r>
          </w:p>
          <w:p w:rsidR="00000000" w:rsidRPr="00550029" w:rsidP="00550029">
            <w:pPr>
              <w:pStyle w:val="ListBullet"/>
            </w:pPr>
            <w:r w:rsidRPr="00550029">
              <w:t>cleaning water re-cycling or professional disposal</w:t>
            </w:r>
          </w:p>
          <w:p w:rsidR="00000000" w:rsidRPr="00550029" w:rsidP="00550029">
            <w:pPr>
              <w:pStyle w:val="ListBullet"/>
            </w:pPr>
            <w:r w:rsidRPr="00550029">
              <w:t>solid waste disposal requirements</w:t>
            </w:r>
          </w:p>
        </w:tc>
      </w:tr>
    </w:tbl>
    <w:p w:rsidR="006E4A2B" w:rsidP="00550029">
      <w:pPr>
        <w:pStyle w:val="BodyText"/>
      </w:pPr>
    </w:p>
    <w:p w:rsidR="006E4A2B" w:rsidP="00550029">
      <w:pPr>
        <w:pStyle w:val="BodyText"/>
      </w:pPr>
    </w:p>
    <w:p w:rsidR="00000000" w:rsidRPr="00550029" w:rsidP="00550029">
      <w:pPr>
        <w:pStyle w:val="Heading1"/>
      </w:pPr>
      <w:bookmarkStart w:id="12" w:name="O_198289"/>
      <w:bookmarkEnd w:id="12"/>
      <w:r w:rsidRPr="00550029">
        <w:t>Unit Sector(s)</w:t>
      </w:r>
    </w:p>
    <w:tbl>
      <w:tblPr>
        <w:tblW w:w="0" w:type="auto"/>
        <w:tblLayout w:type="fixed"/>
        <w:tblCellMar>
          <w:left w:w="62" w:type="dxa"/>
          <w:right w:w="62" w:type="dxa"/>
        </w:tblCellMar>
        <w:tblLook w:val="0000"/>
      </w:tblPr>
      <w:tblGrid>
        <w:gridCol w:w="2723"/>
        <w:gridCol w:w="5799"/>
      </w:tblGrid>
      <w:tr w:rsidTr="006E4A2B">
        <w:tblPrEx>
          <w:tblW w:w="0" w:type="auto"/>
          <w:tblLayout w:type="fixed"/>
          <w:tblCellMar>
            <w:left w:w="62" w:type="dxa"/>
            <w:right w:w="62" w:type="dxa"/>
          </w:tblCellMar>
          <w:tblLook w:val="0000"/>
        </w:tblPrEx>
        <w:trPr>
          <w:tblHeader/>
        </w:trPr>
        <w:tc>
          <w:tcPr>
            <w:tcW w:w="2723"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Unit sector</w:t>
            </w:r>
          </w:p>
        </w:tc>
        <w:tc>
          <w:tcPr>
            <w:tcW w:w="5799" w:type="dxa"/>
            <w:tcBorders>
              <w:top w:val="nil"/>
              <w:left w:val="nil"/>
              <w:bottom w:val="nil"/>
              <w:right w:val="nil"/>
            </w:tcBorders>
            <w:tcMar>
              <w:top w:w="0" w:type="dxa"/>
              <w:left w:w="62" w:type="dxa"/>
              <w:bottom w:w="0" w:type="dxa"/>
              <w:right w:w="62" w:type="dxa"/>
            </w:tcMar>
          </w:tcPr>
          <w:p w:rsidR="00000000" w:rsidRPr="00550029" w:rsidP="00550029">
            <w:pPr>
              <w:pStyle w:val="BodyText"/>
            </w:pPr>
            <w:r w:rsidRPr="00550029">
              <w:t>Construction</w:t>
            </w:r>
          </w:p>
        </w:tc>
      </w:tr>
    </w:tbl>
    <w:p w:rsidR="006E4A2B" w:rsidP="00550029">
      <w:pPr>
        <w:pStyle w:val="BodyText"/>
      </w:pPr>
    </w:p>
    <w:p w:rsidR="006E4A2B" w:rsidP="00550029">
      <w:pPr>
        <w:pStyle w:val="BodyText"/>
      </w:pPr>
    </w:p>
    <w:p w:rsidR="00000000" w:rsidRPr="00550029" w:rsidP="00550029">
      <w:pPr>
        <w:pStyle w:val="Heading1"/>
      </w:pPr>
      <w:bookmarkStart w:id="13" w:name="O_198288"/>
      <w:bookmarkEnd w:id="13"/>
      <w:r w:rsidRPr="00550029">
        <w:t>Functional area</w:t>
      </w:r>
    </w:p>
    <w:tbl>
      <w:tblPr>
        <w:tblW w:w="0" w:type="auto"/>
        <w:tblLayout w:type="fixed"/>
        <w:tblCellMar>
          <w:left w:w="62" w:type="dxa"/>
          <w:right w:w="62" w:type="dxa"/>
        </w:tblCellMar>
        <w:tblLook w:val="0000"/>
      </w:tblPr>
      <w:tblGrid>
        <w:gridCol w:w="2819"/>
        <w:gridCol w:w="5703"/>
      </w:tblGrid>
      <w:tr w:rsidTr="006E4A2B">
        <w:tblPrEx>
          <w:tblW w:w="0" w:type="auto"/>
          <w:tblLayout w:type="fixed"/>
          <w:tblCellMar>
            <w:left w:w="62" w:type="dxa"/>
            <w:right w:w="62" w:type="dxa"/>
          </w:tblCellMar>
          <w:tblLook w:val="0000"/>
        </w:tblPrEx>
        <w:trPr>
          <w:tblHeader/>
        </w:trPr>
        <w:tc>
          <w:tcPr>
            <w:tcW w:w="2819" w:type="dxa"/>
            <w:tcBorders>
              <w:top w:val="nil"/>
              <w:left w:val="nil"/>
              <w:bottom w:val="nil"/>
              <w:right w:val="nil"/>
            </w:tcBorders>
            <w:tcMar>
              <w:top w:w="0" w:type="dxa"/>
              <w:left w:w="62" w:type="dxa"/>
              <w:bottom w:w="0" w:type="dxa"/>
              <w:right w:w="62" w:type="dxa"/>
            </w:tcMar>
          </w:tcPr>
          <w:p w:rsidR="00000000" w:rsidP="00550029">
            <w:pPr>
              <w:pStyle w:val="BodyText"/>
              <w:rPr>
                <w:lang w:val="en-NZ"/>
              </w:rPr>
            </w:pPr>
            <w:r w:rsidRPr="00550029">
              <w:rPr>
                <w:rStyle w:val="SpecialBold"/>
              </w:rPr>
              <w:t>Functional area</w:t>
            </w:r>
          </w:p>
        </w:tc>
        <w:tc>
          <w:tcPr>
            <w:tcW w:w="5703" w:type="dxa"/>
            <w:tcBorders>
              <w:top w:val="nil"/>
              <w:left w:val="nil"/>
              <w:bottom w:val="nil"/>
              <w:right w:val="nil"/>
            </w:tcBorders>
            <w:tcMar>
              <w:top w:w="0" w:type="dxa"/>
              <w:left w:w="62" w:type="dxa"/>
              <w:bottom w:w="0" w:type="dxa"/>
              <w:right w:w="62" w:type="dxa"/>
            </w:tcMar>
          </w:tcPr>
          <w:p w:rsidR="00000000" w:rsidRPr="00550029" w:rsidP="00550029">
            <w:pPr>
              <w:pStyle w:val="BodyText"/>
            </w:pPr>
          </w:p>
        </w:tc>
      </w:tr>
    </w:tbl>
    <w:p w:rsidR="006E4A2B" w:rsidP="00550029">
      <w:pPr>
        <w:pStyle w:val="BodyText"/>
      </w:pPr>
    </w:p>
    <w:p w:rsidR="006E4A2B" w:rsidP="00550029">
      <w:pPr>
        <w:pStyle w:val="BodyText"/>
      </w:pPr>
    </w:p>
    <w:p w:rsidR="00000000" w:rsidRPr="00550029" w:rsidP="00550029"/>
    <w:sectPr w:rsidSect="005500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A2B" w:rsidP="006E4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2B" w:rsidP="00550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E4A2B" w:rsidP="005500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E4A2B" w:rsidP="005500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A2B" w:rsidP="006E4A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A2B" w:rsidP="00550029">
    <w:pPr>
      <w:pStyle w:val="Header"/>
      <w:framePr w:wrap="around"/>
    </w:pPr>
    <w:r>
      <w:fldChar w:fldCharType="begin"/>
    </w:r>
    <w:r>
      <w:instrText xml:space="preserve"> TITLE   \* MERGEFORMAT </w:instrText>
    </w:r>
    <w:r>
      <w:fldChar w:fldCharType="separate"/>
    </w:r>
    <w:r>
      <w:t>CPCCPD3028A Apply decorative paint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4A2B" w:rsidP="005500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0F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E2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7CF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0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029"/>
    <w:pPr>
      <w:spacing w:before="360" w:after="60"/>
      <w:outlineLvl w:val="0"/>
    </w:pPr>
    <w:rPr>
      <w:sz w:val="32"/>
    </w:rPr>
  </w:style>
  <w:style w:type="paragraph" w:styleId="Heading2">
    <w:name w:val="heading 2"/>
    <w:basedOn w:val="HeadingBase"/>
    <w:next w:val="BodyText"/>
    <w:link w:val="Heading2Char"/>
    <w:qFormat/>
    <w:rsid w:val="00550029"/>
    <w:pPr>
      <w:keepLines/>
      <w:spacing w:before="240" w:after="120"/>
      <w:outlineLvl w:val="1"/>
    </w:pPr>
    <w:rPr>
      <w:sz w:val="28"/>
      <w:szCs w:val="40"/>
    </w:rPr>
  </w:style>
  <w:style w:type="paragraph" w:styleId="Heading3">
    <w:name w:val="heading 3"/>
    <w:basedOn w:val="HeadingBase"/>
    <w:next w:val="BodyText"/>
    <w:link w:val="Heading3Char"/>
    <w:qFormat/>
    <w:rsid w:val="00550029"/>
    <w:pPr>
      <w:spacing w:before="180" w:after="120"/>
      <w:outlineLvl w:val="2"/>
    </w:pPr>
    <w:rPr>
      <w:spacing w:val="-10"/>
      <w:kern w:val="32"/>
    </w:rPr>
  </w:style>
  <w:style w:type="paragraph" w:styleId="Heading4">
    <w:name w:val="heading 4"/>
    <w:basedOn w:val="HeadingBase"/>
    <w:next w:val="BodyText"/>
    <w:link w:val="Heading4Char"/>
    <w:qFormat/>
    <w:rsid w:val="00550029"/>
    <w:pPr>
      <w:spacing w:before="160" w:after="120"/>
      <w:outlineLvl w:val="3"/>
    </w:pPr>
    <w:rPr>
      <w:sz w:val="22"/>
    </w:rPr>
  </w:style>
  <w:style w:type="paragraph" w:styleId="Heading5">
    <w:name w:val="heading 5"/>
    <w:basedOn w:val="HeadingBase"/>
    <w:next w:val="Normal"/>
    <w:link w:val="Heading5Char"/>
    <w:qFormat/>
    <w:rsid w:val="00550029"/>
    <w:pPr>
      <w:spacing w:before="80"/>
      <w:outlineLvl w:val="4"/>
    </w:pPr>
    <w:rPr>
      <w:color w:val="918585"/>
      <w:sz w:val="20"/>
    </w:rPr>
  </w:style>
  <w:style w:type="paragraph" w:styleId="Heading6">
    <w:name w:val="heading 6"/>
    <w:basedOn w:val="HeadingBase"/>
    <w:next w:val="Normal"/>
    <w:link w:val="Heading6Char"/>
    <w:qFormat/>
    <w:rsid w:val="00550029"/>
    <w:pPr>
      <w:spacing w:before="60"/>
      <w:outlineLvl w:val="5"/>
    </w:pPr>
    <w:rPr>
      <w:color w:val="918585"/>
      <w:sz w:val="20"/>
    </w:rPr>
  </w:style>
  <w:style w:type="paragraph" w:styleId="Heading7">
    <w:name w:val="heading 7"/>
    <w:basedOn w:val="Normal"/>
    <w:next w:val="Normal"/>
    <w:link w:val="Heading7Char"/>
    <w:qFormat/>
    <w:rsid w:val="00550029"/>
    <w:pPr>
      <w:ind w:left="720"/>
      <w:outlineLvl w:val="6"/>
    </w:pPr>
    <w:rPr>
      <w:i/>
    </w:rPr>
  </w:style>
  <w:style w:type="paragraph" w:styleId="Heading8">
    <w:name w:val="heading 8"/>
    <w:basedOn w:val="Normal"/>
    <w:next w:val="Normal"/>
    <w:link w:val="Heading8Char"/>
    <w:qFormat/>
    <w:rsid w:val="00550029"/>
    <w:pPr>
      <w:ind w:left="720"/>
      <w:outlineLvl w:val="7"/>
    </w:pPr>
    <w:rPr>
      <w:i/>
    </w:rPr>
  </w:style>
  <w:style w:type="paragraph" w:styleId="Heading9">
    <w:name w:val="heading 9"/>
    <w:basedOn w:val="Normal"/>
    <w:next w:val="Normal"/>
    <w:link w:val="Heading9Char"/>
    <w:qFormat/>
    <w:rsid w:val="00550029"/>
    <w:pPr>
      <w:ind w:left="720"/>
      <w:outlineLvl w:val="8"/>
    </w:pPr>
    <w:rPr>
      <w:i/>
    </w:rPr>
  </w:style>
  <w:style w:type="character" w:default="1" w:styleId="DefaultParagraphFont">
    <w:name w:val="Default Paragraph Font"/>
    <w:uiPriority w:val="1"/>
    <w:unhideWhenUsed/>
    <w:rsid w:val="00550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029"/>
  </w:style>
  <w:style w:type="character" w:customStyle="1" w:styleId="Heading1Char">
    <w:name w:val="Heading 1 Char"/>
    <w:basedOn w:val="DefaultParagraphFont"/>
    <w:link w:val="Heading1"/>
    <w:rsid w:val="00550029"/>
    <w:rPr>
      <w:rFonts w:ascii="Times New Roman" w:eastAsia="Times New Roman" w:hAnsi="Times New Roman" w:cs="Times New Roman"/>
      <w:b/>
      <w:sz w:val="32"/>
      <w:szCs w:val="20"/>
      <w:lang w:eastAsia="en-US"/>
    </w:rPr>
  </w:style>
  <w:style w:type="paragraph" w:styleId="BodyText">
    <w:name w:val="Body Text"/>
    <w:basedOn w:val="Normal"/>
    <w:link w:val="BodyTextChar"/>
    <w:rsid w:val="005500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029"/>
    <w:rPr>
      <w:rFonts w:ascii="Times New Roman" w:eastAsia="Times New Roman" w:hAnsi="Times New Roman" w:cs="Times New Roman"/>
      <w:sz w:val="24"/>
      <w:lang w:val="en-US" w:eastAsia="en-US"/>
    </w:rPr>
  </w:style>
  <w:style w:type="paragraph" w:styleId="Footer">
    <w:name w:val="footer"/>
    <w:basedOn w:val="Normal"/>
    <w:link w:val="FooterChar"/>
    <w:rsid w:val="00550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029"/>
    <w:rPr>
      <w:rFonts w:ascii="Times New Roman" w:eastAsia="Times New Roman" w:hAnsi="Times New Roman" w:cs="Times New Roman"/>
      <w:sz w:val="16"/>
      <w:lang w:val="en-US" w:eastAsia="en-US"/>
    </w:rPr>
  </w:style>
  <w:style w:type="paragraph" w:styleId="List">
    <w:name w:val="List"/>
    <w:basedOn w:val="BodyText"/>
    <w:next w:val="BodyText"/>
    <w:rsid w:val="00550029"/>
    <w:pPr>
      <w:tabs>
        <w:tab w:val="left" w:pos="340"/>
      </w:tabs>
      <w:spacing w:before="60" w:after="60"/>
      <w:ind w:left="340" w:hanging="340"/>
    </w:pPr>
  </w:style>
  <w:style w:type="paragraph" w:styleId="ListBullet">
    <w:name w:val="List Bullet"/>
    <w:basedOn w:val="List"/>
    <w:rsid w:val="00550029"/>
    <w:pPr>
      <w:numPr>
        <w:numId w:val="14"/>
      </w:numPr>
      <w:tabs>
        <w:tab w:val="clear" w:pos="340"/>
      </w:tabs>
      <w:spacing w:before="40" w:after="40"/>
    </w:pPr>
  </w:style>
  <w:style w:type="character" w:customStyle="1" w:styleId="SpecialBold">
    <w:name w:val="Special Bold"/>
    <w:basedOn w:val="DefaultParagraphFont"/>
    <w:rsid w:val="00550029"/>
    <w:rPr>
      <w:b/>
      <w:spacing w:val="0"/>
    </w:rPr>
  </w:style>
  <w:style w:type="paragraph" w:styleId="ListBullet2">
    <w:name w:val="List Bullet 2"/>
    <w:basedOn w:val="List2"/>
    <w:rsid w:val="00550029"/>
    <w:pPr>
      <w:numPr>
        <w:numId w:val="15"/>
      </w:numPr>
      <w:tabs>
        <w:tab w:val="clear" w:pos="680"/>
      </w:tabs>
    </w:pPr>
  </w:style>
  <w:style w:type="paragraph" w:styleId="Header">
    <w:name w:val="header"/>
    <w:basedOn w:val="Normal"/>
    <w:link w:val="HeaderChar"/>
    <w:rsid w:val="00550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0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0029"/>
    <w:pPr>
      <w:spacing w:before="240" w:after="120"/>
      <w:outlineLvl w:val="0"/>
    </w:pPr>
    <w:rPr>
      <w:rFonts w:ascii="Times New Roman" w:hAnsi="Times New Roman"/>
      <w:b/>
      <w:sz w:val="28"/>
    </w:rPr>
  </w:style>
  <w:style w:type="paragraph" w:customStyle="1" w:styleId="AllowPageBreak">
    <w:name w:val="AllowPageBreak"/>
    <w:rsid w:val="005500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0029"/>
    <w:pPr>
      <w:tabs>
        <w:tab w:val="left" w:pos="680"/>
      </w:tabs>
      <w:spacing w:before="60" w:after="60"/>
      <w:ind w:left="680" w:hanging="340"/>
    </w:pPr>
  </w:style>
  <w:style w:type="paragraph" w:styleId="ListBullet3">
    <w:name w:val="List Bullet 3"/>
    <w:basedOn w:val="List3"/>
    <w:rsid w:val="00550029"/>
    <w:pPr>
      <w:numPr>
        <w:numId w:val="3"/>
      </w:numPr>
      <w:tabs>
        <w:tab w:val="clear" w:pos="1021"/>
      </w:tabs>
      <w:ind w:left="1037" w:hanging="357"/>
    </w:pPr>
  </w:style>
  <w:style w:type="character" w:customStyle="1" w:styleId="BoldandItalics">
    <w:name w:val="Bold and Italics"/>
    <w:qFormat/>
    <w:rsid w:val="00550029"/>
    <w:rPr>
      <w:b/>
      <w:i/>
      <w:u w:val="none"/>
    </w:rPr>
  </w:style>
  <w:style w:type="character" w:customStyle="1" w:styleId="Heading2Char">
    <w:name w:val="Heading 2 Char"/>
    <w:basedOn w:val="DefaultParagraphFont"/>
    <w:link w:val="Heading2"/>
    <w:rsid w:val="00550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0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0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029"/>
    <w:rPr>
      <w:rFonts w:ascii="Courier New" w:eastAsia="Times New Roman" w:hAnsi="Courier New" w:cs="Times New Roman"/>
      <w:i/>
      <w:szCs w:val="20"/>
      <w:lang w:val="en-US" w:eastAsia="en-US"/>
    </w:rPr>
  </w:style>
  <w:style w:type="paragraph" w:customStyle="1" w:styleId="HeadingBase">
    <w:name w:val="Heading Base"/>
    <w:rsid w:val="00550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029"/>
    <w:pPr>
      <w:tabs>
        <w:tab w:val="right" w:leader="dot" w:pos="9072"/>
      </w:tabs>
      <w:ind w:left="567"/>
    </w:pPr>
    <w:rPr>
      <w:szCs w:val="22"/>
    </w:rPr>
  </w:style>
  <w:style w:type="paragraph" w:customStyle="1" w:styleId="TOCBase">
    <w:name w:val="TOC Base"/>
    <w:rsid w:val="00550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029"/>
    <w:pPr>
      <w:tabs>
        <w:tab w:val="right" w:leader="dot" w:pos="9072"/>
      </w:tabs>
      <w:spacing w:before="40" w:after="40"/>
      <w:ind w:left="284"/>
    </w:pPr>
    <w:rPr>
      <w:rFonts w:ascii="Times New Roman" w:hAnsi="Times New Roman"/>
    </w:rPr>
  </w:style>
  <w:style w:type="paragraph" w:styleId="TOC1">
    <w:name w:val="toc 1"/>
    <w:basedOn w:val="TOCBase"/>
    <w:next w:val="Normal"/>
    <w:rsid w:val="005500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029"/>
    <w:pPr>
      <w:spacing w:before="5040"/>
      <w:jc w:val="center"/>
    </w:pPr>
    <w:rPr>
      <w:sz w:val="48"/>
      <w:szCs w:val="72"/>
      <w:lang w:val="en-US"/>
    </w:rPr>
  </w:style>
  <w:style w:type="character" w:customStyle="1" w:styleId="TitleChar">
    <w:name w:val="Title Char"/>
    <w:basedOn w:val="DefaultParagraphFont"/>
    <w:link w:val="Title"/>
    <w:rsid w:val="00550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029"/>
    <w:pPr>
      <w:tabs>
        <w:tab w:val="left" w:pos="3600"/>
        <w:tab w:val="left" w:pos="3958"/>
      </w:tabs>
    </w:pPr>
  </w:style>
  <w:style w:type="paragraph" w:customStyle="1" w:styleId="Note">
    <w:name w:val="Note"/>
    <w:basedOn w:val="BodyText"/>
    <w:rsid w:val="00550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029"/>
    <w:pPr>
      <w:framePr w:wrap="auto" w:hAnchor="text" w:y="6049"/>
    </w:pPr>
    <w:rPr>
      <w:color w:val="000000"/>
      <w:sz w:val="40"/>
    </w:rPr>
  </w:style>
  <w:style w:type="paragraph" w:customStyle="1" w:styleId="TOCTitle">
    <w:name w:val="TOCTitle"/>
    <w:basedOn w:val="Heading1"/>
    <w:rsid w:val="00550029"/>
    <w:pPr>
      <w:spacing w:after="240"/>
      <w:jc w:val="center"/>
      <w:outlineLvl w:val="9"/>
    </w:pPr>
    <w:rPr>
      <w:caps/>
    </w:rPr>
  </w:style>
  <w:style w:type="paragraph" w:customStyle="1" w:styleId="Version">
    <w:name w:val="Version"/>
    <w:rsid w:val="005500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029"/>
    <w:pPr>
      <w:keepNext w:val="0"/>
      <w:tabs>
        <w:tab w:val="right" w:pos="4176"/>
      </w:tabs>
      <w:ind w:left="198" w:hanging="198"/>
    </w:pPr>
    <w:rPr>
      <w:rFonts w:ascii="Garamond" w:hAnsi="Garamond"/>
    </w:rPr>
  </w:style>
  <w:style w:type="paragraph" w:styleId="IndexHeading">
    <w:name w:val="index heading"/>
    <w:basedOn w:val="Normal"/>
    <w:next w:val="Index1"/>
    <w:semiHidden/>
    <w:rsid w:val="00550029"/>
    <w:pPr>
      <w:spacing w:before="120" w:after="120"/>
    </w:pPr>
    <w:rPr>
      <w:rFonts w:ascii="Arial" w:hAnsi="Arial"/>
      <w:b/>
      <w:color w:val="918585"/>
      <w:sz w:val="24"/>
    </w:rPr>
  </w:style>
  <w:style w:type="paragraph" w:customStyle="1" w:styleId="Chapter">
    <w:name w:val="Chapter"/>
    <w:basedOn w:val="Normal"/>
    <w:rsid w:val="00550029"/>
    <w:pPr>
      <w:spacing w:before="240"/>
    </w:pPr>
    <w:rPr>
      <w:rFonts w:ascii="Times New Roman" w:hAnsi="Times New Roman"/>
      <w:smallCaps/>
      <w:spacing w:val="80"/>
      <w:sz w:val="28"/>
    </w:rPr>
  </w:style>
  <w:style w:type="paragraph" w:customStyle="1" w:styleId="InChapter">
    <w:name w:val="InChapter"/>
    <w:basedOn w:val="Heading3"/>
    <w:rsid w:val="00550029"/>
    <w:pPr>
      <w:spacing w:after="240"/>
      <w:outlineLvl w:val="9"/>
    </w:pPr>
    <w:rPr>
      <w:noProof/>
    </w:rPr>
  </w:style>
  <w:style w:type="paragraph" w:styleId="Index2">
    <w:name w:val="index 2"/>
    <w:basedOn w:val="Normal"/>
    <w:next w:val="Normal"/>
    <w:semiHidden/>
    <w:rsid w:val="00550029"/>
    <w:pPr>
      <w:tabs>
        <w:tab w:val="right" w:pos="4176"/>
      </w:tabs>
      <w:ind w:left="568" w:hanging="284"/>
    </w:pPr>
    <w:rPr>
      <w:rFonts w:ascii="Garamond" w:hAnsi="Garamond"/>
    </w:rPr>
  </w:style>
  <w:style w:type="paragraph" w:customStyle="1" w:styleId="Byline">
    <w:name w:val="Byline"/>
    <w:rsid w:val="00550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029"/>
    <w:pPr>
      <w:tabs>
        <w:tab w:val="clear" w:pos="3600"/>
        <w:tab w:val="clear" w:pos="3958"/>
      </w:tabs>
      <w:jc w:val="right"/>
    </w:pPr>
  </w:style>
  <w:style w:type="character" w:styleId="Emphasis">
    <w:name w:val="Emphasis"/>
    <w:basedOn w:val="DefaultParagraphFont"/>
    <w:qFormat/>
    <w:rsid w:val="00550029"/>
    <w:rPr>
      <w:i/>
    </w:rPr>
  </w:style>
  <w:style w:type="paragraph" w:styleId="Caption">
    <w:name w:val="caption"/>
    <w:basedOn w:val="BodyText"/>
    <w:next w:val="Normal"/>
    <w:qFormat/>
    <w:rsid w:val="00550029"/>
    <w:pPr>
      <w:framePr w:w="2268" w:hSpace="181" w:vSpace="181" w:wrap="around" w:vAnchor="text" w:hAnchor="page" w:x="1135" w:y="285" w:anchorLock="1"/>
    </w:pPr>
    <w:rPr>
      <w:i/>
    </w:rPr>
  </w:style>
  <w:style w:type="paragraph" w:customStyle="1" w:styleId="MiniTOCTitle">
    <w:name w:val="MiniTOCTitle"/>
    <w:basedOn w:val="Heading4"/>
    <w:rsid w:val="00550029"/>
    <w:pPr>
      <w:spacing w:before="240"/>
      <w:outlineLvl w:val="9"/>
    </w:pPr>
    <w:rPr>
      <w:noProof/>
      <w:sz w:val="24"/>
    </w:rPr>
  </w:style>
  <w:style w:type="paragraph" w:customStyle="1" w:styleId="MiniTOCItem">
    <w:name w:val="MiniTOCItem"/>
    <w:basedOn w:val="ListBullet"/>
    <w:rsid w:val="00550029"/>
    <w:pPr>
      <w:numPr>
        <w:numId w:val="0"/>
      </w:numPr>
      <w:tabs>
        <w:tab w:val="right" w:leader="dot" w:pos="6521"/>
      </w:tabs>
      <w:spacing w:before="0" w:after="0"/>
    </w:pPr>
  </w:style>
  <w:style w:type="paragraph" w:customStyle="1" w:styleId="TOFTitle">
    <w:name w:val="TOFTitle"/>
    <w:basedOn w:val="TOCTitle"/>
    <w:rsid w:val="00550029"/>
  </w:style>
  <w:style w:type="paragraph" w:styleId="TableofFigures">
    <w:name w:val="table of figures"/>
    <w:basedOn w:val="Normal"/>
    <w:next w:val="Normal"/>
    <w:semiHidden/>
    <w:rsid w:val="00550029"/>
    <w:pPr>
      <w:tabs>
        <w:tab w:val="right" w:leader="dot" w:pos="9072"/>
      </w:tabs>
      <w:ind w:left="970" w:hanging="403"/>
    </w:pPr>
    <w:rPr>
      <w:rFonts w:ascii="Times New Roman" w:hAnsi="Times New Roman"/>
      <w:b/>
    </w:rPr>
  </w:style>
  <w:style w:type="paragraph" w:styleId="ListNumber">
    <w:name w:val="List Number"/>
    <w:basedOn w:val="List"/>
    <w:rsid w:val="00550029"/>
    <w:pPr>
      <w:numPr>
        <w:numId w:val="12"/>
      </w:numPr>
    </w:pPr>
  </w:style>
  <w:style w:type="character" w:customStyle="1" w:styleId="WingdingSymbols">
    <w:name w:val="Wingding Symbols"/>
    <w:rsid w:val="00550029"/>
    <w:rPr>
      <w:rFonts w:ascii="Wingdings" w:hAnsi="Wingdings"/>
    </w:rPr>
  </w:style>
  <w:style w:type="paragraph" w:customStyle="1" w:styleId="TableHeading">
    <w:name w:val="Table Heading"/>
    <w:basedOn w:val="HeadingBase"/>
    <w:rsid w:val="00550029"/>
    <w:pPr>
      <w:keepLines/>
      <w:pBdr>
        <w:bottom w:val="single" w:sz="6" w:space="1" w:color="918585"/>
      </w:pBdr>
      <w:spacing w:before="240"/>
    </w:pPr>
  </w:style>
  <w:style w:type="character" w:customStyle="1" w:styleId="HotSpot">
    <w:name w:val="HotSpot"/>
    <w:rsid w:val="00550029"/>
    <w:rPr>
      <w:color w:val="0033CC"/>
      <w:u w:val="none"/>
    </w:rPr>
  </w:style>
  <w:style w:type="paragraph" w:customStyle="1" w:styleId="BodyTextRight">
    <w:name w:val="Body Text Right"/>
    <w:basedOn w:val="BodyText"/>
    <w:rsid w:val="00550029"/>
    <w:pPr>
      <w:spacing w:before="0" w:after="0"/>
      <w:jc w:val="right"/>
    </w:pPr>
  </w:style>
  <w:style w:type="paragraph" w:styleId="Index3">
    <w:name w:val="index 3"/>
    <w:basedOn w:val="ListNumber2"/>
    <w:next w:val="Normal"/>
    <w:semiHidden/>
    <w:rsid w:val="00550029"/>
    <w:pPr>
      <w:numPr>
        <w:numId w:val="0"/>
      </w:numPr>
      <w:tabs>
        <w:tab w:val="right" w:leader="dot" w:pos="4176"/>
      </w:tabs>
    </w:pPr>
  </w:style>
  <w:style w:type="paragraph" w:styleId="ListNumber2">
    <w:name w:val="List Number 2"/>
    <w:basedOn w:val="List2"/>
    <w:rsid w:val="00550029"/>
    <w:pPr>
      <w:numPr>
        <w:numId w:val="11"/>
      </w:numPr>
      <w:tabs>
        <w:tab w:val="clear" w:pos="1060"/>
      </w:tabs>
    </w:pPr>
  </w:style>
  <w:style w:type="paragraph" w:customStyle="1" w:styleId="MarginNote">
    <w:name w:val="Margin Note"/>
    <w:basedOn w:val="BodyText"/>
    <w:rsid w:val="00550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0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029"/>
    <w:rPr>
      <w:sz w:val="32"/>
    </w:rPr>
  </w:style>
  <w:style w:type="paragraph" w:customStyle="1" w:styleId="HeadingProcedure">
    <w:name w:val="Heading Procedure"/>
    <w:basedOn w:val="HeadingBase"/>
    <w:next w:val="Normal"/>
    <w:rsid w:val="00550029"/>
    <w:pPr>
      <w:tabs>
        <w:tab w:val="left" w:pos="0"/>
      </w:tabs>
      <w:spacing w:before="120" w:after="60"/>
    </w:pPr>
    <w:rPr>
      <w:i/>
      <w:color w:val="918585"/>
      <w:sz w:val="22"/>
    </w:rPr>
  </w:style>
  <w:style w:type="paragraph" w:customStyle="1" w:styleId="TableBodyText">
    <w:name w:val="Table Body Text"/>
    <w:basedOn w:val="BodyText"/>
    <w:rsid w:val="00550029"/>
    <w:pPr>
      <w:spacing w:before="60" w:after="60"/>
    </w:pPr>
  </w:style>
  <w:style w:type="paragraph" w:styleId="ListContinue">
    <w:name w:val="List Continue"/>
    <w:basedOn w:val="List"/>
    <w:rsid w:val="00550029"/>
    <w:pPr>
      <w:ind w:firstLine="0"/>
    </w:pPr>
  </w:style>
  <w:style w:type="paragraph" w:customStyle="1" w:styleId="ListNote">
    <w:name w:val="List Note"/>
    <w:basedOn w:val="List"/>
    <w:rsid w:val="00550029"/>
    <w:pPr>
      <w:pBdr>
        <w:top w:val="single" w:sz="6" w:space="2" w:color="918585"/>
        <w:bottom w:val="single" w:sz="6" w:space="2" w:color="918585"/>
      </w:pBdr>
      <w:tabs>
        <w:tab w:val="left" w:pos="1021"/>
      </w:tabs>
      <w:ind w:firstLine="0"/>
    </w:pPr>
  </w:style>
  <w:style w:type="paragraph" w:customStyle="1" w:styleId="Warning">
    <w:name w:val="Warning"/>
    <w:basedOn w:val="BodyText"/>
    <w:rsid w:val="00550029"/>
    <w:pPr>
      <w:shd w:val="clear" w:color="auto" w:fill="D9D9D9"/>
      <w:tabs>
        <w:tab w:val="left" w:pos="992"/>
      </w:tabs>
      <w:ind w:left="119" w:right="119"/>
    </w:pPr>
    <w:rPr>
      <w:sz w:val="20"/>
    </w:rPr>
  </w:style>
  <w:style w:type="paragraph" w:customStyle="1" w:styleId="MarginIcons">
    <w:name w:val="Margin Icons"/>
    <w:basedOn w:val="BodyText"/>
    <w:rsid w:val="00550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029"/>
    <w:rPr>
      <w:rFonts w:ascii="Courier New" w:hAnsi="Courier New"/>
    </w:rPr>
  </w:style>
  <w:style w:type="paragraph" w:customStyle="1" w:styleId="NoteBullet">
    <w:name w:val="Note Bullet"/>
    <w:basedOn w:val="Note"/>
    <w:rsid w:val="00550029"/>
    <w:pPr>
      <w:tabs>
        <w:tab w:val="clear" w:pos="680"/>
      </w:tabs>
      <w:spacing w:before="60" w:after="60"/>
    </w:pPr>
  </w:style>
  <w:style w:type="paragraph" w:customStyle="1" w:styleId="SubHeading2">
    <w:name w:val="SubHeading2"/>
    <w:basedOn w:val="HeadingBase"/>
    <w:rsid w:val="00550029"/>
    <w:pPr>
      <w:spacing w:before="240" w:after="60"/>
    </w:pPr>
    <w:rPr>
      <w:sz w:val="20"/>
    </w:rPr>
  </w:style>
  <w:style w:type="paragraph" w:customStyle="1" w:styleId="SubHeading1">
    <w:name w:val="SubHeading1"/>
    <w:basedOn w:val="HeadingBase"/>
    <w:rsid w:val="00550029"/>
    <w:pPr>
      <w:spacing w:before="240" w:after="60"/>
    </w:pPr>
    <w:rPr>
      <w:color w:val="918585"/>
      <w:sz w:val="22"/>
    </w:rPr>
  </w:style>
  <w:style w:type="paragraph" w:customStyle="1" w:styleId="SideHeading">
    <w:name w:val="Side Heading"/>
    <w:basedOn w:val="HeadingBase"/>
    <w:rsid w:val="00550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029"/>
    <w:pPr>
      <w:numPr>
        <w:numId w:val="13"/>
      </w:numPr>
    </w:pPr>
  </w:style>
  <w:style w:type="paragraph" w:styleId="PlainText">
    <w:name w:val="Plain Text"/>
    <w:basedOn w:val="Normal"/>
    <w:link w:val="PlainTextChar"/>
    <w:rsid w:val="00550029"/>
    <w:rPr>
      <w:sz w:val="20"/>
    </w:rPr>
  </w:style>
  <w:style w:type="character" w:customStyle="1" w:styleId="PlainTextChar">
    <w:name w:val="Plain Text Char"/>
    <w:basedOn w:val="DefaultParagraphFont"/>
    <w:link w:val="PlainText"/>
    <w:rsid w:val="005500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0029"/>
    <w:rPr>
      <w:b/>
      <w:smallCaps/>
    </w:rPr>
  </w:style>
  <w:style w:type="paragraph" w:customStyle="1" w:styleId="TableListNumber">
    <w:name w:val="Table List Number"/>
    <w:basedOn w:val="ListNumber"/>
    <w:rsid w:val="00550029"/>
    <w:pPr>
      <w:numPr>
        <w:numId w:val="0"/>
      </w:numPr>
    </w:pPr>
  </w:style>
  <w:style w:type="paragraph" w:styleId="TOC4">
    <w:name w:val="toc 4"/>
    <w:basedOn w:val="TOCBase"/>
    <w:next w:val="Normal"/>
    <w:semiHidden/>
    <w:rsid w:val="00550029"/>
    <w:pPr>
      <w:tabs>
        <w:tab w:val="right" w:leader="dot" w:pos="9071"/>
      </w:tabs>
      <w:ind w:left="1701"/>
    </w:pPr>
  </w:style>
  <w:style w:type="paragraph" w:customStyle="1" w:styleId="ListAlpha">
    <w:name w:val="List Alpha"/>
    <w:basedOn w:val="List"/>
    <w:rsid w:val="00550029"/>
    <w:pPr>
      <w:numPr>
        <w:numId w:val="10"/>
      </w:numPr>
    </w:pPr>
  </w:style>
  <w:style w:type="paragraph" w:customStyle="1" w:styleId="ListAlpha2">
    <w:name w:val="List Alpha 2"/>
    <w:basedOn w:val="List2"/>
    <w:rsid w:val="00550029"/>
    <w:pPr>
      <w:numPr>
        <w:numId w:val="9"/>
      </w:numPr>
    </w:pPr>
  </w:style>
  <w:style w:type="paragraph" w:styleId="List3">
    <w:name w:val="List 3"/>
    <w:basedOn w:val="BodyText"/>
    <w:rsid w:val="00550029"/>
    <w:pPr>
      <w:tabs>
        <w:tab w:val="left" w:pos="1021"/>
      </w:tabs>
      <w:spacing w:before="60" w:after="60"/>
      <w:ind w:left="1020" w:hanging="340"/>
    </w:pPr>
  </w:style>
  <w:style w:type="paragraph" w:styleId="List4">
    <w:name w:val="List 4"/>
    <w:basedOn w:val="BodyText"/>
    <w:rsid w:val="00550029"/>
    <w:pPr>
      <w:tabs>
        <w:tab w:val="left" w:pos="1361"/>
      </w:tabs>
      <w:spacing w:before="60" w:after="60"/>
      <w:ind w:left="1361" w:hanging="340"/>
    </w:pPr>
  </w:style>
  <w:style w:type="paragraph" w:styleId="List5">
    <w:name w:val="List 5"/>
    <w:basedOn w:val="BodyText"/>
    <w:rsid w:val="00550029"/>
    <w:pPr>
      <w:tabs>
        <w:tab w:val="left" w:pos="1701"/>
      </w:tabs>
      <w:spacing w:before="60" w:after="60"/>
      <w:ind w:left="1701" w:hanging="340"/>
    </w:pPr>
  </w:style>
  <w:style w:type="paragraph" w:styleId="ListBullet4">
    <w:name w:val="List Bullet 4"/>
    <w:basedOn w:val="List4"/>
    <w:rsid w:val="00550029"/>
    <w:pPr>
      <w:numPr>
        <w:numId w:val="4"/>
      </w:numPr>
    </w:pPr>
  </w:style>
  <w:style w:type="paragraph" w:styleId="ListBullet5">
    <w:name w:val="List Bullet 5"/>
    <w:basedOn w:val="List5"/>
    <w:rsid w:val="00550029"/>
    <w:pPr>
      <w:numPr>
        <w:numId w:val="5"/>
      </w:numPr>
    </w:pPr>
  </w:style>
  <w:style w:type="paragraph" w:styleId="ListContinue2">
    <w:name w:val="List Continue 2"/>
    <w:basedOn w:val="List2"/>
    <w:rsid w:val="00550029"/>
    <w:pPr>
      <w:ind w:firstLine="0"/>
    </w:pPr>
  </w:style>
  <w:style w:type="paragraph" w:styleId="ListContinue3">
    <w:name w:val="List Continue 3"/>
    <w:basedOn w:val="List3"/>
    <w:rsid w:val="00550029"/>
    <w:pPr>
      <w:ind w:left="1021" w:firstLine="0"/>
    </w:pPr>
  </w:style>
  <w:style w:type="paragraph" w:styleId="ListContinue4">
    <w:name w:val="List Continue 4"/>
    <w:basedOn w:val="List4"/>
    <w:rsid w:val="00550029"/>
    <w:pPr>
      <w:ind w:firstLine="0"/>
    </w:pPr>
  </w:style>
  <w:style w:type="paragraph" w:styleId="ListContinue5">
    <w:name w:val="List Continue 5"/>
    <w:basedOn w:val="List5"/>
    <w:rsid w:val="00550029"/>
    <w:pPr>
      <w:ind w:firstLine="0"/>
    </w:pPr>
  </w:style>
  <w:style w:type="paragraph" w:styleId="ListNumber3">
    <w:name w:val="List Number 3"/>
    <w:basedOn w:val="List3"/>
    <w:rsid w:val="00550029"/>
    <w:pPr>
      <w:numPr>
        <w:numId w:val="6"/>
      </w:numPr>
    </w:pPr>
  </w:style>
  <w:style w:type="paragraph" w:styleId="ListNumber4">
    <w:name w:val="List Number 4"/>
    <w:basedOn w:val="List4"/>
    <w:rsid w:val="00550029"/>
    <w:pPr>
      <w:numPr>
        <w:numId w:val="7"/>
      </w:numPr>
    </w:pPr>
  </w:style>
  <w:style w:type="paragraph" w:styleId="ListNumber5">
    <w:name w:val="List Number 5"/>
    <w:basedOn w:val="List5"/>
    <w:rsid w:val="00550029"/>
    <w:pPr>
      <w:numPr>
        <w:numId w:val="8"/>
      </w:numPr>
    </w:pPr>
  </w:style>
  <w:style w:type="paragraph" w:styleId="BlockText">
    <w:name w:val="Block Text"/>
    <w:basedOn w:val="Normal"/>
    <w:rsid w:val="00550029"/>
    <w:pPr>
      <w:spacing w:after="120"/>
      <w:ind w:left="1440" w:right="1440"/>
    </w:pPr>
  </w:style>
  <w:style w:type="character" w:customStyle="1" w:styleId="Subscript">
    <w:name w:val="Subscript"/>
    <w:basedOn w:val="DefaultParagraphFont"/>
    <w:rsid w:val="00550029"/>
    <w:rPr>
      <w:sz w:val="16"/>
      <w:vertAlign w:val="subscript"/>
    </w:rPr>
  </w:style>
  <w:style w:type="character" w:customStyle="1" w:styleId="Superscript">
    <w:name w:val="Superscript"/>
    <w:basedOn w:val="DefaultParagraphFont"/>
    <w:rsid w:val="00550029"/>
    <w:rPr>
      <w:sz w:val="16"/>
      <w:vertAlign w:val="superscript"/>
    </w:rPr>
  </w:style>
  <w:style w:type="character" w:customStyle="1" w:styleId="Symbols">
    <w:name w:val="Symbols"/>
    <w:basedOn w:val="DefaultParagraphFont"/>
    <w:rsid w:val="00550029"/>
    <w:rPr>
      <w:rFonts w:ascii="Symbol" w:hAnsi="Symbol"/>
    </w:rPr>
  </w:style>
  <w:style w:type="character" w:customStyle="1" w:styleId="MenuOptions">
    <w:name w:val="Menu Options"/>
    <w:basedOn w:val="DefaultParagraphFont"/>
    <w:rsid w:val="00550029"/>
    <w:rPr>
      <w:rFonts w:ascii="Arial Narrow" w:hAnsi="Arial Narrow"/>
      <w:smallCaps/>
    </w:rPr>
  </w:style>
  <w:style w:type="character" w:customStyle="1" w:styleId="Buttons">
    <w:name w:val="Buttons"/>
    <w:basedOn w:val="DefaultParagraphFont"/>
    <w:rsid w:val="00550029"/>
    <w:rPr>
      <w:b/>
    </w:rPr>
  </w:style>
  <w:style w:type="character" w:customStyle="1" w:styleId="Underlined">
    <w:name w:val="Underlined"/>
    <w:basedOn w:val="DefaultParagraphFont"/>
    <w:rsid w:val="00550029"/>
    <w:rPr>
      <w:u w:val="single"/>
    </w:rPr>
  </w:style>
  <w:style w:type="paragraph" w:customStyle="1" w:styleId="TableBodyTextRight">
    <w:name w:val="Table Body Text Right"/>
    <w:basedOn w:val="TableBodyText"/>
    <w:rsid w:val="00550029"/>
    <w:pPr>
      <w:widowControl w:val="0"/>
      <w:autoSpaceDE w:val="0"/>
      <w:autoSpaceDN w:val="0"/>
      <w:adjustRightInd w:val="0"/>
      <w:jc w:val="right"/>
    </w:pPr>
    <w:rPr>
      <w:rFonts w:cs="Arial"/>
      <w:szCs w:val="18"/>
    </w:rPr>
  </w:style>
  <w:style w:type="paragraph" w:customStyle="1" w:styleId="CopyrightText">
    <w:name w:val="Copyright Text"/>
    <w:basedOn w:val="BodyText"/>
    <w:rsid w:val="00550029"/>
    <w:rPr>
      <w:sz w:val="18"/>
    </w:rPr>
  </w:style>
  <w:style w:type="paragraph" w:customStyle="1" w:styleId="BodySmallRight">
    <w:name w:val="Body Small Right"/>
    <w:basedOn w:val="BodyTextRight"/>
    <w:rsid w:val="00550029"/>
    <w:rPr>
      <w:sz w:val="18"/>
      <w:szCs w:val="18"/>
    </w:rPr>
  </w:style>
  <w:style w:type="paragraph" w:customStyle="1" w:styleId="MarginEdition">
    <w:name w:val="Margin Edition"/>
    <w:basedOn w:val="MarginNote"/>
    <w:rsid w:val="00550029"/>
    <w:pPr>
      <w:spacing w:before="0" w:after="0"/>
    </w:pPr>
    <w:rPr>
      <w:rFonts w:ascii="Times New Roman" w:hAnsi="Times New Roman"/>
      <w:color w:val="999999"/>
    </w:rPr>
  </w:style>
  <w:style w:type="paragraph" w:customStyle="1" w:styleId="Spacer">
    <w:name w:val="Spacer"/>
    <w:basedOn w:val="Normal"/>
    <w:rsid w:val="00550029"/>
    <w:rPr>
      <w:sz w:val="2"/>
      <w:szCs w:val="2"/>
    </w:rPr>
  </w:style>
  <w:style w:type="character" w:customStyle="1" w:styleId="Small">
    <w:name w:val="Small"/>
    <w:basedOn w:val="DefaultParagraphFont"/>
    <w:rsid w:val="00550029"/>
    <w:rPr>
      <w:sz w:val="16"/>
    </w:rPr>
  </w:style>
  <w:style w:type="paragraph" w:customStyle="1" w:styleId="WideTable">
    <w:name w:val="Wide Table"/>
    <w:basedOn w:val="Normal"/>
    <w:rsid w:val="00550029"/>
    <w:pPr>
      <w:ind w:left="-1418"/>
    </w:pPr>
    <w:rPr>
      <w:sz w:val="2"/>
      <w:szCs w:val="2"/>
    </w:rPr>
  </w:style>
  <w:style w:type="character" w:styleId="PageNumber">
    <w:name w:val="page number"/>
    <w:basedOn w:val="DefaultParagraphFont"/>
    <w:rsid w:val="00550029"/>
  </w:style>
  <w:style w:type="paragraph" w:styleId="Quote">
    <w:name w:val="Quote"/>
    <w:basedOn w:val="Heading1"/>
    <w:link w:val="QuoteChar"/>
    <w:qFormat/>
    <w:rsid w:val="00550029"/>
    <w:rPr>
      <w:b w:val="0"/>
      <w:sz w:val="72"/>
      <w:szCs w:val="72"/>
      <w:lang w:val="en-NZ"/>
    </w:rPr>
  </w:style>
  <w:style w:type="character" w:customStyle="1" w:styleId="QuoteChar">
    <w:name w:val="Quote Char"/>
    <w:basedOn w:val="DefaultParagraphFont"/>
    <w:link w:val="Quote"/>
    <w:rsid w:val="00550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029"/>
    <w:pPr>
      <w:pageBreakBefore/>
    </w:pPr>
  </w:style>
  <w:style w:type="paragraph" w:customStyle="1" w:styleId="Border">
    <w:name w:val="Border"/>
    <w:basedOn w:val="Normal"/>
    <w:qFormat/>
    <w:rsid w:val="00550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029"/>
    <w:rPr>
      <w:b/>
      <w:bCs/>
      <w:i/>
      <w:iCs/>
      <w:color w:val="auto"/>
    </w:rPr>
  </w:style>
  <w:style w:type="paragraph" w:styleId="IntenseQuote">
    <w:name w:val="Intense Quote"/>
    <w:basedOn w:val="Normal"/>
    <w:next w:val="Normal"/>
    <w:link w:val="IntenseQuoteChar"/>
    <w:uiPriority w:val="30"/>
    <w:qFormat/>
    <w:rsid w:val="00550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0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0029"/>
    <w:rPr>
      <w:smallCaps/>
      <w:color w:val="auto"/>
      <w:u w:val="single"/>
    </w:rPr>
  </w:style>
  <w:style w:type="character" w:styleId="IntenseReference">
    <w:name w:val="Intense Reference"/>
    <w:basedOn w:val="DefaultParagraphFont"/>
    <w:uiPriority w:val="32"/>
    <w:qFormat/>
    <w:rsid w:val="00550029"/>
    <w:rPr>
      <w:b/>
      <w:bCs/>
      <w:smallCaps/>
      <w:color w:val="auto"/>
      <w:spacing w:val="5"/>
      <w:u w:val="single"/>
    </w:rPr>
  </w:style>
  <w:style w:type="paragraph" w:customStyle="1" w:styleId="2ColumnHeading">
    <w:name w:val="2Column Heading"/>
    <w:basedOn w:val="BodyText"/>
    <w:qFormat/>
    <w:rsid w:val="00550029"/>
    <w:pPr>
      <w:spacing w:after="60"/>
      <w:ind w:left="-2268"/>
    </w:pPr>
    <w:rPr>
      <w:b/>
    </w:rPr>
  </w:style>
  <w:style w:type="paragraph" w:customStyle="1" w:styleId="Heading1TOC">
    <w:name w:val="Heading1 TOC"/>
    <w:basedOn w:val="Normal"/>
    <w:qFormat/>
    <w:rsid w:val="00550029"/>
    <w:pPr>
      <w:spacing w:before="240" w:after="120"/>
    </w:pPr>
    <w:rPr>
      <w:rFonts w:ascii="Times New Roman" w:hAnsi="Times New Roman"/>
      <w:b/>
      <w:sz w:val="32"/>
    </w:rPr>
  </w:style>
  <w:style w:type="paragraph" w:customStyle="1" w:styleId="Heading2TOC">
    <w:name w:val="Heading2 TOC"/>
    <w:basedOn w:val="Normal"/>
    <w:qFormat/>
    <w:rsid w:val="00550029"/>
    <w:pPr>
      <w:spacing w:before="240" w:after="60"/>
    </w:pPr>
    <w:rPr>
      <w:rFonts w:ascii="Times New Roman" w:hAnsi="Times New Roman"/>
      <w:b/>
      <w:sz w:val="28"/>
    </w:rPr>
  </w:style>
  <w:style w:type="character" w:customStyle="1" w:styleId="Underline">
    <w:name w:val="Underline"/>
    <w:basedOn w:val="DefaultParagraphFont"/>
    <w:qFormat/>
    <w:rsid w:val="00550029"/>
    <w:rPr>
      <w:u w:val="single"/>
    </w:rPr>
  </w:style>
  <w:style w:type="paragraph" w:styleId="BalloonText">
    <w:name w:val="Balloon Text"/>
    <w:basedOn w:val="Normal"/>
    <w:link w:val="BalloonTextChar"/>
    <w:rsid w:val="00550029"/>
    <w:rPr>
      <w:rFonts w:ascii="Tahoma" w:hAnsi="Tahoma" w:cs="Tahoma"/>
      <w:sz w:val="16"/>
      <w:szCs w:val="16"/>
    </w:rPr>
  </w:style>
  <w:style w:type="character" w:customStyle="1" w:styleId="BalloonTextChar">
    <w:name w:val="Balloon Text Char"/>
    <w:basedOn w:val="DefaultParagraphFont"/>
    <w:link w:val="BalloonText"/>
    <w:rsid w:val="005500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0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0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2367</Words>
  <Characters>15164</Characters>
  <Application>Microsoft Office Word</Application>
  <DocSecurity>0</DocSecurity>
  <Lines>530</Lines>
  <Paragraphs>287</Paragraphs>
  <ScaleCrop>false</ScaleCrop>
  <Company>Author-it Software Corporation Ltd.</Company>
  <LinksUpToDate>false</LinksUpToDate>
  <CharactersWithSpaces>17444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CPCCPD3028A Apply decorative paint finishes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2012-05-26T05:32:00Z</dcterms:created>
  <dcterms:modified xsi:type="dcterms:W3CDTF">2012-05-26T05:32:00Z</dcterms:modified>
</cp:coreProperties>
</file>