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E5C" w:rsidP="00E83E5C">
      <w:pPr>
        <w:pStyle w:val="Title"/>
      </w:pPr>
      <w:r>
        <w:fldChar w:fldCharType="begin"/>
      </w:r>
      <w:r>
        <w:instrText xml:space="preserve"> TITLE   \* MERGEFORMAT </w:instrText>
      </w:r>
      <w:r>
        <w:fldChar w:fldCharType="separate"/>
      </w:r>
      <w:r>
        <w:t>CPCCPD3025A Match specified paint colour</w:t>
      </w:r>
      <w:r>
        <w:fldChar w:fldCharType="end"/>
      </w:r>
    </w:p>
    <w:p w:rsidR="00E83E5C" w:rsidP="00E83E5C">
      <w:pPr>
        <w:pStyle w:val="Version"/>
        <w:sectPr w:rsidSect="004A7F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7F1C" w:rsidP="004A7F1C">
      <w:pPr>
        <w:pStyle w:val="SuperHeading"/>
      </w:pPr>
      <w:r w:rsidRPr="004A7F1C">
        <w:t>CPCCPD3025A Match specified paint colour</w:t>
      </w:r>
    </w:p>
    <w:p w:rsidR="00000000" w:rsidRPr="004A7F1C" w:rsidP="004A7F1C">
      <w:pPr>
        <w:pStyle w:val="Heading1"/>
      </w:pPr>
      <w:bookmarkStart w:id="1" w:name="O_269635"/>
      <w:bookmarkEnd w:id="1"/>
      <w:r w:rsidRPr="004A7F1C">
        <w:t>Modification History</w:t>
      </w:r>
    </w:p>
    <w:p w:rsidR="00000000" w:rsidRPr="004A7F1C" w:rsidP="004A7F1C">
      <w:pPr>
        <w:pStyle w:val="BodyText"/>
      </w:pPr>
      <w:r w:rsidRPr="004A7F1C">
        <w:t>Not Applicable</w:t>
      </w:r>
    </w:p>
    <w:p w:rsidR="00000000" w:rsidRPr="004A7F1C" w:rsidP="004A7F1C">
      <w:pPr>
        <w:pStyle w:val="AllowPageBreak"/>
      </w:pPr>
    </w:p>
    <w:p w:rsidR="00000000" w:rsidRPr="004A7F1C" w:rsidP="004A7F1C">
      <w:pPr>
        <w:pStyle w:val="Heading1"/>
      </w:pPr>
      <w:bookmarkStart w:id="2" w:name="O_198266"/>
      <w:bookmarkEnd w:id="2"/>
      <w:r w:rsidRPr="004A7F1C">
        <w:t>Unit Descriptor</w:t>
      </w:r>
    </w:p>
    <w:tbl>
      <w:tblPr>
        <w:tblW w:w="9348" w:type="dxa"/>
        <w:tblLayout w:type="fixed"/>
        <w:tblCellMar>
          <w:left w:w="62" w:type="dxa"/>
          <w:right w:w="62" w:type="dxa"/>
        </w:tblCellMar>
        <w:tblLook w:val="0000"/>
      </w:tblPr>
      <w:tblGrid>
        <w:gridCol w:w="2748"/>
        <w:gridCol w:w="6600"/>
      </w:tblGrid>
      <w:tr w:rsidTr="00E83E5C">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rPr>
                <w:rStyle w:val="SpecialBold"/>
              </w:rPr>
              <w:t>Unit descriptor</w:t>
            </w:r>
          </w:p>
        </w:tc>
        <w:tc>
          <w:tcPr>
            <w:tcW w:w="6600" w:type="dxa"/>
            <w:tcBorders>
              <w:top w:val="nil"/>
              <w:left w:val="nil"/>
              <w:bottom w:val="nil"/>
              <w:right w:val="nil"/>
            </w:tcBorders>
            <w:tcMar>
              <w:top w:w="0" w:type="dxa"/>
              <w:left w:w="62" w:type="dxa"/>
              <w:bottom w:w="0" w:type="dxa"/>
              <w:right w:w="62" w:type="dxa"/>
            </w:tcMar>
          </w:tcPr>
          <w:p w:rsidR="00000000" w:rsidRPr="004A7F1C" w:rsidP="004A7F1C">
            <w:pPr>
              <w:pStyle w:val="BodyText"/>
            </w:pPr>
            <w:r w:rsidRPr="004A7F1C">
              <w:t>This unit of competency specifies the outcomes required to colour match new and existing painting finishes.</w:t>
            </w:r>
          </w:p>
          <w:p w:rsidR="00000000" w:rsidRPr="004A7F1C" w:rsidP="004A7F1C">
            <w:pPr>
              <w:pStyle w:val="BodyText"/>
            </w:pPr>
            <w:r w:rsidRPr="004A7F1C">
              <w:t xml:space="preserve">The </w:t>
            </w:r>
            <w:r w:rsidRPr="004A7F1C">
              <w:t>unit includes planning and preparation for the work, matching of paint colour to a specified sample and completion of clean-up activities.</w:t>
            </w:r>
          </w:p>
        </w:tc>
      </w:tr>
    </w:tbl>
    <w:p w:rsidR="00E83E5C" w:rsidP="004A7F1C">
      <w:pPr>
        <w:pStyle w:val="BodyText"/>
      </w:pPr>
    </w:p>
    <w:p w:rsidR="00E83E5C" w:rsidP="004A7F1C">
      <w:pPr>
        <w:pStyle w:val="BodyText"/>
      </w:pPr>
    </w:p>
    <w:p w:rsidR="00000000" w:rsidRPr="004A7F1C" w:rsidP="004A7F1C">
      <w:pPr>
        <w:pStyle w:val="Heading1"/>
      </w:pPr>
      <w:bookmarkStart w:id="3" w:name="O_198269"/>
      <w:bookmarkEnd w:id="3"/>
      <w:r w:rsidRPr="004A7F1C">
        <w:t>Application of the Unit</w:t>
      </w:r>
    </w:p>
    <w:tbl>
      <w:tblPr>
        <w:tblW w:w="9348" w:type="dxa"/>
        <w:tblLayout w:type="fixed"/>
        <w:tblCellMar>
          <w:left w:w="62" w:type="dxa"/>
          <w:right w:w="62" w:type="dxa"/>
        </w:tblCellMar>
        <w:tblLook w:val="0000"/>
      </w:tblPr>
      <w:tblGrid>
        <w:gridCol w:w="2748"/>
        <w:gridCol w:w="6600"/>
      </w:tblGrid>
      <w:tr w:rsidTr="00E83E5C">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rPr>
                <w:rStyle w:val="SpecialBold"/>
              </w:rPr>
              <w:t>Application of the unit</w:t>
            </w:r>
          </w:p>
        </w:tc>
        <w:tc>
          <w:tcPr>
            <w:tcW w:w="6600" w:type="dxa"/>
            <w:tcBorders>
              <w:top w:val="nil"/>
              <w:left w:val="nil"/>
              <w:bottom w:val="nil"/>
              <w:right w:val="nil"/>
            </w:tcBorders>
            <w:tcMar>
              <w:top w:w="0" w:type="dxa"/>
              <w:left w:w="62" w:type="dxa"/>
              <w:bottom w:w="0" w:type="dxa"/>
              <w:right w:w="62" w:type="dxa"/>
            </w:tcMar>
          </w:tcPr>
          <w:p w:rsidR="00000000" w:rsidRPr="004A7F1C" w:rsidP="004A7F1C">
            <w:pPr>
              <w:pStyle w:val="BodyText"/>
            </w:pPr>
            <w:r w:rsidRPr="004A7F1C">
              <w:t>This unit of competency supports the attainment of the understanding and skills to match paint, which may include working with others and as a member of a team.</w:t>
            </w:r>
          </w:p>
        </w:tc>
      </w:tr>
    </w:tbl>
    <w:p w:rsidR="00E83E5C" w:rsidP="004A7F1C">
      <w:pPr>
        <w:pStyle w:val="BodyText"/>
      </w:pPr>
    </w:p>
    <w:p w:rsidR="00E83E5C" w:rsidP="004A7F1C">
      <w:pPr>
        <w:pStyle w:val="BodyText"/>
      </w:pPr>
    </w:p>
    <w:p w:rsidR="00000000" w:rsidRPr="004A7F1C" w:rsidP="004A7F1C">
      <w:pPr>
        <w:pStyle w:val="Heading1"/>
      </w:pPr>
      <w:bookmarkStart w:id="4" w:name="O_277895"/>
      <w:bookmarkEnd w:id="4"/>
      <w:r w:rsidRPr="004A7F1C">
        <w:t>Licensing/Regulatory Information</w:t>
      </w:r>
    </w:p>
    <w:p w:rsidR="00000000" w:rsidRPr="004A7F1C" w:rsidP="004A7F1C">
      <w:pPr>
        <w:pStyle w:val="BodyText"/>
      </w:pPr>
      <w:r w:rsidRPr="004A7F1C">
        <w:t>Not Applicable</w:t>
      </w:r>
    </w:p>
    <w:p w:rsidR="00000000" w:rsidRPr="004A7F1C" w:rsidP="004A7F1C">
      <w:pPr>
        <w:pStyle w:val="AllowPageBreak"/>
      </w:pPr>
    </w:p>
    <w:p w:rsidR="00000000" w:rsidRPr="004A7F1C" w:rsidP="004A7F1C">
      <w:pPr>
        <w:pStyle w:val="Heading1"/>
      </w:pPr>
      <w:bookmarkStart w:id="5" w:name="O_198268"/>
      <w:bookmarkEnd w:id="5"/>
      <w:r w:rsidRPr="004A7F1C">
        <w:t>Pre-Requisites</w:t>
      </w:r>
    </w:p>
    <w:tbl>
      <w:tblPr>
        <w:tblW w:w="9348" w:type="dxa"/>
        <w:tblLayout w:type="fixed"/>
        <w:tblCellMar>
          <w:left w:w="62" w:type="dxa"/>
          <w:right w:w="62" w:type="dxa"/>
        </w:tblCellMar>
        <w:tblLook w:val="0000"/>
      </w:tblPr>
      <w:tblGrid>
        <w:gridCol w:w="2692"/>
        <w:gridCol w:w="2527"/>
        <w:gridCol w:w="4129"/>
      </w:tblGrid>
      <w:tr w:rsidTr="00E83E5C">
        <w:tblPrEx>
          <w:tblW w:w="9348" w:type="dxa"/>
          <w:tblLayout w:type="fixed"/>
          <w:tblCellMar>
            <w:left w:w="62" w:type="dxa"/>
            <w:right w:w="62" w:type="dxa"/>
          </w:tblCellMar>
          <w:tblLook w:val="0000"/>
        </w:tblPrEx>
        <w:trPr>
          <w:tblHeader/>
        </w:trPr>
        <w:tc>
          <w:tcPr>
            <w:tcW w:w="2692"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rPr>
                <w:rStyle w:val="SpecialBold"/>
              </w:rPr>
              <w:t>Prerequisite units</w:t>
            </w:r>
          </w:p>
        </w:tc>
        <w:tc>
          <w:tcPr>
            <w:tcW w:w="6656" w:type="dxa"/>
            <w:gridSpan w:val="2"/>
            <w:tcBorders>
              <w:top w:val="nil"/>
              <w:left w:val="nil"/>
              <w:bottom w:val="nil"/>
              <w:right w:val="nil"/>
            </w:tcBorders>
            <w:tcMar>
              <w:top w:w="0" w:type="dxa"/>
              <w:left w:w="62" w:type="dxa"/>
              <w:bottom w:w="0" w:type="dxa"/>
              <w:right w:w="62" w:type="dxa"/>
            </w:tcMar>
          </w:tcPr>
          <w:p w:rsidR="00000000" w:rsidP="004A7F1C">
            <w:pPr>
              <w:pStyle w:val="BodyText"/>
              <w:rPr>
                <w:lang w:val="en-NZ"/>
              </w:rPr>
            </w:pPr>
          </w:p>
        </w:tc>
      </w:tr>
      <w:tr w:rsidTr="00E83E5C">
        <w:tblPrEx>
          <w:tblW w:w="9348" w:type="dxa"/>
          <w:tblLayout w:type="fixed"/>
          <w:tblCellMar>
            <w:left w:w="62" w:type="dxa"/>
            <w:right w:w="62" w:type="dxa"/>
          </w:tblCellMar>
          <w:tblLook w:val="0000"/>
        </w:tblPrEx>
        <w:tc>
          <w:tcPr>
            <w:tcW w:w="26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t>CPCCOHS2001A</w:t>
            </w:r>
          </w:p>
        </w:tc>
        <w:tc>
          <w:tcPr>
            <w:tcW w:w="4129"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t>Apply OHS requirements, policies and procedures in the construction industry</w:t>
            </w:r>
          </w:p>
        </w:tc>
      </w:tr>
      <w:tr w:rsidTr="00E83E5C">
        <w:tblPrEx>
          <w:tblW w:w="9348" w:type="dxa"/>
          <w:tblLayout w:type="fixed"/>
          <w:tblCellMar>
            <w:left w:w="62" w:type="dxa"/>
            <w:right w:w="62" w:type="dxa"/>
          </w:tblCellMar>
          <w:tblLook w:val="0000"/>
        </w:tblPrEx>
        <w:tc>
          <w:tcPr>
            <w:tcW w:w="26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9" w:type="dxa"/>
            <w:tcBorders>
              <w:top w:val="nil"/>
              <w:left w:val="nil"/>
              <w:bottom w:val="nil"/>
              <w:right w:val="nil"/>
            </w:tcBorders>
            <w:tcMar>
              <w:top w:w="0" w:type="dxa"/>
              <w:left w:w="62" w:type="dxa"/>
              <w:bottom w:w="0" w:type="dxa"/>
              <w:right w:w="62" w:type="dxa"/>
            </w:tcMar>
          </w:tcPr>
          <w:p w:rsidR="00000000" w:rsidRPr="004A7F1C" w:rsidP="004A7F1C">
            <w:pPr>
              <w:pStyle w:val="BodyText"/>
            </w:pPr>
          </w:p>
        </w:tc>
      </w:tr>
    </w:tbl>
    <w:p w:rsidR="00E83E5C" w:rsidP="004A7F1C">
      <w:pPr>
        <w:pStyle w:val="BodyText"/>
      </w:pPr>
    </w:p>
    <w:p w:rsidR="00E83E5C" w:rsidP="004A7F1C">
      <w:pPr>
        <w:pStyle w:val="BodyText"/>
      </w:pPr>
    </w:p>
    <w:p w:rsidR="00000000" w:rsidRPr="004A7F1C" w:rsidP="004A7F1C">
      <w:pPr>
        <w:pStyle w:val="Heading1"/>
      </w:pPr>
      <w:bookmarkStart w:id="6" w:name="O_198267"/>
      <w:bookmarkEnd w:id="6"/>
      <w:r w:rsidRPr="004A7F1C">
        <w:t>Employability Skills Information</w:t>
      </w:r>
    </w:p>
    <w:tbl>
      <w:tblPr>
        <w:tblW w:w="9348" w:type="dxa"/>
        <w:tblLayout w:type="fixed"/>
        <w:tblCellMar>
          <w:left w:w="62" w:type="dxa"/>
          <w:right w:w="62" w:type="dxa"/>
        </w:tblCellMar>
        <w:tblLook w:val="0000"/>
      </w:tblPr>
      <w:tblGrid>
        <w:gridCol w:w="2748"/>
        <w:gridCol w:w="6600"/>
      </w:tblGrid>
      <w:tr w:rsidTr="00E83E5C">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rPr>
                <w:rStyle w:val="SpecialBold"/>
              </w:rPr>
              <w:t>Employability skills</w:t>
            </w:r>
          </w:p>
        </w:tc>
        <w:tc>
          <w:tcPr>
            <w:tcW w:w="6600" w:type="dxa"/>
            <w:tcBorders>
              <w:top w:val="nil"/>
              <w:left w:val="nil"/>
              <w:bottom w:val="nil"/>
              <w:right w:val="nil"/>
            </w:tcBorders>
            <w:tcMar>
              <w:top w:w="0" w:type="dxa"/>
              <w:left w:w="62" w:type="dxa"/>
              <w:bottom w:w="0" w:type="dxa"/>
              <w:right w:w="62" w:type="dxa"/>
            </w:tcMar>
          </w:tcPr>
          <w:p w:rsidR="00000000" w:rsidRPr="004A7F1C" w:rsidP="004A7F1C">
            <w:pPr>
              <w:pStyle w:val="BodyText"/>
            </w:pPr>
            <w:r w:rsidRPr="004A7F1C">
              <w:t>This unit contains employability skills.</w:t>
            </w:r>
          </w:p>
        </w:tc>
      </w:tr>
    </w:tbl>
    <w:p w:rsidR="00E83E5C" w:rsidP="004A7F1C">
      <w:pPr>
        <w:pStyle w:val="BodyText"/>
      </w:pPr>
    </w:p>
    <w:p w:rsidR="00E83E5C" w:rsidP="004A7F1C">
      <w:pPr>
        <w:pStyle w:val="BodyText"/>
      </w:pPr>
    </w:p>
    <w:p w:rsidR="00000000" w:rsidRPr="004A7F1C" w:rsidP="004A7F1C">
      <w:pPr>
        <w:pStyle w:val="Heading1"/>
      </w:pPr>
      <w:bookmarkStart w:id="7" w:name="O_287681"/>
      <w:bookmarkEnd w:id="7"/>
      <w:r w:rsidRPr="004A7F1C">
        <w:t>Elements and Performance Criteria Pre-Content</w:t>
      </w:r>
    </w:p>
    <w:tbl>
      <w:tblPr>
        <w:tblW w:w="0" w:type="auto"/>
        <w:tblLayout w:type="fixed"/>
        <w:tblCellMar>
          <w:left w:w="62" w:type="dxa"/>
          <w:right w:w="62" w:type="dxa"/>
        </w:tblCellMar>
        <w:tblLook w:val="0000"/>
      </w:tblPr>
      <w:tblGrid>
        <w:gridCol w:w="2567"/>
        <w:gridCol w:w="5955"/>
      </w:tblGrid>
      <w:tr w:rsidTr="00E83E5C">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A7F1C">
            <w:pPr>
              <w:pStyle w:val="BodyText"/>
              <w:rPr>
                <w:lang w:val="en-NZ"/>
              </w:rPr>
            </w:pPr>
            <w:r w:rsidRPr="004A7F1C">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A7F1C" w:rsidP="004A7F1C">
            <w:pPr>
              <w:pStyle w:val="BodyText"/>
            </w:pPr>
            <w:r w:rsidRPr="004A7F1C">
              <w:t>Performance criteria describe the performance needed to demonstrate achievement of the element. Where bold italicised text is us</w:t>
            </w:r>
            <w:r w:rsidRPr="004A7F1C">
              <w:t>ed, further information is detailed in the required skills and knowledge section and the range statement. Assessment of performance is to be consistent with the evidence guide.</w:t>
            </w:r>
          </w:p>
        </w:tc>
      </w:tr>
    </w:tbl>
    <w:p w:rsidR="00000000" w:rsidRPr="004A7F1C" w:rsidP="004A7F1C">
      <w:pPr>
        <w:pStyle w:val="BodyText"/>
      </w:pPr>
    </w:p>
    <w:p w:rsidR="00000000" w:rsidRPr="004A7F1C" w:rsidP="004A7F1C">
      <w:pPr>
        <w:pStyle w:val="AllowPageBreak"/>
      </w:pPr>
    </w:p>
    <w:p w:rsidR="00000000" w:rsidRPr="004A7F1C" w:rsidP="004A7F1C">
      <w:pPr>
        <w:pStyle w:val="Heading1"/>
      </w:pPr>
      <w:bookmarkStart w:id="8" w:name="O_234348"/>
      <w:bookmarkEnd w:id="8"/>
      <w:r w:rsidRPr="004A7F1C">
        <w:t>Elements and Performance Criteria</w:t>
      </w:r>
    </w:p>
    <w:tbl>
      <w:tblPr>
        <w:tblW w:w="0" w:type="auto"/>
        <w:tblLayout w:type="fixed"/>
        <w:tblCellMar>
          <w:left w:w="62" w:type="dxa"/>
          <w:right w:w="62" w:type="dxa"/>
        </w:tblCellMar>
        <w:tblLook w:val="0000"/>
      </w:tblPr>
      <w:tblGrid>
        <w:gridCol w:w="2567"/>
        <w:gridCol w:w="5955"/>
      </w:tblGrid>
      <w:tr w:rsidTr="00E83E5C">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A7F1C" w:rsidP="004A7F1C">
            <w:pPr>
              <w:pStyle w:val="BodyText"/>
            </w:pPr>
            <w:r w:rsidRPr="004A7F1C">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A7F1C">
            <w:pPr>
              <w:pStyle w:val="BodyText"/>
              <w:rPr>
                <w:lang w:val="en-NZ"/>
              </w:rPr>
            </w:pPr>
            <w:r w:rsidRPr="004A7F1C">
              <w:rPr>
                <w:rStyle w:val="SpecialBold"/>
              </w:rPr>
              <w:t>PERFORMANCE CRITER</w:t>
            </w:r>
            <w:r w:rsidRPr="004A7F1C">
              <w:rPr>
                <w:rStyle w:val="SpecialBold"/>
              </w:rPr>
              <w:t>IA</w:t>
            </w:r>
          </w:p>
        </w:tc>
      </w:tr>
      <w:tr w:rsidTr="00E83E5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A7F1C">
            <w:pPr>
              <w:pStyle w:val="List"/>
              <w:rPr>
                <w:lang w:val="en-NZ"/>
              </w:rPr>
            </w:pPr>
            <w:r w:rsidRPr="004A7F1C">
              <w:t>1.</w:t>
            </w:r>
            <w:r w:rsidRPr="004A7F1C">
              <w:tab/>
              <w:t>Plan and prepare.</w:t>
            </w:r>
          </w:p>
        </w:tc>
        <w:tc>
          <w:tcPr>
            <w:tcW w:w="5955" w:type="dxa"/>
            <w:tcBorders>
              <w:top w:val="nil"/>
              <w:left w:val="nil"/>
              <w:bottom w:val="nil"/>
              <w:right w:val="nil"/>
            </w:tcBorders>
            <w:tcMar>
              <w:top w:w="0" w:type="dxa"/>
              <w:left w:w="62" w:type="dxa"/>
              <w:bottom w:w="0" w:type="dxa"/>
              <w:right w:w="62" w:type="dxa"/>
            </w:tcMar>
          </w:tcPr>
          <w:p w:rsidR="00000000" w:rsidRPr="004A7F1C" w:rsidP="004A7F1C">
            <w:pPr>
              <w:pStyle w:val="List2"/>
            </w:pPr>
            <w:r w:rsidRPr="004A7F1C">
              <w:t>1.1.</w:t>
            </w:r>
            <w:r w:rsidRPr="004A7F1C">
              <w:tab/>
              <w:t xml:space="preserve">Work instructions and operational details are obtained using relevant </w:t>
            </w:r>
            <w:r w:rsidRPr="004A7F1C">
              <w:rPr>
                <w:rStyle w:val="BoldandItalics"/>
              </w:rPr>
              <w:t>information</w:t>
            </w:r>
            <w:r w:rsidRPr="004A7F1C">
              <w:t xml:space="preserve">, confirmed and applied for </w:t>
            </w:r>
            <w:r w:rsidRPr="004A7F1C">
              <w:rPr>
                <w:rStyle w:val="BoldandItalics"/>
              </w:rPr>
              <w:t>planning and preparation</w:t>
            </w:r>
            <w:r w:rsidRPr="004A7F1C">
              <w:t xml:space="preserve"> purposes. </w:t>
            </w:r>
          </w:p>
          <w:p w:rsidR="00000000" w:rsidRPr="004A7F1C" w:rsidP="004A7F1C">
            <w:pPr>
              <w:pStyle w:val="List2"/>
            </w:pPr>
            <w:r w:rsidRPr="004A7F1C">
              <w:t>1.2.</w:t>
            </w:r>
            <w:r w:rsidRPr="004A7F1C">
              <w:tab/>
            </w:r>
            <w:r w:rsidRPr="004A7F1C">
              <w:rPr>
                <w:rStyle w:val="BoldandItalics"/>
              </w:rPr>
              <w:t>Safety</w:t>
            </w:r>
            <w:r w:rsidRPr="004A7F1C">
              <w:t xml:space="preserve"> (</w:t>
            </w:r>
            <w:r w:rsidRPr="004A7F1C">
              <w:rPr>
                <w:rStyle w:val="BoldandItalics"/>
              </w:rPr>
              <w:t>OHS</w:t>
            </w:r>
            <w:r w:rsidRPr="004A7F1C">
              <w:t xml:space="preserve">) requirements are followed in accordance with safety plans and policies. </w:t>
            </w:r>
          </w:p>
          <w:p w:rsidR="00000000" w:rsidRPr="004A7F1C" w:rsidP="004A7F1C">
            <w:pPr>
              <w:pStyle w:val="List2"/>
            </w:pPr>
            <w:r w:rsidRPr="004A7F1C">
              <w:t>1.3.</w:t>
            </w:r>
            <w:r w:rsidRPr="004A7F1C">
              <w:tab/>
              <w:t>Signage and barricade requirements are identified and implemented.</w:t>
            </w:r>
          </w:p>
          <w:p w:rsidR="00000000" w:rsidRPr="004A7F1C" w:rsidP="004A7F1C">
            <w:pPr>
              <w:pStyle w:val="List2"/>
            </w:pPr>
            <w:r w:rsidRPr="004A7F1C">
              <w:t>1.4.</w:t>
            </w:r>
            <w:r w:rsidRPr="004A7F1C">
              <w:tab/>
            </w:r>
            <w:r w:rsidRPr="004A7F1C">
              <w:rPr>
                <w:rStyle w:val="BoldandItalics"/>
              </w:rPr>
              <w:t>Tools and equipment</w:t>
            </w:r>
            <w:r w:rsidRPr="004A7F1C">
              <w:t xml:space="preserve"> are selected to carry out tasks are consistent with the requirements of the job, che</w:t>
            </w:r>
            <w:r w:rsidRPr="004A7F1C">
              <w:t xml:space="preserve">cked for serviceability and any faults are rectified or reported prior to commencement. </w:t>
            </w:r>
          </w:p>
          <w:p w:rsidR="00000000" w:rsidRPr="004A7F1C" w:rsidP="004A7F1C">
            <w:pPr>
              <w:pStyle w:val="List2"/>
            </w:pPr>
            <w:r w:rsidRPr="004A7F1C">
              <w:t>1.5.</w:t>
            </w:r>
            <w:r w:rsidRPr="004A7F1C">
              <w:tab/>
              <w:t xml:space="preserve">Materials quantity requirements are calculated in accordance with plans, specifications and </w:t>
            </w:r>
            <w:r w:rsidRPr="004A7F1C">
              <w:rPr>
                <w:rStyle w:val="BoldandItalics"/>
              </w:rPr>
              <w:t>quality requirements</w:t>
            </w:r>
            <w:r w:rsidRPr="004A7F1C">
              <w:t xml:space="preserve">. </w:t>
            </w:r>
          </w:p>
          <w:p w:rsidR="00000000" w:rsidRPr="004A7F1C" w:rsidP="004A7F1C">
            <w:pPr>
              <w:pStyle w:val="List2"/>
            </w:pPr>
            <w:r w:rsidRPr="004A7F1C">
              <w:t>1.6.</w:t>
            </w:r>
            <w:r w:rsidRPr="004A7F1C">
              <w:tab/>
              <w:t>Materials appropriate to the work applicat</w:t>
            </w:r>
            <w:r w:rsidRPr="004A7F1C">
              <w:t>ion are identified, obtained, prepared, safely handled and located ready for use.</w:t>
            </w:r>
          </w:p>
          <w:p w:rsidR="00000000" w:rsidP="004A7F1C">
            <w:pPr>
              <w:pStyle w:val="List2"/>
              <w:rPr>
                <w:lang w:val="en-NZ"/>
              </w:rPr>
            </w:pPr>
            <w:r w:rsidRPr="004A7F1C">
              <w:t>1.7.</w:t>
            </w:r>
            <w:r w:rsidRPr="004A7F1C">
              <w:tab/>
            </w:r>
            <w:r w:rsidRPr="004A7F1C">
              <w:rPr>
                <w:rStyle w:val="BoldandItalics"/>
              </w:rPr>
              <w:t>Environmental requirements</w:t>
            </w:r>
            <w:r w:rsidRPr="004A7F1C">
              <w:t xml:space="preserve"> are identified for the project in accordance with environmental plans and regulatory obligations and applied. </w:t>
            </w:r>
          </w:p>
        </w:tc>
      </w:tr>
      <w:tr w:rsidTr="00E83E5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A7F1C">
            <w:pPr>
              <w:pStyle w:val="List"/>
              <w:rPr>
                <w:lang w:val="en-NZ"/>
              </w:rPr>
            </w:pPr>
            <w:r w:rsidRPr="004A7F1C">
              <w:t>2.</w:t>
            </w:r>
            <w:r w:rsidRPr="004A7F1C">
              <w:tab/>
              <w:t>Match paint colour to speci</w:t>
            </w:r>
            <w:r w:rsidRPr="004A7F1C">
              <w:t>fied sample.</w:t>
            </w:r>
          </w:p>
        </w:tc>
        <w:tc>
          <w:tcPr>
            <w:tcW w:w="5955" w:type="dxa"/>
            <w:tcBorders>
              <w:top w:val="nil"/>
              <w:left w:val="nil"/>
              <w:bottom w:val="nil"/>
              <w:right w:val="nil"/>
            </w:tcBorders>
            <w:tcMar>
              <w:top w:w="0" w:type="dxa"/>
              <w:left w:w="62" w:type="dxa"/>
              <w:bottom w:w="0" w:type="dxa"/>
              <w:right w:w="62" w:type="dxa"/>
            </w:tcMar>
          </w:tcPr>
          <w:p w:rsidR="00000000" w:rsidRPr="004A7F1C" w:rsidP="004A7F1C">
            <w:pPr>
              <w:pStyle w:val="List2"/>
            </w:pPr>
            <w:r w:rsidRPr="004A7F1C">
              <w:t>2.1.</w:t>
            </w:r>
            <w:r w:rsidRPr="004A7F1C">
              <w:tab/>
              <w:t>Base colour is identified from analysis of sample.</w:t>
            </w:r>
          </w:p>
          <w:p w:rsidR="00000000" w:rsidRPr="004A7F1C" w:rsidP="004A7F1C">
            <w:pPr>
              <w:pStyle w:val="List2"/>
            </w:pPr>
            <w:r w:rsidRPr="004A7F1C">
              <w:t>2.2.</w:t>
            </w:r>
            <w:r w:rsidRPr="004A7F1C">
              <w:tab/>
            </w:r>
            <w:r w:rsidRPr="004A7F1C">
              <w:rPr>
                <w:rStyle w:val="BoldandItalics"/>
              </w:rPr>
              <w:t>Paint</w:t>
            </w:r>
            <w:r w:rsidRPr="004A7F1C">
              <w:t xml:space="preserve"> type, tint base and sheen level of </w:t>
            </w:r>
            <w:r w:rsidRPr="004A7F1C">
              <w:rPr>
                <w:rStyle w:val="BoldandItalics"/>
              </w:rPr>
              <w:t>sample</w:t>
            </w:r>
            <w:r w:rsidRPr="004A7F1C">
              <w:t xml:space="preserve"> are established in accordance with manufacturer recommendations and specifications. </w:t>
            </w:r>
          </w:p>
          <w:p w:rsidR="00000000" w:rsidRPr="004A7F1C" w:rsidP="004A7F1C">
            <w:pPr>
              <w:pStyle w:val="List2"/>
            </w:pPr>
            <w:r w:rsidRPr="004A7F1C">
              <w:t>2.3.</w:t>
            </w:r>
            <w:r w:rsidRPr="004A7F1C">
              <w:tab/>
              <w:t>Colorants are selected as suitable for colou</w:t>
            </w:r>
            <w:r w:rsidRPr="004A7F1C">
              <w:t>r match.</w:t>
            </w:r>
          </w:p>
          <w:p w:rsidR="00000000" w:rsidRPr="004A7F1C" w:rsidP="004A7F1C">
            <w:pPr>
              <w:pStyle w:val="List2"/>
            </w:pPr>
            <w:r w:rsidRPr="004A7F1C">
              <w:t>2.4.</w:t>
            </w:r>
            <w:r w:rsidRPr="004A7F1C">
              <w:tab/>
              <w:t>Colour is mixed and matched against sample and allowed to dry to establish accuracy of colour match.</w:t>
            </w:r>
          </w:p>
          <w:p w:rsidR="00000000" w:rsidP="004A7F1C">
            <w:pPr>
              <w:pStyle w:val="List2"/>
              <w:rPr>
                <w:lang w:val="en-NZ"/>
              </w:rPr>
            </w:pPr>
            <w:r w:rsidRPr="004A7F1C">
              <w:t>2.5.</w:t>
            </w:r>
            <w:r w:rsidRPr="004A7F1C">
              <w:tab/>
              <w:t>Full quantity of paint is mixed and colour match is retested prior to application in accordance with specifications.</w:t>
            </w:r>
          </w:p>
        </w:tc>
      </w:tr>
      <w:tr w:rsidTr="00E83E5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A7F1C">
            <w:pPr>
              <w:pStyle w:val="List"/>
              <w:rPr>
                <w:lang w:val="en-NZ"/>
              </w:rPr>
            </w:pPr>
            <w:r w:rsidRPr="004A7F1C">
              <w:t>3.</w:t>
            </w:r>
            <w:r w:rsidRPr="004A7F1C">
              <w:tab/>
              <w:t>Clean up.</w:t>
            </w:r>
          </w:p>
        </w:tc>
        <w:tc>
          <w:tcPr>
            <w:tcW w:w="5955" w:type="dxa"/>
            <w:tcBorders>
              <w:top w:val="nil"/>
              <w:left w:val="nil"/>
              <w:bottom w:val="nil"/>
              <w:right w:val="nil"/>
            </w:tcBorders>
            <w:tcMar>
              <w:top w:w="0" w:type="dxa"/>
              <w:left w:w="62" w:type="dxa"/>
              <w:bottom w:w="0" w:type="dxa"/>
              <w:right w:w="62" w:type="dxa"/>
            </w:tcMar>
          </w:tcPr>
          <w:p w:rsidR="00000000" w:rsidRPr="004A7F1C" w:rsidP="004A7F1C">
            <w:pPr>
              <w:pStyle w:val="List2"/>
            </w:pPr>
            <w:r w:rsidRPr="004A7F1C">
              <w:t>3.1.</w:t>
            </w:r>
            <w:r w:rsidRPr="004A7F1C">
              <w:tab/>
            </w:r>
            <w:r w:rsidRPr="004A7F1C">
              <w:t>Work area is cleared and materials disposed of, reused or recycled in accordance with legislation, regulations, codes of practice and job specification.</w:t>
            </w:r>
          </w:p>
          <w:p w:rsidR="00000000" w:rsidRPr="004A7F1C" w:rsidP="004A7F1C">
            <w:pPr>
              <w:pStyle w:val="List2"/>
            </w:pPr>
            <w:r w:rsidRPr="004A7F1C">
              <w:t>3.2.</w:t>
            </w:r>
            <w:r w:rsidRPr="004A7F1C">
              <w:tab/>
              <w:t>Machinery, tools and equipment are cleaned, checked, maintained and stored in accordance with manu</w:t>
            </w:r>
            <w:r w:rsidRPr="004A7F1C">
              <w:t>facturer recommendations and standard work practices.</w:t>
            </w:r>
          </w:p>
        </w:tc>
      </w:tr>
    </w:tbl>
    <w:p w:rsidR="00E83E5C" w:rsidP="004A7F1C">
      <w:pPr>
        <w:pStyle w:val="BodyText"/>
      </w:pPr>
    </w:p>
    <w:p w:rsidR="00E83E5C" w:rsidP="004A7F1C">
      <w:pPr>
        <w:pStyle w:val="BodyText"/>
      </w:pPr>
    </w:p>
    <w:p w:rsidR="00000000" w:rsidRPr="004A7F1C" w:rsidP="004A7F1C">
      <w:pPr>
        <w:pStyle w:val="Heading1"/>
      </w:pPr>
      <w:bookmarkStart w:id="9" w:name="O_258298"/>
      <w:bookmarkEnd w:id="9"/>
      <w:r w:rsidRPr="004A7F1C">
        <w:t>Required Skills and Knowledge</w:t>
      </w:r>
    </w:p>
    <w:tbl>
      <w:tblPr>
        <w:tblW w:w="0" w:type="auto"/>
        <w:tblLayout w:type="fixed"/>
        <w:tblCellMar>
          <w:left w:w="62" w:type="dxa"/>
          <w:right w:w="62" w:type="dxa"/>
        </w:tblCellMar>
        <w:tblLook w:val="0000"/>
      </w:tblPr>
      <w:tblGrid>
        <w:gridCol w:w="8522"/>
      </w:tblGrid>
      <w:tr w:rsidTr="00E83E5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rPr>
                <w:rStyle w:val="SpecialBold"/>
              </w:rPr>
              <w:t>REQUIRED SKILLS AND KNOWLEDGE</w:t>
            </w:r>
          </w:p>
        </w:tc>
      </w:tr>
      <w:tr w:rsidTr="00E83E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t>This section describes the skills and knowledge required for this unit.</w:t>
            </w:r>
          </w:p>
        </w:tc>
      </w:tr>
      <w:tr w:rsidTr="00E83E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rPr>
                <w:rStyle w:val="SpecialBold"/>
              </w:rPr>
              <w:t>Required skills</w:t>
            </w:r>
          </w:p>
        </w:tc>
      </w:tr>
      <w:tr w:rsidTr="00E83E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A7F1C" w:rsidP="004A7F1C">
            <w:pPr>
              <w:pStyle w:val="BodyText"/>
            </w:pPr>
            <w:r w:rsidRPr="004A7F1C">
              <w:t>Required skills for this unit are:</w:t>
            </w:r>
          </w:p>
          <w:p w:rsidR="00000000" w:rsidRPr="004A7F1C" w:rsidP="004A7F1C">
            <w:pPr>
              <w:pStyle w:val="ListBullet"/>
            </w:pPr>
            <w:r w:rsidRPr="004A7F1C">
              <w:t>communication skills to:</w:t>
            </w:r>
          </w:p>
          <w:p w:rsidR="00000000" w:rsidRPr="004A7F1C" w:rsidP="004A7F1C">
            <w:pPr>
              <w:pStyle w:val="ListBullet2"/>
            </w:pPr>
            <w:r w:rsidRPr="004A7F1C">
              <w:t>determine requirements</w:t>
            </w:r>
          </w:p>
          <w:p w:rsidR="00000000" w:rsidRPr="004A7F1C" w:rsidP="004A7F1C">
            <w:pPr>
              <w:pStyle w:val="ListBullet2"/>
            </w:pPr>
            <w:r w:rsidRPr="004A7F1C">
              <w:t>enable clear and direct communication, using questioning to identify and confirm requirements, share information, listen and understand</w:t>
            </w:r>
          </w:p>
          <w:p w:rsidR="00000000" w:rsidRPr="004A7F1C" w:rsidP="004A7F1C">
            <w:pPr>
              <w:pStyle w:val="ListBullet2"/>
            </w:pPr>
            <w:r w:rsidRPr="004A7F1C">
              <w:t>follow instructions</w:t>
            </w:r>
          </w:p>
          <w:p w:rsidR="00000000" w:rsidRPr="004A7F1C" w:rsidP="004A7F1C">
            <w:pPr>
              <w:pStyle w:val="ListBullet2"/>
            </w:pPr>
            <w:r w:rsidRPr="004A7F1C">
              <w:t>read and interpret:</w:t>
            </w:r>
          </w:p>
          <w:p w:rsidR="00000000" w:rsidRPr="004A7F1C" w:rsidP="004A7F1C">
            <w:pPr>
              <w:pStyle w:val="ListBullet3"/>
            </w:pPr>
            <w:r w:rsidRPr="004A7F1C">
              <w:t>documentation from a variety of sources</w:t>
            </w:r>
          </w:p>
          <w:p w:rsidR="00000000" w:rsidRPr="004A7F1C" w:rsidP="004A7F1C">
            <w:pPr>
              <w:pStyle w:val="ListBullet3"/>
            </w:pPr>
            <w:r w:rsidRPr="004A7F1C">
              <w:t>drawings and specifications</w:t>
            </w:r>
          </w:p>
          <w:p w:rsidR="00000000" w:rsidRPr="004A7F1C" w:rsidP="004A7F1C">
            <w:pPr>
              <w:pStyle w:val="ListBullet2"/>
            </w:pPr>
            <w:r w:rsidRPr="004A7F1C">
              <w:t>report faults</w:t>
            </w:r>
          </w:p>
          <w:p w:rsidR="00000000" w:rsidRPr="004A7F1C" w:rsidP="004A7F1C">
            <w:pPr>
              <w:pStyle w:val="ListBullet2"/>
            </w:pPr>
            <w:r w:rsidRPr="004A7F1C">
              <w:t>use language and concepts appropriate to cultural differences</w:t>
            </w:r>
          </w:p>
          <w:p w:rsidR="00000000" w:rsidRPr="004A7F1C" w:rsidP="004A7F1C">
            <w:pPr>
              <w:pStyle w:val="ListBullet2"/>
            </w:pPr>
            <w:r w:rsidRPr="004A7F1C">
              <w:t>use and interpret non-verbal communication, such as hand signals</w:t>
            </w:r>
          </w:p>
          <w:p w:rsidR="00000000" w:rsidRPr="004A7F1C" w:rsidP="004A7F1C">
            <w:pPr>
              <w:pStyle w:val="ListBullet"/>
            </w:pPr>
            <w:r w:rsidRPr="004A7F1C">
              <w:t>evaluating own actions and making judgments about performance and necessary improvements</w:t>
            </w:r>
          </w:p>
          <w:p w:rsidR="00000000" w:rsidRPr="004A7F1C" w:rsidP="004A7F1C">
            <w:pPr>
              <w:pStyle w:val="ListBullet"/>
            </w:pPr>
            <w:r w:rsidRPr="004A7F1C">
              <w:t>identifying and accurately reporting to appropriate personnel any faults in tools, equipment or materials</w:t>
            </w:r>
          </w:p>
          <w:p w:rsidR="00000000" w:rsidRPr="004A7F1C" w:rsidP="004A7F1C">
            <w:pPr>
              <w:pStyle w:val="ListBullet"/>
            </w:pPr>
            <w:r w:rsidRPr="004A7F1C">
              <w:t>organisational skills, including the ability to plan and set out work</w:t>
            </w:r>
          </w:p>
          <w:p w:rsidR="00000000" w:rsidRPr="004A7F1C" w:rsidP="004A7F1C">
            <w:pPr>
              <w:pStyle w:val="ListBullet"/>
            </w:pPr>
            <w:r w:rsidRPr="004A7F1C">
              <w:t>recognising procedures, following instructions, responding to change and contributing to workplace responsibilities, such as current work site environmental and sustainability frameworks</w:t>
            </w:r>
            <w:r w:rsidRPr="004A7F1C">
              <w:t xml:space="preserve"> or management systems</w:t>
            </w:r>
          </w:p>
          <w:p w:rsidR="00000000" w:rsidRPr="004A7F1C" w:rsidP="004A7F1C">
            <w:pPr>
              <w:pStyle w:val="ListBullet"/>
            </w:pPr>
            <w:r w:rsidRPr="004A7F1C">
              <w:t>teamwork skills to coordinate own work with others to action tasks and relate to people from a range of cultural and ethnic backgrounds and with varying physical and mental abilities</w:t>
            </w:r>
          </w:p>
          <w:p w:rsidR="00000000" w:rsidRPr="004A7F1C" w:rsidP="004A7F1C">
            <w:pPr>
              <w:pStyle w:val="ListBullet"/>
            </w:pPr>
            <w:r w:rsidRPr="004A7F1C">
              <w:t>technological skills to:</w:t>
            </w:r>
          </w:p>
          <w:p w:rsidR="00000000" w:rsidRPr="004A7F1C" w:rsidP="004A7F1C">
            <w:pPr>
              <w:pStyle w:val="ListBullet2"/>
            </w:pPr>
            <w:r w:rsidRPr="004A7F1C">
              <w:t>use a range of mobile te</w:t>
            </w:r>
            <w:r w:rsidRPr="004A7F1C">
              <w:t>chnology, such as two-way radio and mobile phones</w:t>
            </w:r>
          </w:p>
          <w:p w:rsidR="00000000" w:rsidP="004A7F1C">
            <w:pPr>
              <w:pStyle w:val="ListBullet2"/>
              <w:rPr>
                <w:lang w:val="en-NZ"/>
              </w:rPr>
            </w:pPr>
            <w:r w:rsidRPr="004A7F1C">
              <w:t>voice and hand signals to access and understand site-specific instructions.</w:t>
            </w:r>
          </w:p>
        </w:tc>
      </w:tr>
      <w:tr w:rsidTr="00E83E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rPr>
                <w:rStyle w:val="SpecialBold"/>
              </w:rPr>
              <w:t>Required knowledge</w:t>
            </w:r>
          </w:p>
        </w:tc>
      </w:tr>
      <w:tr w:rsidTr="00E83E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A7F1C" w:rsidP="004A7F1C">
            <w:pPr>
              <w:pStyle w:val="BodyText"/>
            </w:pPr>
            <w:r w:rsidRPr="004A7F1C">
              <w:t>Required knowledge for this unit is:</w:t>
            </w:r>
          </w:p>
          <w:p w:rsidR="00000000" w:rsidRPr="004A7F1C" w:rsidP="004A7F1C">
            <w:pPr>
              <w:pStyle w:val="ListBullet"/>
            </w:pPr>
            <w:r w:rsidRPr="004A7F1C">
              <w:t>colour principles related to monochromatic, complementary, split complementary, analogous and triadic colours</w:t>
            </w:r>
          </w:p>
          <w:p w:rsidR="00000000" w:rsidRPr="004A7F1C" w:rsidP="004A7F1C">
            <w:pPr>
              <w:pStyle w:val="ListBullet"/>
            </w:pPr>
            <w:r w:rsidRPr="004A7F1C">
              <w:t>colour theory related to primary, secondary, tertiary and intermediate colours</w:t>
            </w:r>
          </w:p>
          <w:p w:rsidR="00000000" w:rsidRPr="004A7F1C" w:rsidP="004A7F1C">
            <w:pPr>
              <w:pStyle w:val="ListBullet"/>
            </w:pPr>
            <w:r w:rsidRPr="004A7F1C">
              <w:t>colours used in heritage painting or restoration</w:t>
            </w:r>
          </w:p>
          <w:p w:rsidR="00000000" w:rsidRPr="004A7F1C" w:rsidP="004A7F1C">
            <w:pPr>
              <w:pStyle w:val="ListBullet"/>
            </w:pPr>
            <w:r w:rsidRPr="004A7F1C">
              <w:t>effect, over time,</w:t>
            </w:r>
            <w:r w:rsidRPr="004A7F1C">
              <w:t xml:space="preserve"> of light on colours</w:t>
            </w:r>
          </w:p>
          <w:p w:rsidR="00000000" w:rsidRPr="004A7F1C" w:rsidP="004A7F1C">
            <w:pPr>
              <w:pStyle w:val="ListBullet"/>
            </w:pPr>
            <w:r w:rsidRPr="004A7F1C">
              <w:t>factors that affect the apparent colour of paint, including:</w:t>
            </w:r>
          </w:p>
          <w:p w:rsidR="00000000" w:rsidRPr="004A7F1C" w:rsidP="004A7F1C">
            <w:pPr>
              <w:pStyle w:val="ListBullet2"/>
            </w:pPr>
            <w:r w:rsidRPr="004A7F1C">
              <w:t>age and deterioration of painted sample if in situ</w:t>
            </w:r>
          </w:p>
          <w:p w:rsidR="00000000" w:rsidRPr="004A7F1C" w:rsidP="004A7F1C">
            <w:pPr>
              <w:pStyle w:val="ListBullet2"/>
            </w:pPr>
            <w:r w:rsidRPr="004A7F1C">
              <w:t>colour and opacity of the paint</w:t>
            </w:r>
          </w:p>
          <w:p w:rsidR="00000000" w:rsidRPr="004A7F1C" w:rsidP="004A7F1C">
            <w:pPr>
              <w:pStyle w:val="ListBullet2"/>
            </w:pPr>
            <w:r w:rsidRPr="004A7F1C">
              <w:t>colour considerations regarding durability of colours in exterior locations</w:t>
            </w:r>
          </w:p>
          <w:p w:rsidR="00000000" w:rsidRPr="004A7F1C" w:rsidP="004A7F1C">
            <w:pPr>
              <w:pStyle w:val="ListBullet2"/>
            </w:pPr>
            <w:r w:rsidRPr="004A7F1C">
              <w:t>colour of drapes and other furnishings</w:t>
            </w:r>
          </w:p>
          <w:p w:rsidR="00000000" w:rsidRPr="004A7F1C" w:rsidP="004A7F1C">
            <w:pPr>
              <w:pStyle w:val="ListBullet2"/>
            </w:pPr>
            <w:r w:rsidRPr="004A7F1C">
              <w:t>colour of surface covered by paint</w:t>
            </w:r>
          </w:p>
          <w:p w:rsidR="00000000" w:rsidRPr="004A7F1C" w:rsidP="004A7F1C">
            <w:pPr>
              <w:pStyle w:val="ListBullet2"/>
            </w:pPr>
            <w:r w:rsidRPr="004A7F1C">
              <w:t>gloss level and paint type</w:t>
            </w:r>
          </w:p>
          <w:p w:rsidR="00000000" w:rsidRPr="004A7F1C" w:rsidP="004A7F1C">
            <w:pPr>
              <w:pStyle w:val="ListBullet2"/>
            </w:pPr>
            <w:r w:rsidRPr="004A7F1C">
              <w:t>lighting conditions</w:t>
            </w:r>
          </w:p>
          <w:p w:rsidR="00000000" w:rsidRPr="004A7F1C" w:rsidP="004A7F1C">
            <w:pPr>
              <w:pStyle w:val="ListBullet"/>
            </w:pPr>
            <w:r w:rsidRPr="004A7F1C">
              <w:t>job safety analysis (JSA) and safe work method statements</w:t>
            </w:r>
          </w:p>
          <w:p w:rsidR="00000000" w:rsidRPr="004A7F1C" w:rsidP="004A7F1C">
            <w:pPr>
              <w:pStyle w:val="ListBullet"/>
            </w:pPr>
            <w:r w:rsidRPr="004A7F1C">
              <w:t>material safety data sheets (MSDS)</w:t>
            </w:r>
          </w:p>
          <w:p w:rsidR="00000000" w:rsidRPr="004A7F1C" w:rsidP="004A7F1C">
            <w:pPr>
              <w:pStyle w:val="ListBullet"/>
            </w:pPr>
            <w:r w:rsidRPr="004A7F1C">
              <w:t>materials storage and environmentally fri</w:t>
            </w:r>
            <w:r w:rsidRPr="004A7F1C">
              <w:t>endly waste management</w:t>
            </w:r>
          </w:p>
          <w:p w:rsidR="00000000" w:rsidRPr="004A7F1C" w:rsidP="004A7F1C">
            <w:pPr>
              <w:pStyle w:val="ListBullet"/>
            </w:pPr>
            <w:r w:rsidRPr="004A7F1C">
              <w:t>painting and decorating terminology</w:t>
            </w:r>
          </w:p>
          <w:p w:rsidR="00000000" w:rsidRPr="004A7F1C" w:rsidP="004A7F1C">
            <w:pPr>
              <w:pStyle w:val="ListBullet"/>
            </w:pPr>
            <w:r w:rsidRPr="004A7F1C">
              <w:t>plans, drawings and specifications</w:t>
            </w:r>
          </w:p>
          <w:p w:rsidR="00000000" w:rsidRPr="004A7F1C" w:rsidP="004A7F1C">
            <w:pPr>
              <w:pStyle w:val="ListBullet"/>
            </w:pPr>
            <w:r w:rsidRPr="004A7F1C">
              <w:t>presentation of paint formulas</w:t>
            </w:r>
          </w:p>
          <w:p w:rsidR="00000000" w:rsidRPr="004A7F1C" w:rsidP="004A7F1C">
            <w:pPr>
              <w:pStyle w:val="ListBullet"/>
            </w:pPr>
            <w:r w:rsidRPr="004A7F1C">
              <w:t>processes for the calculation of material requirements</w:t>
            </w:r>
          </w:p>
          <w:p w:rsidR="00000000" w:rsidRPr="004A7F1C" w:rsidP="004A7F1C">
            <w:pPr>
              <w:pStyle w:val="ListBullet"/>
            </w:pPr>
            <w:r w:rsidRPr="004A7F1C">
              <w:t>quality requirements</w:t>
            </w:r>
          </w:p>
          <w:p w:rsidR="00000000" w:rsidRPr="004A7F1C" w:rsidP="004A7F1C">
            <w:pPr>
              <w:pStyle w:val="ListBullet"/>
            </w:pPr>
            <w:r w:rsidRPr="004A7F1C">
              <w:t>use of the colour wheel</w:t>
            </w:r>
          </w:p>
          <w:p w:rsidR="00000000" w:rsidRPr="004A7F1C" w:rsidP="004A7F1C">
            <w:pPr>
              <w:pStyle w:val="ListBullet"/>
            </w:pPr>
            <w:r w:rsidRPr="004A7F1C">
              <w:t>wo</w:t>
            </w:r>
            <w:r w:rsidRPr="004A7F1C">
              <w:t>rkplace and equipment safety requirements.</w:t>
            </w:r>
          </w:p>
        </w:tc>
      </w:tr>
    </w:tbl>
    <w:p w:rsidR="00E83E5C" w:rsidP="004A7F1C">
      <w:pPr>
        <w:pStyle w:val="BodyText"/>
      </w:pPr>
    </w:p>
    <w:p w:rsidR="00E83E5C" w:rsidP="004A7F1C">
      <w:pPr>
        <w:pStyle w:val="BodyText"/>
      </w:pPr>
    </w:p>
    <w:p w:rsidR="00000000" w:rsidRPr="004A7F1C" w:rsidP="004A7F1C">
      <w:pPr>
        <w:pStyle w:val="AllowPageBreak"/>
      </w:pPr>
    </w:p>
    <w:p w:rsidR="00000000" w:rsidRPr="004A7F1C" w:rsidP="004A7F1C">
      <w:pPr>
        <w:pStyle w:val="Heading1"/>
      </w:pPr>
      <w:bookmarkStart w:id="10" w:name="O_242332"/>
      <w:bookmarkEnd w:id="10"/>
      <w:r w:rsidRPr="004A7F1C">
        <w:t>Evidence Guide</w:t>
      </w:r>
    </w:p>
    <w:tbl>
      <w:tblPr>
        <w:tblW w:w="0" w:type="auto"/>
        <w:tblLayout w:type="fixed"/>
        <w:tblCellMar>
          <w:left w:w="62" w:type="dxa"/>
          <w:right w:w="62" w:type="dxa"/>
        </w:tblCellMar>
        <w:tblLook w:val="0000"/>
      </w:tblPr>
      <w:tblGrid>
        <w:gridCol w:w="3508"/>
        <w:gridCol w:w="5014"/>
      </w:tblGrid>
      <w:tr w:rsidTr="00E83E5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A7F1C">
            <w:pPr>
              <w:pStyle w:val="BodyText"/>
              <w:rPr>
                <w:lang w:val="en-NZ"/>
              </w:rPr>
            </w:pPr>
            <w:r w:rsidRPr="004A7F1C">
              <w:rPr>
                <w:rStyle w:val="SpecialBold"/>
              </w:rPr>
              <w:t>EVIDENCE GUIDE</w:t>
            </w:r>
          </w:p>
        </w:tc>
      </w:tr>
      <w:tr w:rsidTr="00E83E5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A7F1C">
            <w:pPr>
              <w:pStyle w:val="BodyText"/>
              <w:rPr>
                <w:lang w:val="en-NZ"/>
              </w:rPr>
            </w:pPr>
            <w:r w:rsidRPr="004A7F1C">
              <w:t xml:space="preserve">The evidence guide provides advice on assessment and must be read in conjunction with the performance criteria, required skills and knowledge, </w:t>
            </w:r>
            <w:r w:rsidRPr="004A7F1C">
              <w:t>range statement and the Assessment Guidelines for the Training Package.</w:t>
            </w:r>
          </w:p>
        </w:tc>
      </w:tr>
      <w:tr w:rsidTr="00E83E5C">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t xml:space="preserve">This unit of competency could be assessed in the workplace or a close simulation of the workplace environment, provided that simulated or project-based </w:t>
            </w:r>
            <w:r w:rsidRPr="004A7F1C">
              <w:t xml:space="preserve">assessment techniques fully replicate construction workplace conditions, materials, activities, responsibilities and procedures. </w:t>
            </w:r>
          </w:p>
        </w:tc>
      </w:tr>
      <w:tr w:rsidTr="00E83E5C">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4A7F1C" w:rsidP="004A7F1C">
            <w:pPr>
              <w:pStyle w:val="BodyText"/>
            </w:pPr>
            <w:r w:rsidRPr="004A7F1C">
              <w:t>A person who demonstrates compet</w:t>
            </w:r>
            <w:r w:rsidRPr="004A7F1C">
              <w:t>ency in this unit must be able to provide evidence of the ability to:</w:t>
            </w:r>
          </w:p>
          <w:p w:rsidR="00000000" w:rsidRPr="004A7F1C" w:rsidP="004A7F1C">
            <w:pPr>
              <w:pStyle w:val="ListBullet"/>
            </w:pPr>
            <w:r w:rsidRPr="004A7F1C">
              <w:t>locate, interpret and apply relevant information, standards and specifications</w:t>
            </w:r>
          </w:p>
          <w:p w:rsidR="00000000" w:rsidRPr="004A7F1C" w:rsidP="004A7F1C">
            <w:pPr>
              <w:pStyle w:val="ListBullet"/>
            </w:pPr>
            <w:r w:rsidRPr="004A7F1C">
              <w:t>comply with site safety plan and OHS legislation, regulations and codes of practice applicable to workplac</w:t>
            </w:r>
            <w:r w:rsidRPr="004A7F1C">
              <w:t>e operations</w:t>
            </w:r>
          </w:p>
          <w:p w:rsidR="00000000" w:rsidRPr="004A7F1C" w:rsidP="004A7F1C">
            <w:pPr>
              <w:pStyle w:val="ListBullet"/>
            </w:pPr>
            <w:r w:rsidRPr="004A7F1C">
              <w:t>comply with organisational policies and procedures including quality requirements</w:t>
            </w:r>
          </w:p>
          <w:p w:rsidR="00000000" w:rsidRPr="004A7F1C" w:rsidP="004A7F1C">
            <w:pPr>
              <w:pStyle w:val="ListBullet"/>
            </w:pPr>
            <w:r w:rsidRPr="004A7F1C">
              <w:t>safely and effectively operate and use tools, plant and equipment</w:t>
            </w:r>
          </w:p>
          <w:p w:rsidR="00000000" w:rsidRPr="004A7F1C" w:rsidP="004A7F1C">
            <w:pPr>
              <w:pStyle w:val="ListBullet"/>
            </w:pPr>
            <w:r w:rsidRPr="004A7F1C">
              <w:t>communicate and work effectively and safely with others</w:t>
            </w:r>
          </w:p>
          <w:p w:rsidR="00000000" w:rsidP="004A7F1C">
            <w:pPr>
              <w:pStyle w:val="ListBullet"/>
              <w:rPr>
                <w:lang w:val="en-NZ"/>
              </w:rPr>
            </w:pPr>
            <w:r w:rsidRPr="004A7F1C">
              <w:t>colour match a minimum of two solvent-based and two latex/acrylic paints to specification.</w:t>
            </w:r>
          </w:p>
        </w:tc>
      </w:tr>
      <w:tr w:rsidTr="00E83E5C">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4A7F1C" w:rsidP="004A7F1C">
            <w:pPr>
              <w:pStyle w:val="BodyText"/>
            </w:pPr>
            <w:r w:rsidRPr="004A7F1C">
              <w:t>This competency is to be assessed using standard and authorised work practices, safety requirements and environmental constraints.</w:t>
            </w:r>
          </w:p>
          <w:p w:rsidR="00000000" w:rsidRPr="004A7F1C" w:rsidP="004A7F1C">
            <w:pPr>
              <w:pStyle w:val="BodyText"/>
            </w:pPr>
            <w:r w:rsidRPr="004A7F1C">
              <w:t>Assessment of essential underpinning knowledge will usually be conducted in an off-site context.</w:t>
            </w:r>
          </w:p>
          <w:p w:rsidR="00000000" w:rsidRPr="004A7F1C" w:rsidP="004A7F1C">
            <w:pPr>
              <w:pStyle w:val="BodyText"/>
            </w:pPr>
            <w:r w:rsidRPr="004A7F1C">
              <w:t>Assessment is to comply with</w:t>
            </w:r>
            <w:r w:rsidRPr="004A7F1C">
              <w:t xml:space="preserve"> relevant regulatory or Australian standards' requirements.</w:t>
            </w:r>
          </w:p>
          <w:p w:rsidR="00000000" w:rsidRPr="004A7F1C" w:rsidP="004A7F1C">
            <w:pPr>
              <w:pStyle w:val="BodyText"/>
            </w:pPr>
            <w:r w:rsidRPr="004A7F1C">
              <w:t>Resource implications for assessment include:</w:t>
            </w:r>
          </w:p>
          <w:p w:rsidR="00000000" w:rsidRPr="004A7F1C" w:rsidP="004A7F1C">
            <w:pPr>
              <w:pStyle w:val="ListBullet"/>
            </w:pPr>
            <w:r w:rsidRPr="004A7F1C">
              <w:t>an induction procedure and requirement</w:t>
            </w:r>
          </w:p>
          <w:p w:rsidR="00000000" w:rsidRPr="004A7F1C" w:rsidP="004A7F1C">
            <w:pPr>
              <w:pStyle w:val="ListBullet"/>
            </w:pPr>
            <w:r w:rsidRPr="004A7F1C">
              <w:t>realistic tasks or simulated tasks covering the mandatory task requirements</w:t>
            </w:r>
          </w:p>
          <w:p w:rsidR="00000000" w:rsidRPr="004A7F1C" w:rsidP="004A7F1C">
            <w:pPr>
              <w:pStyle w:val="ListBullet"/>
            </w:pPr>
            <w:r w:rsidRPr="004A7F1C">
              <w:t>relevant specifications and work i</w:t>
            </w:r>
            <w:r w:rsidRPr="004A7F1C">
              <w:t>nstructions</w:t>
            </w:r>
          </w:p>
          <w:p w:rsidR="00000000" w:rsidRPr="004A7F1C" w:rsidP="004A7F1C">
            <w:pPr>
              <w:pStyle w:val="ListBullet"/>
            </w:pPr>
            <w:r w:rsidRPr="004A7F1C">
              <w:t>tools and equipment appropriate to applying safe work practices</w:t>
            </w:r>
          </w:p>
          <w:p w:rsidR="00000000" w:rsidRPr="004A7F1C" w:rsidP="004A7F1C">
            <w:pPr>
              <w:pStyle w:val="ListBullet"/>
            </w:pPr>
            <w:r w:rsidRPr="004A7F1C">
              <w:t>support materials appropriate to activity</w:t>
            </w:r>
          </w:p>
          <w:p w:rsidR="00000000" w:rsidRPr="004A7F1C" w:rsidP="004A7F1C">
            <w:pPr>
              <w:pStyle w:val="ListBullet"/>
            </w:pPr>
            <w:r w:rsidRPr="004A7F1C">
              <w:t>workplace instructions relating to safe work practices and addressing hazards and emergencies</w:t>
            </w:r>
          </w:p>
          <w:p w:rsidR="00000000" w:rsidRPr="004A7F1C" w:rsidP="004A7F1C">
            <w:pPr>
              <w:pStyle w:val="ListBullet"/>
            </w:pPr>
            <w:r w:rsidRPr="004A7F1C">
              <w:t>material safety data sheets</w:t>
            </w:r>
          </w:p>
          <w:p w:rsidR="00000000" w:rsidRPr="004A7F1C" w:rsidP="004A7F1C">
            <w:pPr>
              <w:pStyle w:val="ListBullet"/>
            </w:pPr>
            <w:r w:rsidRPr="004A7F1C">
              <w:t>research resources, including industry related systems information.</w:t>
            </w:r>
          </w:p>
          <w:p w:rsidR="00000000" w:rsidP="004A7F1C">
            <w:pPr>
              <w:pStyle w:val="BodyText"/>
              <w:rPr>
                <w:lang w:val="en-NZ"/>
              </w:rPr>
            </w:pPr>
            <w:r w:rsidRPr="004A7F1C">
              <w:t>Reasonable adjustments for people with disabilities must be made to assessment processes where required. This could include access to modified equipment and other physical resources, and t</w:t>
            </w:r>
            <w:r w:rsidRPr="004A7F1C">
              <w:t xml:space="preserve">he provision of appropriate assessment support. </w:t>
            </w:r>
          </w:p>
        </w:tc>
      </w:tr>
      <w:tr w:rsidTr="00E83E5C">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4A7F1C" w:rsidP="004A7F1C">
            <w:pPr>
              <w:pStyle w:val="BodyText"/>
            </w:pPr>
            <w:r w:rsidRPr="004A7F1C">
              <w:t>Assessment methods must:</w:t>
            </w:r>
          </w:p>
          <w:p w:rsidR="00000000" w:rsidRPr="004A7F1C" w:rsidP="004A7F1C">
            <w:pPr>
              <w:pStyle w:val="ListBullet"/>
            </w:pPr>
            <w:r w:rsidRPr="004A7F1C">
              <w:t>satisfy the endorsed Assessment Guidelines of the Construction, Plumbing and Services Training Package</w:t>
            </w:r>
          </w:p>
          <w:p w:rsidR="00000000" w:rsidRPr="004A7F1C" w:rsidP="004A7F1C">
            <w:pPr>
              <w:pStyle w:val="ListBullet"/>
            </w:pPr>
            <w:r w:rsidRPr="004A7F1C">
              <w:t>include direct observation of tasks in real or simulated</w:t>
            </w:r>
            <w:r w:rsidRPr="004A7F1C">
              <w:t xml:space="preserve"> work conditions, with questioning to confirm the ability to consistently identify and correctly interpret the essential underpinning knowledge required for practical application</w:t>
            </w:r>
          </w:p>
          <w:p w:rsidR="00000000" w:rsidRPr="004A7F1C" w:rsidP="004A7F1C">
            <w:pPr>
              <w:pStyle w:val="ListBullet"/>
            </w:pPr>
            <w:r w:rsidRPr="004A7F1C">
              <w:t>reinforce the integration of employability skills with workplace tasks and jo</w:t>
            </w:r>
            <w:r w:rsidRPr="004A7F1C">
              <w:t>b roles</w:t>
            </w:r>
          </w:p>
          <w:p w:rsidR="00000000" w:rsidRPr="004A7F1C" w:rsidP="004A7F1C">
            <w:pPr>
              <w:pStyle w:val="ListBullet"/>
            </w:pPr>
            <w:r w:rsidRPr="004A7F1C">
              <w:t>confirm that competency is verified and able to be transferred to other circumstances and environments.</w:t>
            </w:r>
          </w:p>
          <w:p w:rsidR="00000000" w:rsidRPr="004A7F1C" w:rsidP="004A7F1C">
            <w:pPr>
              <w:pStyle w:val="BodyText"/>
            </w:pPr>
            <w:r w:rsidRPr="004A7F1C">
              <w:t>Validity and sufficiency of evidence requires that:</w:t>
            </w:r>
          </w:p>
          <w:p w:rsidR="00000000" w:rsidRPr="004A7F1C" w:rsidP="004A7F1C">
            <w:pPr>
              <w:pStyle w:val="ListBullet"/>
            </w:pPr>
            <w:r w:rsidRPr="004A7F1C">
              <w:t>competency will need to be demonstrated over a period of time reflecting the scope of the r</w:t>
            </w:r>
            <w:r w:rsidRPr="004A7F1C">
              <w:t>ole and the practical requirements of the workplace</w:t>
            </w:r>
          </w:p>
          <w:p w:rsidR="00000000" w:rsidRPr="004A7F1C" w:rsidP="004A7F1C">
            <w:pPr>
              <w:pStyle w:val="ListBullet"/>
            </w:pPr>
            <w:r w:rsidRPr="004A7F1C">
              <w:t>where the assessment is part of a structured learning experience the evidence collected must relate to a number of performances assessed at different points in time and separated by further learning and p</w:t>
            </w:r>
            <w:r w:rsidRPr="004A7F1C">
              <w:t>ractice, with a decision on competency only taken at the point when the assessor has complete confidence in the person's demonstrated ability and applied knowledge</w:t>
            </w:r>
          </w:p>
          <w:p w:rsidR="00000000" w:rsidRPr="004A7F1C" w:rsidP="004A7F1C">
            <w:pPr>
              <w:pStyle w:val="ListBullet"/>
            </w:pPr>
            <w:r w:rsidRPr="004A7F1C">
              <w:t>all assessment that is part of a structured learning experience must include a combination o</w:t>
            </w:r>
            <w:r w:rsidRPr="004A7F1C">
              <w:t>f direct, indirect and supplementary evidence.</w:t>
            </w:r>
          </w:p>
          <w:p w:rsidR="00000000" w:rsidRPr="004A7F1C" w:rsidP="004A7F1C">
            <w:pPr>
              <w:pStyle w:val="BodyText"/>
            </w:pPr>
            <w:r w:rsidRPr="004A7F1C">
              <w:t>Assessment processes and techniques should as far as is practical take into account the language, literacy and numeracy capacity of the candidate in relation to the competency being assessed.</w:t>
            </w:r>
          </w:p>
          <w:p w:rsidR="00000000" w:rsidRPr="004A7F1C" w:rsidP="004A7F1C">
            <w:pPr>
              <w:pStyle w:val="BodyText"/>
            </w:pPr>
            <w:r w:rsidRPr="004A7F1C">
              <w:t xml:space="preserve">Supplementary evidence of competency may be obtained from relevant authenticated documentation from third parties, such as existing supervisors, team leaders or specialist training staff. </w:t>
            </w:r>
          </w:p>
        </w:tc>
      </w:tr>
    </w:tbl>
    <w:p w:rsidR="00E83E5C" w:rsidP="004A7F1C">
      <w:pPr>
        <w:pStyle w:val="BodyText"/>
      </w:pPr>
    </w:p>
    <w:p w:rsidR="00E83E5C" w:rsidP="004A7F1C">
      <w:pPr>
        <w:pStyle w:val="BodyText"/>
      </w:pPr>
    </w:p>
    <w:p w:rsidR="00000000" w:rsidRPr="004A7F1C" w:rsidP="004A7F1C">
      <w:pPr>
        <w:pStyle w:val="Heading1"/>
      </w:pPr>
      <w:bookmarkStart w:id="11" w:name="O_250315"/>
      <w:bookmarkEnd w:id="11"/>
      <w:r w:rsidRPr="004A7F1C">
        <w:t>Range Statement</w:t>
      </w:r>
    </w:p>
    <w:tbl>
      <w:tblPr>
        <w:tblW w:w="0" w:type="auto"/>
        <w:tblLayout w:type="fixed"/>
        <w:tblCellMar>
          <w:left w:w="62" w:type="dxa"/>
          <w:right w:w="62" w:type="dxa"/>
        </w:tblCellMar>
        <w:tblLook w:val="0000"/>
      </w:tblPr>
      <w:tblGrid>
        <w:gridCol w:w="3485"/>
        <w:gridCol w:w="5037"/>
      </w:tblGrid>
      <w:tr w:rsidTr="00E83E5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A7F1C">
            <w:pPr>
              <w:pStyle w:val="BodyText"/>
              <w:rPr>
                <w:lang w:val="en-NZ"/>
              </w:rPr>
            </w:pPr>
            <w:r w:rsidRPr="004A7F1C">
              <w:rPr>
                <w:rStyle w:val="SpecialBold"/>
              </w:rPr>
              <w:t>RANGE STATEMENT</w:t>
            </w:r>
          </w:p>
        </w:tc>
      </w:tr>
      <w:tr w:rsidTr="00E83E5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A7F1C">
            <w:pPr>
              <w:pStyle w:val="BodyText"/>
              <w:rPr>
                <w:lang w:val="en-NZ"/>
              </w:rPr>
            </w:pPr>
            <w:r w:rsidRPr="004A7F1C">
              <w:t>The range</w:t>
            </w:r>
            <w:r w:rsidRPr="004A7F1C">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4A7F1C">
              <w:t>hat may be present with training and assessment (depending on the work situation, needs of the candidate, accessibility of the item, and local industry and regional contexts) may also be included.</w:t>
            </w:r>
          </w:p>
        </w:tc>
      </w:tr>
      <w:tr w:rsidTr="00E83E5C">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rPr>
                <w:rStyle w:val="BoldandItalics"/>
              </w:rPr>
              <w:t>Information</w:t>
            </w:r>
            <w:r w:rsidRPr="004A7F1C">
              <w:t xml:space="preserve"> includes: </w:t>
            </w:r>
          </w:p>
        </w:tc>
        <w:tc>
          <w:tcPr>
            <w:tcW w:w="5037" w:type="dxa"/>
            <w:tcBorders>
              <w:top w:val="nil"/>
              <w:left w:val="nil"/>
              <w:bottom w:val="nil"/>
              <w:right w:val="nil"/>
            </w:tcBorders>
            <w:tcMar>
              <w:top w:w="0" w:type="dxa"/>
              <w:left w:w="62" w:type="dxa"/>
              <w:bottom w:w="0" w:type="dxa"/>
              <w:right w:w="62" w:type="dxa"/>
            </w:tcMar>
          </w:tcPr>
          <w:p w:rsidR="00000000" w:rsidRPr="004A7F1C" w:rsidP="004A7F1C">
            <w:pPr>
              <w:pStyle w:val="ListBullet"/>
            </w:pPr>
            <w:r w:rsidRPr="004A7F1C">
              <w:t>diagrams or sketches</w:t>
            </w:r>
          </w:p>
          <w:p w:rsidR="00000000" w:rsidRPr="004A7F1C" w:rsidP="004A7F1C">
            <w:pPr>
              <w:pStyle w:val="ListBullet"/>
            </w:pPr>
            <w:r w:rsidRPr="004A7F1C">
              <w:t>instructions issued by authorised organisational or external personnel</w:t>
            </w:r>
          </w:p>
          <w:p w:rsidR="00000000" w:rsidRPr="004A7F1C" w:rsidP="004A7F1C">
            <w:pPr>
              <w:pStyle w:val="ListBullet"/>
            </w:pPr>
            <w:r w:rsidRPr="004A7F1C">
              <w:t>manufacturer specifications and instructions, where specified</w:t>
            </w:r>
          </w:p>
          <w:p w:rsidR="00000000" w:rsidRPr="004A7F1C" w:rsidP="004A7F1C">
            <w:pPr>
              <w:pStyle w:val="ListBullet"/>
            </w:pPr>
            <w:r w:rsidRPr="004A7F1C">
              <w:t>MSDS</w:t>
            </w:r>
          </w:p>
          <w:p w:rsidR="00000000" w:rsidRPr="004A7F1C" w:rsidP="004A7F1C">
            <w:pPr>
              <w:pStyle w:val="ListBullet"/>
            </w:pPr>
            <w:r w:rsidRPr="004A7F1C">
              <w:t>memos</w:t>
            </w:r>
          </w:p>
          <w:p w:rsidR="00000000" w:rsidRPr="004A7F1C" w:rsidP="004A7F1C">
            <w:pPr>
              <w:pStyle w:val="ListBullet"/>
            </w:pPr>
            <w:r w:rsidRPr="004A7F1C">
              <w:t>regulatory and legislative requirements pertaining to the colour matching of paint</w:t>
            </w:r>
          </w:p>
          <w:p w:rsidR="00000000" w:rsidRPr="004A7F1C" w:rsidP="004A7F1C">
            <w:pPr>
              <w:pStyle w:val="ListBullet"/>
            </w:pPr>
            <w:r w:rsidRPr="004A7F1C">
              <w:t>relevant Australian standards</w:t>
            </w:r>
          </w:p>
          <w:p w:rsidR="00000000" w:rsidRPr="004A7F1C" w:rsidP="004A7F1C">
            <w:pPr>
              <w:pStyle w:val="ListBullet"/>
            </w:pPr>
            <w:r w:rsidRPr="004A7F1C">
              <w:t>safe work procedures relating to the colour matching of paint</w:t>
            </w:r>
          </w:p>
          <w:p w:rsidR="00000000" w:rsidRPr="004A7F1C" w:rsidP="004A7F1C">
            <w:pPr>
              <w:pStyle w:val="ListBullet"/>
            </w:pPr>
            <w:r w:rsidRPr="004A7F1C">
              <w:t>signage</w:t>
            </w:r>
          </w:p>
          <w:p w:rsidR="00000000" w:rsidRPr="004A7F1C" w:rsidP="004A7F1C">
            <w:pPr>
              <w:pStyle w:val="ListBullet"/>
            </w:pPr>
            <w:r w:rsidRPr="004A7F1C">
              <w:t>verbal, written and graphical instructions</w:t>
            </w:r>
          </w:p>
          <w:p w:rsidR="00000000" w:rsidRPr="004A7F1C" w:rsidP="004A7F1C">
            <w:pPr>
              <w:pStyle w:val="ListBullet"/>
            </w:pPr>
            <w:r w:rsidRPr="004A7F1C">
              <w:t>work bulletins</w:t>
            </w:r>
          </w:p>
          <w:p w:rsidR="00000000" w:rsidP="004A7F1C">
            <w:pPr>
              <w:pStyle w:val="ListBullet"/>
              <w:rPr>
                <w:lang w:val="en-NZ"/>
              </w:rPr>
            </w:pPr>
            <w:r w:rsidRPr="004A7F1C">
              <w:t>work schedules, plans and specifications.</w:t>
            </w:r>
          </w:p>
        </w:tc>
      </w:tr>
      <w:tr w:rsidTr="00E83E5C">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rPr>
                <w:rStyle w:val="BoldandItalics"/>
              </w:rPr>
              <w:t>Planning and preparation</w:t>
            </w:r>
            <w:r w:rsidRPr="004A7F1C">
              <w:t xml:space="preserve"> include: </w:t>
            </w:r>
          </w:p>
        </w:tc>
        <w:tc>
          <w:tcPr>
            <w:tcW w:w="5037" w:type="dxa"/>
            <w:tcBorders>
              <w:top w:val="nil"/>
              <w:left w:val="nil"/>
              <w:bottom w:val="nil"/>
              <w:right w:val="nil"/>
            </w:tcBorders>
            <w:tcMar>
              <w:top w:w="0" w:type="dxa"/>
              <w:left w:w="62" w:type="dxa"/>
              <w:bottom w:w="0" w:type="dxa"/>
              <w:right w:w="62" w:type="dxa"/>
            </w:tcMar>
          </w:tcPr>
          <w:p w:rsidR="00000000" w:rsidRPr="004A7F1C" w:rsidP="004A7F1C">
            <w:pPr>
              <w:pStyle w:val="ListBullet"/>
            </w:pPr>
            <w:r w:rsidRPr="004A7F1C">
              <w:t>assessment of conditions and hazards</w:t>
            </w:r>
          </w:p>
          <w:p w:rsidR="00000000" w:rsidRPr="004A7F1C" w:rsidP="004A7F1C">
            <w:pPr>
              <w:pStyle w:val="ListBullet"/>
            </w:pPr>
            <w:r w:rsidRPr="004A7F1C">
              <w:t>determination of work requirements and safety plans and policies</w:t>
            </w:r>
          </w:p>
          <w:p w:rsidR="00000000" w:rsidRPr="004A7F1C" w:rsidP="004A7F1C">
            <w:pPr>
              <w:pStyle w:val="ListBullet"/>
            </w:pPr>
            <w:r w:rsidRPr="004A7F1C">
              <w:t>equipment defect identification</w:t>
            </w:r>
          </w:p>
          <w:p w:rsidR="00000000" w:rsidP="004A7F1C">
            <w:pPr>
              <w:pStyle w:val="ListBullet"/>
              <w:rPr>
                <w:lang w:val="en-NZ"/>
              </w:rPr>
            </w:pPr>
            <w:r w:rsidRPr="004A7F1C">
              <w:t>work site inspection.</w:t>
            </w:r>
          </w:p>
        </w:tc>
      </w:tr>
      <w:tr w:rsidTr="00E83E5C">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rPr>
                <w:rStyle w:val="BoldandItalics"/>
              </w:rPr>
              <w:t>Safety</w:t>
            </w:r>
            <w:r w:rsidRPr="004A7F1C">
              <w:t xml:space="preserve"> (</w:t>
            </w:r>
            <w:r w:rsidRPr="004A7F1C">
              <w:rPr>
                <w:rStyle w:val="BoldandItalics"/>
              </w:rPr>
              <w:t>OHS</w:t>
            </w:r>
            <w:r w:rsidRPr="004A7F1C">
              <w:t xml:space="preserve">) is to be in accordance with state and territory legislation and regulations and project safety plan and may include: </w:t>
            </w:r>
          </w:p>
        </w:tc>
        <w:tc>
          <w:tcPr>
            <w:tcW w:w="5037" w:type="dxa"/>
            <w:tcBorders>
              <w:top w:val="nil"/>
              <w:left w:val="nil"/>
              <w:bottom w:val="nil"/>
              <w:right w:val="nil"/>
            </w:tcBorders>
            <w:tcMar>
              <w:top w:w="0" w:type="dxa"/>
              <w:left w:w="62" w:type="dxa"/>
              <w:bottom w:w="0" w:type="dxa"/>
              <w:right w:w="62" w:type="dxa"/>
            </w:tcMar>
          </w:tcPr>
          <w:p w:rsidR="00000000" w:rsidRPr="004A7F1C" w:rsidP="004A7F1C">
            <w:pPr>
              <w:pStyle w:val="ListBullet"/>
            </w:pPr>
            <w:r w:rsidRPr="004A7F1C">
              <w:t>emer</w:t>
            </w:r>
            <w:r w:rsidRPr="004A7F1C">
              <w:t>gency procedures, including extinguishing fires, organisational first aid requirements and evacuation</w:t>
            </w:r>
          </w:p>
          <w:p w:rsidR="00000000" w:rsidRPr="004A7F1C" w:rsidP="004A7F1C">
            <w:pPr>
              <w:pStyle w:val="ListBullet"/>
            </w:pPr>
            <w:r w:rsidRPr="004A7F1C">
              <w:t xml:space="preserve">handling activities that may require the assistance of others or the use of manual or mechanical lifting devices where size, weight or other issues, such </w:t>
            </w:r>
            <w:r w:rsidRPr="004A7F1C">
              <w:t>as a disability are a factor</w:t>
            </w:r>
          </w:p>
          <w:p w:rsidR="00000000" w:rsidRPr="004A7F1C" w:rsidP="004A7F1C">
            <w:pPr>
              <w:pStyle w:val="ListBullet"/>
            </w:pPr>
            <w:r w:rsidRPr="004A7F1C">
              <w:t>hazard control</w:t>
            </w:r>
          </w:p>
          <w:p w:rsidR="00000000" w:rsidRPr="004A7F1C" w:rsidP="004A7F1C">
            <w:pPr>
              <w:pStyle w:val="ListBullet"/>
            </w:pPr>
            <w:r w:rsidRPr="004A7F1C">
              <w:t>hazardous materials and substances</w:t>
            </w:r>
          </w:p>
          <w:p w:rsidR="00000000" w:rsidRPr="004A7F1C" w:rsidP="004A7F1C">
            <w:pPr>
              <w:pStyle w:val="ListBullet"/>
            </w:pPr>
            <w:r w:rsidRPr="004A7F1C">
              <w:t>organisational first aid</w:t>
            </w:r>
          </w:p>
          <w:p w:rsidR="00000000" w:rsidRPr="004A7F1C" w:rsidP="004A7F1C">
            <w:pPr>
              <w:pStyle w:val="ListBullet"/>
            </w:pPr>
            <w:r w:rsidRPr="004A7F1C">
              <w:t>PPE prescribed under legislation, regulations and workplace policies and practices</w:t>
            </w:r>
          </w:p>
          <w:p w:rsidR="00000000" w:rsidRPr="004A7F1C" w:rsidP="004A7F1C">
            <w:pPr>
              <w:pStyle w:val="ListBullet"/>
            </w:pPr>
            <w:r w:rsidRPr="004A7F1C">
              <w:t>safe operating procedures, including the conduct of operational risk assessment and treatments associated with:</w:t>
            </w:r>
          </w:p>
          <w:p w:rsidR="00000000" w:rsidRPr="004A7F1C" w:rsidP="004A7F1C">
            <w:pPr>
              <w:pStyle w:val="ListBullet2"/>
            </w:pPr>
            <w:r w:rsidRPr="004A7F1C">
              <w:t>earth leakage boxes</w:t>
            </w:r>
          </w:p>
          <w:p w:rsidR="00000000" w:rsidRPr="004A7F1C" w:rsidP="004A7F1C">
            <w:pPr>
              <w:pStyle w:val="ListBullet2"/>
            </w:pPr>
            <w:r w:rsidRPr="004A7F1C">
              <w:t>electrical and fire and/or explosion from combustible materials</w:t>
            </w:r>
          </w:p>
          <w:p w:rsidR="00000000" w:rsidRPr="004A7F1C" w:rsidP="004A7F1C">
            <w:pPr>
              <w:pStyle w:val="ListBullet2"/>
            </w:pPr>
            <w:r w:rsidRPr="004A7F1C">
              <w:t>falling objects</w:t>
            </w:r>
          </w:p>
          <w:p w:rsidR="00000000" w:rsidRPr="004A7F1C" w:rsidP="004A7F1C">
            <w:pPr>
              <w:pStyle w:val="ListBullet2"/>
            </w:pPr>
            <w:r w:rsidRPr="004A7F1C">
              <w:t>lighting</w:t>
            </w:r>
          </w:p>
          <w:p w:rsidR="00000000" w:rsidRPr="004A7F1C" w:rsidP="004A7F1C">
            <w:pPr>
              <w:pStyle w:val="ListBullet2"/>
            </w:pPr>
            <w:r w:rsidRPr="004A7F1C">
              <w:t>manual handling</w:t>
            </w:r>
          </w:p>
          <w:p w:rsidR="00000000" w:rsidRPr="004A7F1C" w:rsidP="004A7F1C">
            <w:pPr>
              <w:pStyle w:val="ListBullet2"/>
            </w:pPr>
            <w:r w:rsidRPr="004A7F1C">
              <w:t>power cables, incl</w:t>
            </w:r>
            <w:r w:rsidRPr="004A7F1C">
              <w:t>uding overhead service trays, cables and conduits</w:t>
            </w:r>
          </w:p>
          <w:p w:rsidR="00000000" w:rsidRPr="004A7F1C" w:rsidP="004A7F1C">
            <w:pPr>
              <w:pStyle w:val="ListBullet2"/>
            </w:pPr>
            <w:r w:rsidRPr="004A7F1C">
              <w:t>restricted access barriers</w:t>
            </w:r>
          </w:p>
          <w:p w:rsidR="00000000" w:rsidRPr="004A7F1C" w:rsidP="004A7F1C">
            <w:pPr>
              <w:pStyle w:val="ListBullet2"/>
            </w:pPr>
            <w:r w:rsidRPr="004A7F1C">
              <w:t>solvents, lead, chemicals, fumes/gases</w:t>
            </w:r>
          </w:p>
          <w:p w:rsidR="00000000" w:rsidRPr="004A7F1C" w:rsidP="004A7F1C">
            <w:pPr>
              <w:pStyle w:val="ListBullet2"/>
            </w:pPr>
            <w:r w:rsidRPr="004A7F1C">
              <w:t>surrounding structures</w:t>
            </w:r>
          </w:p>
          <w:p w:rsidR="00000000" w:rsidRPr="004A7F1C" w:rsidP="004A7F1C">
            <w:pPr>
              <w:pStyle w:val="ListBullet2"/>
            </w:pPr>
            <w:r w:rsidRPr="004A7F1C">
              <w:t>traffic control</w:t>
            </w:r>
          </w:p>
          <w:p w:rsidR="00000000" w:rsidRPr="004A7F1C" w:rsidP="004A7F1C">
            <w:pPr>
              <w:pStyle w:val="ListBullet2"/>
            </w:pPr>
            <w:r w:rsidRPr="004A7F1C">
              <w:t>trip hazards</w:t>
            </w:r>
          </w:p>
          <w:p w:rsidR="00000000" w:rsidRPr="004A7F1C" w:rsidP="004A7F1C">
            <w:pPr>
              <w:pStyle w:val="ListBullet2"/>
            </w:pPr>
            <w:r w:rsidRPr="004A7F1C">
              <w:t>work access platforms</w:t>
            </w:r>
          </w:p>
          <w:p w:rsidR="00000000" w:rsidRPr="004A7F1C" w:rsidP="004A7F1C">
            <w:pPr>
              <w:pStyle w:val="ListBullet2"/>
            </w:pPr>
            <w:r w:rsidRPr="004A7F1C">
              <w:t>work site visitors and the public</w:t>
            </w:r>
          </w:p>
          <w:p w:rsidR="00000000" w:rsidRPr="004A7F1C" w:rsidP="004A7F1C">
            <w:pPr>
              <w:pStyle w:val="ListBullet2"/>
            </w:pPr>
            <w:r w:rsidRPr="004A7F1C">
              <w:t>working at heights</w:t>
            </w:r>
          </w:p>
          <w:p w:rsidR="00000000" w:rsidRPr="004A7F1C" w:rsidP="004A7F1C">
            <w:pPr>
              <w:pStyle w:val="ListBullet2"/>
            </w:pPr>
            <w:r w:rsidRPr="004A7F1C">
              <w:t>working in confined spaces</w:t>
            </w:r>
          </w:p>
          <w:p w:rsidR="00000000" w:rsidRPr="004A7F1C" w:rsidP="004A7F1C">
            <w:pPr>
              <w:pStyle w:val="ListBullet2"/>
            </w:pPr>
            <w:r w:rsidRPr="004A7F1C">
              <w:t>working in proximity to others, work site visitors and the public</w:t>
            </w:r>
          </w:p>
          <w:p w:rsidR="00000000" w:rsidRPr="004A7F1C" w:rsidP="004A7F1C">
            <w:pPr>
              <w:pStyle w:val="ListBullet"/>
            </w:pPr>
            <w:r w:rsidRPr="004A7F1C">
              <w:t>use of firefighting equipment</w:t>
            </w:r>
          </w:p>
          <w:p w:rsidR="00000000" w:rsidRPr="004A7F1C" w:rsidP="004A7F1C">
            <w:pPr>
              <w:pStyle w:val="ListBullet"/>
            </w:pPr>
            <w:r w:rsidRPr="004A7F1C">
              <w:t>use of tools and equipment</w:t>
            </w:r>
          </w:p>
          <w:p w:rsidR="00000000" w:rsidP="004A7F1C">
            <w:pPr>
              <w:pStyle w:val="ListBullet"/>
              <w:rPr>
                <w:lang w:val="en-NZ"/>
              </w:rPr>
            </w:pPr>
            <w:r w:rsidRPr="004A7F1C">
              <w:t>workplace environmental requirements and safety.</w:t>
            </w:r>
          </w:p>
        </w:tc>
      </w:tr>
      <w:tr w:rsidTr="00E83E5C">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rPr>
                <w:rStyle w:val="BoldandItalics"/>
              </w:rPr>
              <w:t>Tools and equipment</w:t>
            </w:r>
            <w:r w:rsidRPr="004A7F1C">
              <w:t xml:space="preserve">: </w:t>
            </w:r>
          </w:p>
        </w:tc>
        <w:tc>
          <w:tcPr>
            <w:tcW w:w="5037" w:type="dxa"/>
            <w:tcBorders>
              <w:top w:val="nil"/>
              <w:left w:val="nil"/>
              <w:bottom w:val="nil"/>
              <w:right w:val="nil"/>
            </w:tcBorders>
            <w:tcMar>
              <w:top w:w="0" w:type="dxa"/>
              <w:left w:w="62" w:type="dxa"/>
              <w:bottom w:w="0" w:type="dxa"/>
              <w:right w:w="62" w:type="dxa"/>
            </w:tcMar>
          </w:tcPr>
          <w:p w:rsidR="00000000" w:rsidRPr="004A7F1C" w:rsidP="004A7F1C">
            <w:pPr>
              <w:pStyle w:val="ListBullet"/>
            </w:pPr>
            <w:r w:rsidRPr="004A7F1C">
              <w:t>include:</w:t>
            </w:r>
          </w:p>
          <w:p w:rsidR="00000000" w:rsidRPr="004A7F1C" w:rsidP="004A7F1C">
            <w:pPr>
              <w:pStyle w:val="ListBullet2"/>
            </w:pPr>
            <w:r w:rsidRPr="004A7F1C">
              <w:t>colorant dispenser</w:t>
            </w:r>
          </w:p>
          <w:p w:rsidR="00000000" w:rsidRPr="004A7F1C" w:rsidP="004A7F1C">
            <w:pPr>
              <w:pStyle w:val="ListBullet2"/>
            </w:pPr>
            <w:r w:rsidRPr="004A7F1C">
              <w:t>mixing receptacles</w:t>
            </w:r>
          </w:p>
          <w:p w:rsidR="00000000" w:rsidRPr="004A7F1C" w:rsidP="004A7F1C">
            <w:pPr>
              <w:pStyle w:val="ListBullet2"/>
            </w:pPr>
            <w:r w:rsidRPr="004A7F1C">
              <w:t>paintbrushes</w:t>
            </w:r>
          </w:p>
          <w:p w:rsidR="00000000" w:rsidRPr="004A7F1C" w:rsidP="004A7F1C">
            <w:pPr>
              <w:pStyle w:val="ListBullet2"/>
            </w:pPr>
            <w:r w:rsidRPr="004A7F1C">
              <w:t>stirring implements</w:t>
            </w:r>
          </w:p>
          <w:p w:rsidR="00000000" w:rsidP="004A7F1C">
            <w:pPr>
              <w:pStyle w:val="ListBullet"/>
              <w:rPr>
                <w:lang w:val="en-NZ"/>
              </w:rPr>
            </w:pPr>
            <w:r w:rsidRPr="004A7F1C">
              <w:t>may include mechanical paint mixers (shakers).</w:t>
            </w:r>
          </w:p>
        </w:tc>
      </w:tr>
      <w:tr w:rsidTr="00E83E5C">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rPr>
                <w:rStyle w:val="BoldandItalics"/>
              </w:rPr>
              <w:t>Quality requirements</w:t>
            </w:r>
            <w:r w:rsidRPr="004A7F1C">
              <w:t xml:space="preserve"> include: </w:t>
            </w:r>
          </w:p>
        </w:tc>
        <w:tc>
          <w:tcPr>
            <w:tcW w:w="5037" w:type="dxa"/>
            <w:tcBorders>
              <w:top w:val="nil"/>
              <w:left w:val="nil"/>
              <w:bottom w:val="nil"/>
              <w:right w:val="nil"/>
            </w:tcBorders>
            <w:tcMar>
              <w:top w:w="0" w:type="dxa"/>
              <w:left w:w="62" w:type="dxa"/>
              <w:bottom w:w="0" w:type="dxa"/>
              <w:right w:w="62" w:type="dxa"/>
            </w:tcMar>
          </w:tcPr>
          <w:p w:rsidR="00000000" w:rsidRPr="004A7F1C" w:rsidP="004A7F1C">
            <w:pPr>
              <w:pStyle w:val="ListBullet"/>
            </w:pPr>
            <w:r w:rsidRPr="004A7F1C">
              <w:t>internal company quality policy and standards</w:t>
            </w:r>
          </w:p>
          <w:p w:rsidR="00000000" w:rsidRPr="004A7F1C" w:rsidP="004A7F1C">
            <w:pPr>
              <w:pStyle w:val="ListBullet"/>
            </w:pPr>
            <w:r w:rsidRPr="004A7F1C">
              <w:t>manufacturer specifications, where specified</w:t>
            </w:r>
          </w:p>
          <w:p w:rsidR="00000000" w:rsidRPr="004A7F1C" w:rsidP="004A7F1C">
            <w:pPr>
              <w:pStyle w:val="ListBullet"/>
            </w:pPr>
            <w:r w:rsidRPr="004A7F1C">
              <w:t>relevant regulations, including Australian standards</w:t>
            </w:r>
          </w:p>
          <w:p w:rsidR="00000000" w:rsidP="004A7F1C">
            <w:pPr>
              <w:pStyle w:val="ListBullet"/>
              <w:rPr>
                <w:lang w:val="en-NZ"/>
              </w:rPr>
            </w:pPr>
            <w:r w:rsidRPr="004A7F1C">
              <w:t>workplace operations and procedures.</w:t>
            </w:r>
          </w:p>
        </w:tc>
      </w:tr>
      <w:tr w:rsidTr="00E83E5C">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rPr>
                <w:rStyle w:val="BoldandItalics"/>
              </w:rPr>
              <w:t>Environmental requirements</w:t>
            </w:r>
            <w:r w:rsidRPr="004A7F1C">
              <w:t xml:space="preserve"> include: </w:t>
            </w:r>
          </w:p>
        </w:tc>
        <w:tc>
          <w:tcPr>
            <w:tcW w:w="5037" w:type="dxa"/>
            <w:tcBorders>
              <w:top w:val="nil"/>
              <w:left w:val="nil"/>
              <w:bottom w:val="nil"/>
              <w:right w:val="nil"/>
            </w:tcBorders>
            <w:tcMar>
              <w:top w:w="0" w:type="dxa"/>
              <w:left w:w="62" w:type="dxa"/>
              <w:bottom w:w="0" w:type="dxa"/>
              <w:right w:w="62" w:type="dxa"/>
            </w:tcMar>
          </w:tcPr>
          <w:p w:rsidR="00000000" w:rsidRPr="004A7F1C" w:rsidP="004A7F1C">
            <w:pPr>
              <w:pStyle w:val="ListBullet"/>
            </w:pPr>
            <w:r w:rsidRPr="004A7F1C">
              <w:t>clean-up management</w:t>
            </w:r>
          </w:p>
          <w:p w:rsidR="00000000" w:rsidRPr="004A7F1C" w:rsidP="004A7F1C">
            <w:pPr>
              <w:pStyle w:val="ListBullet"/>
            </w:pPr>
            <w:r w:rsidRPr="004A7F1C">
              <w:t>dust and noise</w:t>
            </w:r>
          </w:p>
          <w:p w:rsidR="00000000" w:rsidRPr="004A7F1C" w:rsidP="004A7F1C">
            <w:pPr>
              <w:pStyle w:val="ListBullet"/>
            </w:pPr>
            <w:r w:rsidRPr="004A7F1C">
              <w:t>stormwater protection</w:t>
            </w:r>
          </w:p>
          <w:p w:rsidR="00000000" w:rsidP="004A7F1C">
            <w:pPr>
              <w:pStyle w:val="ListBullet"/>
              <w:rPr>
                <w:lang w:val="en-NZ"/>
              </w:rPr>
            </w:pPr>
            <w:r w:rsidRPr="004A7F1C">
              <w:t>waste management.</w:t>
            </w:r>
          </w:p>
        </w:tc>
      </w:tr>
      <w:tr w:rsidTr="00E83E5C">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rPr>
                <w:rStyle w:val="BoldandItalics"/>
              </w:rPr>
              <w:t>Paints</w:t>
            </w:r>
            <w:r w:rsidRPr="004A7F1C">
              <w:t xml:space="preserve"> to be matched include: </w:t>
            </w:r>
          </w:p>
        </w:tc>
        <w:tc>
          <w:tcPr>
            <w:tcW w:w="5037" w:type="dxa"/>
            <w:tcBorders>
              <w:top w:val="nil"/>
              <w:left w:val="nil"/>
              <w:bottom w:val="nil"/>
              <w:right w:val="nil"/>
            </w:tcBorders>
            <w:tcMar>
              <w:top w:w="0" w:type="dxa"/>
              <w:left w:w="62" w:type="dxa"/>
              <w:bottom w:w="0" w:type="dxa"/>
              <w:right w:w="62" w:type="dxa"/>
            </w:tcMar>
          </w:tcPr>
          <w:p w:rsidR="00000000" w:rsidRPr="004A7F1C" w:rsidP="004A7F1C">
            <w:pPr>
              <w:pStyle w:val="ListBullet"/>
            </w:pPr>
            <w:r w:rsidRPr="004A7F1C">
              <w:t>latex/acrylics</w:t>
            </w:r>
          </w:p>
          <w:p w:rsidR="00000000" w:rsidP="004A7F1C">
            <w:pPr>
              <w:pStyle w:val="ListBullet"/>
              <w:rPr>
                <w:lang w:val="en-NZ"/>
              </w:rPr>
            </w:pPr>
            <w:r w:rsidRPr="004A7F1C">
              <w:t>solvent-based.</w:t>
            </w:r>
          </w:p>
        </w:tc>
      </w:tr>
      <w:tr w:rsidTr="00E83E5C">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rPr>
                <w:rStyle w:val="BoldandItalics"/>
              </w:rPr>
              <w:t>Sample</w:t>
            </w:r>
            <w:r w:rsidRPr="004A7F1C">
              <w:t xml:space="preserve"> includes: </w:t>
            </w:r>
          </w:p>
        </w:tc>
        <w:tc>
          <w:tcPr>
            <w:tcW w:w="5037" w:type="dxa"/>
            <w:tcBorders>
              <w:top w:val="nil"/>
              <w:left w:val="nil"/>
              <w:bottom w:val="nil"/>
              <w:right w:val="nil"/>
            </w:tcBorders>
            <w:tcMar>
              <w:top w:w="0" w:type="dxa"/>
              <w:left w:w="62" w:type="dxa"/>
              <w:bottom w:w="0" w:type="dxa"/>
              <w:right w:w="62" w:type="dxa"/>
            </w:tcMar>
          </w:tcPr>
          <w:p w:rsidR="00000000" w:rsidRPr="004A7F1C" w:rsidP="004A7F1C">
            <w:pPr>
              <w:pStyle w:val="ListBullet"/>
            </w:pPr>
            <w:r w:rsidRPr="004A7F1C">
              <w:t>fan decks</w:t>
            </w:r>
          </w:p>
          <w:p w:rsidR="00000000" w:rsidRPr="004A7F1C" w:rsidP="004A7F1C">
            <w:pPr>
              <w:pStyle w:val="ListBullet"/>
            </w:pPr>
            <w:r w:rsidRPr="004A7F1C">
              <w:t>in situ previously painted unit or area</w:t>
            </w:r>
          </w:p>
          <w:p w:rsidR="00000000" w:rsidRPr="004A7F1C" w:rsidP="004A7F1C">
            <w:pPr>
              <w:pStyle w:val="ListBullet"/>
            </w:pPr>
            <w:r w:rsidRPr="004A7F1C">
              <w:t>paint manufacturers' colour card.</w:t>
            </w:r>
          </w:p>
        </w:tc>
      </w:tr>
    </w:tbl>
    <w:p w:rsidR="00E83E5C" w:rsidP="004A7F1C">
      <w:pPr>
        <w:pStyle w:val="BodyText"/>
      </w:pPr>
    </w:p>
    <w:p w:rsidR="00E83E5C" w:rsidP="004A7F1C">
      <w:pPr>
        <w:pStyle w:val="BodyText"/>
      </w:pPr>
    </w:p>
    <w:p w:rsidR="00000000" w:rsidRPr="004A7F1C" w:rsidP="004A7F1C">
      <w:pPr>
        <w:pStyle w:val="Heading1"/>
      </w:pPr>
      <w:bookmarkStart w:id="12" w:name="O_198271"/>
      <w:bookmarkEnd w:id="12"/>
      <w:r w:rsidRPr="004A7F1C">
        <w:t>Unit Sector(s)</w:t>
      </w:r>
    </w:p>
    <w:tbl>
      <w:tblPr>
        <w:tblW w:w="9348" w:type="dxa"/>
        <w:tblLayout w:type="fixed"/>
        <w:tblCellMar>
          <w:left w:w="62" w:type="dxa"/>
          <w:right w:w="62" w:type="dxa"/>
        </w:tblCellMar>
        <w:tblLook w:val="0000"/>
      </w:tblPr>
      <w:tblGrid>
        <w:gridCol w:w="2748"/>
        <w:gridCol w:w="6600"/>
      </w:tblGrid>
      <w:tr w:rsidTr="00E83E5C">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rPr>
                <w:rStyle w:val="SpecialBold"/>
              </w:rPr>
              <w:t>Unit sector</w:t>
            </w:r>
          </w:p>
        </w:tc>
        <w:tc>
          <w:tcPr>
            <w:tcW w:w="6600" w:type="dxa"/>
            <w:tcBorders>
              <w:top w:val="nil"/>
              <w:left w:val="nil"/>
              <w:bottom w:val="nil"/>
              <w:right w:val="nil"/>
            </w:tcBorders>
            <w:tcMar>
              <w:top w:w="0" w:type="dxa"/>
              <w:left w:w="62" w:type="dxa"/>
              <w:bottom w:w="0" w:type="dxa"/>
              <w:right w:w="62" w:type="dxa"/>
            </w:tcMar>
          </w:tcPr>
          <w:p w:rsidR="00000000" w:rsidRPr="004A7F1C" w:rsidP="004A7F1C">
            <w:pPr>
              <w:pStyle w:val="BodyText"/>
            </w:pPr>
            <w:r w:rsidRPr="004A7F1C">
              <w:t>Construction</w:t>
            </w:r>
          </w:p>
        </w:tc>
      </w:tr>
    </w:tbl>
    <w:p w:rsidR="00E83E5C" w:rsidP="004A7F1C">
      <w:pPr>
        <w:pStyle w:val="BodyText"/>
      </w:pPr>
    </w:p>
    <w:p w:rsidR="00E83E5C" w:rsidP="004A7F1C">
      <w:pPr>
        <w:pStyle w:val="BodyText"/>
      </w:pPr>
    </w:p>
    <w:p w:rsidR="00000000" w:rsidRPr="004A7F1C" w:rsidP="004A7F1C">
      <w:pPr>
        <w:pStyle w:val="Heading1"/>
      </w:pPr>
      <w:bookmarkStart w:id="13" w:name="O_198270"/>
      <w:bookmarkEnd w:id="13"/>
      <w:r w:rsidRPr="004A7F1C">
        <w:t>Functional area</w:t>
      </w:r>
    </w:p>
    <w:tbl>
      <w:tblPr>
        <w:tblW w:w="9348" w:type="dxa"/>
        <w:tblLayout w:type="fixed"/>
        <w:tblCellMar>
          <w:left w:w="62" w:type="dxa"/>
          <w:right w:w="62" w:type="dxa"/>
        </w:tblCellMar>
        <w:tblLook w:val="0000"/>
      </w:tblPr>
      <w:tblGrid>
        <w:gridCol w:w="2748"/>
        <w:gridCol w:w="6600"/>
      </w:tblGrid>
      <w:tr w:rsidTr="00E83E5C">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4A7F1C">
            <w:pPr>
              <w:pStyle w:val="BodyText"/>
              <w:rPr>
                <w:lang w:val="en-NZ"/>
              </w:rPr>
            </w:pPr>
            <w:r w:rsidRPr="004A7F1C">
              <w:rPr>
                <w:rStyle w:val="SpecialBold"/>
              </w:rPr>
              <w:t>Functional area</w:t>
            </w:r>
          </w:p>
        </w:tc>
        <w:tc>
          <w:tcPr>
            <w:tcW w:w="6600" w:type="dxa"/>
            <w:tcBorders>
              <w:top w:val="nil"/>
              <w:left w:val="nil"/>
              <w:bottom w:val="nil"/>
              <w:right w:val="nil"/>
            </w:tcBorders>
            <w:tcMar>
              <w:top w:w="0" w:type="dxa"/>
              <w:left w:w="62" w:type="dxa"/>
              <w:bottom w:w="0" w:type="dxa"/>
              <w:right w:w="62" w:type="dxa"/>
            </w:tcMar>
          </w:tcPr>
          <w:p w:rsidR="00000000" w:rsidRPr="004A7F1C" w:rsidP="004A7F1C">
            <w:pPr>
              <w:pStyle w:val="BodyText"/>
            </w:pPr>
          </w:p>
        </w:tc>
      </w:tr>
    </w:tbl>
    <w:p w:rsidR="00E83E5C" w:rsidP="004A7F1C">
      <w:pPr>
        <w:pStyle w:val="BodyText"/>
      </w:pPr>
    </w:p>
    <w:p w:rsidR="00E83E5C" w:rsidP="004A7F1C">
      <w:pPr>
        <w:pStyle w:val="BodyText"/>
      </w:pPr>
    </w:p>
    <w:p w:rsidR="00000000" w:rsidRPr="004A7F1C" w:rsidP="004A7F1C"/>
    <w:sectPr w:rsidSect="004A7F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F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3E5C" w:rsidP="00E83E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F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E5C" w:rsidP="004A7F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83E5C" w:rsidP="004A7F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83E5C" w:rsidP="004A7F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F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3E5C" w:rsidP="00E83E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F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E5C" w:rsidP="004A7F1C">
    <w:pPr>
      <w:pStyle w:val="Header"/>
      <w:framePr w:wrap="around"/>
    </w:pPr>
    <w:r>
      <w:fldChar w:fldCharType="begin"/>
    </w:r>
    <w:r>
      <w:instrText xml:space="preserve"> TITLE   \* MERGEFORMAT </w:instrText>
    </w:r>
    <w:r>
      <w:fldChar w:fldCharType="separate"/>
    </w:r>
    <w:r>
      <w:t>CPCCPD3025A Match specified paint colour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83E5C" w:rsidP="004A7F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388E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9C49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1C61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F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7F1C"/>
    <w:pPr>
      <w:spacing w:before="360" w:after="60"/>
      <w:outlineLvl w:val="0"/>
    </w:pPr>
    <w:rPr>
      <w:sz w:val="32"/>
    </w:rPr>
  </w:style>
  <w:style w:type="paragraph" w:styleId="Heading2">
    <w:name w:val="heading 2"/>
    <w:basedOn w:val="HeadingBase"/>
    <w:next w:val="BodyText"/>
    <w:link w:val="Heading2Char"/>
    <w:qFormat/>
    <w:rsid w:val="004A7F1C"/>
    <w:pPr>
      <w:keepLines/>
      <w:spacing w:before="240" w:after="120"/>
      <w:outlineLvl w:val="1"/>
    </w:pPr>
    <w:rPr>
      <w:sz w:val="28"/>
      <w:szCs w:val="40"/>
    </w:rPr>
  </w:style>
  <w:style w:type="paragraph" w:styleId="Heading3">
    <w:name w:val="heading 3"/>
    <w:basedOn w:val="HeadingBase"/>
    <w:next w:val="BodyText"/>
    <w:link w:val="Heading3Char"/>
    <w:qFormat/>
    <w:rsid w:val="004A7F1C"/>
    <w:pPr>
      <w:spacing w:before="180" w:after="120"/>
      <w:outlineLvl w:val="2"/>
    </w:pPr>
    <w:rPr>
      <w:spacing w:val="-10"/>
      <w:kern w:val="32"/>
    </w:rPr>
  </w:style>
  <w:style w:type="paragraph" w:styleId="Heading4">
    <w:name w:val="heading 4"/>
    <w:basedOn w:val="HeadingBase"/>
    <w:next w:val="BodyText"/>
    <w:link w:val="Heading4Char"/>
    <w:qFormat/>
    <w:rsid w:val="004A7F1C"/>
    <w:pPr>
      <w:spacing w:before="160" w:after="120"/>
      <w:outlineLvl w:val="3"/>
    </w:pPr>
    <w:rPr>
      <w:sz w:val="22"/>
    </w:rPr>
  </w:style>
  <w:style w:type="paragraph" w:styleId="Heading5">
    <w:name w:val="heading 5"/>
    <w:basedOn w:val="HeadingBase"/>
    <w:next w:val="Normal"/>
    <w:link w:val="Heading5Char"/>
    <w:qFormat/>
    <w:rsid w:val="004A7F1C"/>
    <w:pPr>
      <w:spacing w:before="80"/>
      <w:outlineLvl w:val="4"/>
    </w:pPr>
    <w:rPr>
      <w:color w:val="918585"/>
      <w:sz w:val="20"/>
    </w:rPr>
  </w:style>
  <w:style w:type="paragraph" w:styleId="Heading6">
    <w:name w:val="heading 6"/>
    <w:basedOn w:val="HeadingBase"/>
    <w:next w:val="Normal"/>
    <w:link w:val="Heading6Char"/>
    <w:qFormat/>
    <w:rsid w:val="004A7F1C"/>
    <w:pPr>
      <w:spacing w:before="60"/>
      <w:outlineLvl w:val="5"/>
    </w:pPr>
    <w:rPr>
      <w:color w:val="918585"/>
      <w:sz w:val="20"/>
    </w:rPr>
  </w:style>
  <w:style w:type="paragraph" w:styleId="Heading7">
    <w:name w:val="heading 7"/>
    <w:basedOn w:val="Normal"/>
    <w:next w:val="Normal"/>
    <w:link w:val="Heading7Char"/>
    <w:qFormat/>
    <w:rsid w:val="004A7F1C"/>
    <w:pPr>
      <w:ind w:left="720"/>
      <w:outlineLvl w:val="6"/>
    </w:pPr>
    <w:rPr>
      <w:i/>
    </w:rPr>
  </w:style>
  <w:style w:type="paragraph" w:styleId="Heading8">
    <w:name w:val="heading 8"/>
    <w:basedOn w:val="Normal"/>
    <w:next w:val="Normal"/>
    <w:link w:val="Heading8Char"/>
    <w:qFormat/>
    <w:rsid w:val="004A7F1C"/>
    <w:pPr>
      <w:ind w:left="720"/>
      <w:outlineLvl w:val="7"/>
    </w:pPr>
    <w:rPr>
      <w:i/>
    </w:rPr>
  </w:style>
  <w:style w:type="paragraph" w:styleId="Heading9">
    <w:name w:val="heading 9"/>
    <w:basedOn w:val="Normal"/>
    <w:next w:val="Normal"/>
    <w:link w:val="Heading9Char"/>
    <w:qFormat/>
    <w:rsid w:val="004A7F1C"/>
    <w:pPr>
      <w:ind w:left="720"/>
      <w:outlineLvl w:val="8"/>
    </w:pPr>
    <w:rPr>
      <w:i/>
    </w:rPr>
  </w:style>
  <w:style w:type="character" w:default="1" w:styleId="DefaultParagraphFont">
    <w:name w:val="Default Paragraph Font"/>
    <w:uiPriority w:val="1"/>
    <w:unhideWhenUsed/>
    <w:rsid w:val="004A7F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F1C"/>
  </w:style>
  <w:style w:type="character" w:customStyle="1" w:styleId="Heading1Char">
    <w:name w:val="Heading 1 Char"/>
    <w:basedOn w:val="DefaultParagraphFont"/>
    <w:link w:val="Heading1"/>
    <w:rsid w:val="004A7F1C"/>
    <w:rPr>
      <w:rFonts w:ascii="Times New Roman" w:eastAsia="Times New Roman" w:hAnsi="Times New Roman" w:cs="Times New Roman"/>
      <w:b/>
      <w:sz w:val="32"/>
      <w:szCs w:val="20"/>
      <w:lang w:eastAsia="en-US"/>
    </w:rPr>
  </w:style>
  <w:style w:type="paragraph" w:styleId="BodyText">
    <w:name w:val="Body Text"/>
    <w:basedOn w:val="Normal"/>
    <w:link w:val="BodyTextChar"/>
    <w:rsid w:val="004A7F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7F1C"/>
    <w:rPr>
      <w:rFonts w:ascii="Times New Roman" w:eastAsia="Times New Roman" w:hAnsi="Times New Roman" w:cs="Times New Roman"/>
      <w:sz w:val="24"/>
      <w:lang w:val="en-US" w:eastAsia="en-US"/>
    </w:rPr>
  </w:style>
  <w:style w:type="paragraph" w:styleId="Footer">
    <w:name w:val="footer"/>
    <w:basedOn w:val="Normal"/>
    <w:link w:val="FooterChar"/>
    <w:rsid w:val="004A7F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F1C"/>
    <w:rPr>
      <w:rFonts w:ascii="Times New Roman" w:eastAsia="Times New Roman" w:hAnsi="Times New Roman" w:cs="Times New Roman"/>
      <w:sz w:val="16"/>
      <w:lang w:val="en-US" w:eastAsia="en-US"/>
    </w:rPr>
  </w:style>
  <w:style w:type="paragraph" w:styleId="List">
    <w:name w:val="List"/>
    <w:basedOn w:val="BodyText"/>
    <w:next w:val="BodyText"/>
    <w:rsid w:val="004A7F1C"/>
    <w:pPr>
      <w:tabs>
        <w:tab w:val="left" w:pos="340"/>
      </w:tabs>
      <w:spacing w:before="60" w:after="60"/>
      <w:ind w:left="340" w:hanging="340"/>
    </w:pPr>
  </w:style>
  <w:style w:type="paragraph" w:styleId="ListBullet">
    <w:name w:val="List Bullet"/>
    <w:basedOn w:val="List"/>
    <w:rsid w:val="004A7F1C"/>
    <w:pPr>
      <w:numPr>
        <w:numId w:val="14"/>
      </w:numPr>
      <w:tabs>
        <w:tab w:val="clear" w:pos="340"/>
      </w:tabs>
      <w:spacing w:before="40" w:after="40"/>
    </w:pPr>
  </w:style>
  <w:style w:type="character" w:customStyle="1" w:styleId="SpecialBold">
    <w:name w:val="Special Bold"/>
    <w:basedOn w:val="DefaultParagraphFont"/>
    <w:rsid w:val="004A7F1C"/>
    <w:rPr>
      <w:b/>
      <w:spacing w:val="0"/>
    </w:rPr>
  </w:style>
  <w:style w:type="paragraph" w:styleId="ListBullet2">
    <w:name w:val="List Bullet 2"/>
    <w:basedOn w:val="List2"/>
    <w:rsid w:val="004A7F1C"/>
    <w:pPr>
      <w:numPr>
        <w:numId w:val="15"/>
      </w:numPr>
      <w:tabs>
        <w:tab w:val="clear" w:pos="680"/>
      </w:tabs>
    </w:pPr>
  </w:style>
  <w:style w:type="paragraph" w:styleId="Header">
    <w:name w:val="header"/>
    <w:basedOn w:val="Normal"/>
    <w:link w:val="HeaderChar"/>
    <w:rsid w:val="004A7F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F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7F1C"/>
    <w:pPr>
      <w:spacing w:before="240" w:after="120"/>
      <w:outlineLvl w:val="0"/>
    </w:pPr>
    <w:rPr>
      <w:rFonts w:ascii="Times New Roman" w:hAnsi="Times New Roman"/>
      <w:b/>
      <w:sz w:val="28"/>
    </w:rPr>
  </w:style>
  <w:style w:type="paragraph" w:customStyle="1" w:styleId="AllowPageBreak">
    <w:name w:val="AllowPageBreak"/>
    <w:rsid w:val="004A7F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7F1C"/>
    <w:pPr>
      <w:tabs>
        <w:tab w:val="left" w:pos="680"/>
      </w:tabs>
      <w:spacing w:before="60" w:after="60"/>
      <w:ind w:left="680" w:hanging="340"/>
    </w:pPr>
  </w:style>
  <w:style w:type="paragraph" w:styleId="ListBullet3">
    <w:name w:val="List Bullet 3"/>
    <w:basedOn w:val="List3"/>
    <w:rsid w:val="004A7F1C"/>
    <w:pPr>
      <w:numPr>
        <w:numId w:val="3"/>
      </w:numPr>
      <w:tabs>
        <w:tab w:val="clear" w:pos="1021"/>
      </w:tabs>
      <w:ind w:left="1037" w:hanging="357"/>
    </w:pPr>
  </w:style>
  <w:style w:type="character" w:customStyle="1" w:styleId="BoldandItalics">
    <w:name w:val="Bold and Italics"/>
    <w:qFormat/>
    <w:rsid w:val="004A7F1C"/>
    <w:rPr>
      <w:b/>
      <w:i/>
      <w:u w:val="none"/>
    </w:rPr>
  </w:style>
  <w:style w:type="character" w:customStyle="1" w:styleId="Heading2Char">
    <w:name w:val="Heading 2 Char"/>
    <w:basedOn w:val="DefaultParagraphFont"/>
    <w:link w:val="Heading2"/>
    <w:rsid w:val="004A7F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F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F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F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F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F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7F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7F1C"/>
    <w:rPr>
      <w:rFonts w:ascii="Courier New" w:eastAsia="Times New Roman" w:hAnsi="Courier New" w:cs="Times New Roman"/>
      <w:i/>
      <w:szCs w:val="20"/>
      <w:lang w:val="en-US" w:eastAsia="en-US"/>
    </w:rPr>
  </w:style>
  <w:style w:type="paragraph" w:customStyle="1" w:styleId="HeadingBase">
    <w:name w:val="Heading Base"/>
    <w:rsid w:val="004A7F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F1C"/>
    <w:pPr>
      <w:tabs>
        <w:tab w:val="right" w:leader="dot" w:pos="9072"/>
      </w:tabs>
      <w:ind w:left="567"/>
    </w:pPr>
    <w:rPr>
      <w:szCs w:val="22"/>
    </w:rPr>
  </w:style>
  <w:style w:type="paragraph" w:customStyle="1" w:styleId="TOCBase">
    <w:name w:val="TOC Base"/>
    <w:rsid w:val="004A7F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F1C"/>
    <w:pPr>
      <w:tabs>
        <w:tab w:val="right" w:leader="dot" w:pos="9072"/>
      </w:tabs>
      <w:spacing w:before="40" w:after="40"/>
      <w:ind w:left="284"/>
    </w:pPr>
    <w:rPr>
      <w:rFonts w:ascii="Times New Roman" w:hAnsi="Times New Roman"/>
    </w:rPr>
  </w:style>
  <w:style w:type="paragraph" w:styleId="TOC1">
    <w:name w:val="toc 1"/>
    <w:basedOn w:val="TOCBase"/>
    <w:next w:val="Normal"/>
    <w:rsid w:val="004A7F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7F1C"/>
    <w:pPr>
      <w:spacing w:before="5040"/>
      <w:jc w:val="center"/>
    </w:pPr>
    <w:rPr>
      <w:sz w:val="48"/>
      <w:szCs w:val="72"/>
      <w:lang w:val="en-US"/>
    </w:rPr>
  </w:style>
  <w:style w:type="character" w:customStyle="1" w:styleId="TitleChar">
    <w:name w:val="Title Char"/>
    <w:basedOn w:val="DefaultParagraphFont"/>
    <w:link w:val="Title"/>
    <w:rsid w:val="004A7F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F1C"/>
    <w:pPr>
      <w:tabs>
        <w:tab w:val="left" w:pos="3600"/>
        <w:tab w:val="left" w:pos="3958"/>
      </w:tabs>
    </w:pPr>
  </w:style>
  <w:style w:type="paragraph" w:customStyle="1" w:styleId="Note">
    <w:name w:val="Note"/>
    <w:basedOn w:val="BodyText"/>
    <w:rsid w:val="004A7F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F1C"/>
    <w:pPr>
      <w:framePr w:wrap="auto" w:hAnchor="text" w:y="6049"/>
    </w:pPr>
    <w:rPr>
      <w:color w:val="000000"/>
      <w:sz w:val="40"/>
    </w:rPr>
  </w:style>
  <w:style w:type="paragraph" w:customStyle="1" w:styleId="TOCTitle">
    <w:name w:val="TOCTitle"/>
    <w:basedOn w:val="Heading1"/>
    <w:rsid w:val="004A7F1C"/>
    <w:pPr>
      <w:spacing w:after="240"/>
      <w:jc w:val="center"/>
      <w:outlineLvl w:val="9"/>
    </w:pPr>
    <w:rPr>
      <w:caps/>
    </w:rPr>
  </w:style>
  <w:style w:type="paragraph" w:customStyle="1" w:styleId="Version">
    <w:name w:val="Version"/>
    <w:rsid w:val="004A7F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7F1C"/>
    <w:pPr>
      <w:keepNext w:val="0"/>
      <w:tabs>
        <w:tab w:val="right" w:pos="4176"/>
      </w:tabs>
      <w:ind w:left="198" w:hanging="198"/>
    </w:pPr>
    <w:rPr>
      <w:rFonts w:ascii="Garamond" w:hAnsi="Garamond"/>
    </w:rPr>
  </w:style>
  <w:style w:type="paragraph" w:styleId="IndexHeading">
    <w:name w:val="index heading"/>
    <w:basedOn w:val="Normal"/>
    <w:next w:val="Index1"/>
    <w:semiHidden/>
    <w:rsid w:val="004A7F1C"/>
    <w:pPr>
      <w:spacing w:before="120" w:after="120"/>
    </w:pPr>
    <w:rPr>
      <w:rFonts w:ascii="Arial" w:hAnsi="Arial"/>
      <w:b/>
      <w:color w:val="918585"/>
      <w:sz w:val="24"/>
    </w:rPr>
  </w:style>
  <w:style w:type="paragraph" w:customStyle="1" w:styleId="Chapter">
    <w:name w:val="Chapter"/>
    <w:basedOn w:val="Normal"/>
    <w:rsid w:val="004A7F1C"/>
    <w:pPr>
      <w:spacing w:before="240"/>
    </w:pPr>
    <w:rPr>
      <w:rFonts w:ascii="Times New Roman" w:hAnsi="Times New Roman"/>
      <w:smallCaps/>
      <w:spacing w:val="80"/>
      <w:sz w:val="28"/>
    </w:rPr>
  </w:style>
  <w:style w:type="paragraph" w:customStyle="1" w:styleId="InChapter">
    <w:name w:val="InChapter"/>
    <w:basedOn w:val="Heading3"/>
    <w:rsid w:val="004A7F1C"/>
    <w:pPr>
      <w:spacing w:after="240"/>
      <w:outlineLvl w:val="9"/>
    </w:pPr>
    <w:rPr>
      <w:noProof/>
    </w:rPr>
  </w:style>
  <w:style w:type="paragraph" w:styleId="Index2">
    <w:name w:val="index 2"/>
    <w:basedOn w:val="Normal"/>
    <w:next w:val="Normal"/>
    <w:semiHidden/>
    <w:rsid w:val="004A7F1C"/>
    <w:pPr>
      <w:tabs>
        <w:tab w:val="right" w:pos="4176"/>
      </w:tabs>
      <w:ind w:left="568" w:hanging="284"/>
    </w:pPr>
    <w:rPr>
      <w:rFonts w:ascii="Garamond" w:hAnsi="Garamond"/>
    </w:rPr>
  </w:style>
  <w:style w:type="paragraph" w:customStyle="1" w:styleId="Byline">
    <w:name w:val="Byline"/>
    <w:rsid w:val="004A7F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F1C"/>
    <w:pPr>
      <w:tabs>
        <w:tab w:val="clear" w:pos="3600"/>
        <w:tab w:val="clear" w:pos="3958"/>
      </w:tabs>
      <w:jc w:val="right"/>
    </w:pPr>
  </w:style>
  <w:style w:type="character" w:styleId="Emphasis">
    <w:name w:val="Emphasis"/>
    <w:basedOn w:val="DefaultParagraphFont"/>
    <w:qFormat/>
    <w:rsid w:val="004A7F1C"/>
    <w:rPr>
      <w:i/>
    </w:rPr>
  </w:style>
  <w:style w:type="paragraph" w:styleId="Caption">
    <w:name w:val="caption"/>
    <w:basedOn w:val="BodyText"/>
    <w:next w:val="Normal"/>
    <w:qFormat/>
    <w:rsid w:val="004A7F1C"/>
    <w:pPr>
      <w:framePr w:w="2268" w:hSpace="181" w:vSpace="181" w:wrap="around" w:vAnchor="text" w:hAnchor="page" w:x="1135" w:y="285" w:anchorLock="1"/>
    </w:pPr>
    <w:rPr>
      <w:i/>
    </w:rPr>
  </w:style>
  <w:style w:type="paragraph" w:customStyle="1" w:styleId="MiniTOCTitle">
    <w:name w:val="MiniTOCTitle"/>
    <w:basedOn w:val="Heading4"/>
    <w:rsid w:val="004A7F1C"/>
    <w:pPr>
      <w:spacing w:before="240"/>
      <w:outlineLvl w:val="9"/>
    </w:pPr>
    <w:rPr>
      <w:noProof/>
      <w:sz w:val="24"/>
    </w:rPr>
  </w:style>
  <w:style w:type="paragraph" w:customStyle="1" w:styleId="MiniTOCItem">
    <w:name w:val="MiniTOCItem"/>
    <w:basedOn w:val="ListBullet"/>
    <w:rsid w:val="004A7F1C"/>
    <w:pPr>
      <w:numPr>
        <w:numId w:val="0"/>
      </w:numPr>
      <w:tabs>
        <w:tab w:val="right" w:leader="dot" w:pos="6521"/>
      </w:tabs>
      <w:spacing w:before="0" w:after="0"/>
    </w:pPr>
  </w:style>
  <w:style w:type="paragraph" w:customStyle="1" w:styleId="TOFTitle">
    <w:name w:val="TOFTitle"/>
    <w:basedOn w:val="TOCTitle"/>
    <w:rsid w:val="004A7F1C"/>
  </w:style>
  <w:style w:type="paragraph" w:styleId="TableofFigures">
    <w:name w:val="table of figures"/>
    <w:basedOn w:val="Normal"/>
    <w:next w:val="Normal"/>
    <w:semiHidden/>
    <w:rsid w:val="004A7F1C"/>
    <w:pPr>
      <w:tabs>
        <w:tab w:val="right" w:leader="dot" w:pos="9072"/>
      </w:tabs>
      <w:ind w:left="970" w:hanging="403"/>
    </w:pPr>
    <w:rPr>
      <w:rFonts w:ascii="Times New Roman" w:hAnsi="Times New Roman"/>
      <w:b/>
    </w:rPr>
  </w:style>
  <w:style w:type="paragraph" w:styleId="ListNumber">
    <w:name w:val="List Number"/>
    <w:basedOn w:val="List"/>
    <w:rsid w:val="004A7F1C"/>
    <w:pPr>
      <w:numPr>
        <w:numId w:val="12"/>
      </w:numPr>
    </w:pPr>
  </w:style>
  <w:style w:type="character" w:customStyle="1" w:styleId="WingdingSymbols">
    <w:name w:val="Wingding Symbols"/>
    <w:rsid w:val="004A7F1C"/>
    <w:rPr>
      <w:rFonts w:ascii="Wingdings" w:hAnsi="Wingdings"/>
    </w:rPr>
  </w:style>
  <w:style w:type="paragraph" w:customStyle="1" w:styleId="TableHeading">
    <w:name w:val="Table Heading"/>
    <w:basedOn w:val="HeadingBase"/>
    <w:rsid w:val="004A7F1C"/>
    <w:pPr>
      <w:keepLines/>
      <w:pBdr>
        <w:bottom w:val="single" w:sz="6" w:space="1" w:color="918585"/>
      </w:pBdr>
      <w:spacing w:before="240"/>
    </w:pPr>
  </w:style>
  <w:style w:type="character" w:customStyle="1" w:styleId="HotSpot">
    <w:name w:val="HotSpot"/>
    <w:rsid w:val="004A7F1C"/>
    <w:rPr>
      <w:color w:val="0033CC"/>
      <w:u w:val="none"/>
    </w:rPr>
  </w:style>
  <w:style w:type="paragraph" w:customStyle="1" w:styleId="BodyTextRight">
    <w:name w:val="Body Text Right"/>
    <w:basedOn w:val="BodyText"/>
    <w:rsid w:val="004A7F1C"/>
    <w:pPr>
      <w:spacing w:before="0" w:after="0"/>
      <w:jc w:val="right"/>
    </w:pPr>
  </w:style>
  <w:style w:type="paragraph" w:styleId="Index3">
    <w:name w:val="index 3"/>
    <w:basedOn w:val="ListNumber2"/>
    <w:next w:val="Normal"/>
    <w:semiHidden/>
    <w:rsid w:val="004A7F1C"/>
    <w:pPr>
      <w:numPr>
        <w:numId w:val="0"/>
      </w:numPr>
      <w:tabs>
        <w:tab w:val="right" w:leader="dot" w:pos="4176"/>
      </w:tabs>
    </w:pPr>
  </w:style>
  <w:style w:type="paragraph" w:styleId="ListNumber2">
    <w:name w:val="List Number 2"/>
    <w:basedOn w:val="List2"/>
    <w:rsid w:val="004A7F1C"/>
    <w:pPr>
      <w:numPr>
        <w:numId w:val="11"/>
      </w:numPr>
      <w:tabs>
        <w:tab w:val="clear" w:pos="1060"/>
      </w:tabs>
    </w:pPr>
  </w:style>
  <w:style w:type="paragraph" w:customStyle="1" w:styleId="MarginNote">
    <w:name w:val="Margin Note"/>
    <w:basedOn w:val="BodyText"/>
    <w:rsid w:val="004A7F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F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F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7F1C"/>
    <w:rPr>
      <w:sz w:val="32"/>
    </w:rPr>
  </w:style>
  <w:style w:type="paragraph" w:customStyle="1" w:styleId="HeadingProcedure">
    <w:name w:val="Heading Procedure"/>
    <w:basedOn w:val="HeadingBase"/>
    <w:next w:val="Normal"/>
    <w:rsid w:val="004A7F1C"/>
    <w:pPr>
      <w:tabs>
        <w:tab w:val="left" w:pos="0"/>
      </w:tabs>
      <w:spacing w:before="120" w:after="60"/>
    </w:pPr>
    <w:rPr>
      <w:i/>
      <w:color w:val="918585"/>
      <w:sz w:val="22"/>
    </w:rPr>
  </w:style>
  <w:style w:type="paragraph" w:customStyle="1" w:styleId="TableBodyText">
    <w:name w:val="Table Body Text"/>
    <w:basedOn w:val="BodyText"/>
    <w:rsid w:val="004A7F1C"/>
    <w:pPr>
      <w:spacing w:before="60" w:after="60"/>
    </w:pPr>
  </w:style>
  <w:style w:type="paragraph" w:styleId="ListContinue">
    <w:name w:val="List Continue"/>
    <w:basedOn w:val="List"/>
    <w:rsid w:val="004A7F1C"/>
    <w:pPr>
      <w:ind w:firstLine="0"/>
    </w:pPr>
  </w:style>
  <w:style w:type="paragraph" w:customStyle="1" w:styleId="ListNote">
    <w:name w:val="List Note"/>
    <w:basedOn w:val="List"/>
    <w:rsid w:val="004A7F1C"/>
    <w:pPr>
      <w:pBdr>
        <w:top w:val="single" w:sz="6" w:space="2" w:color="918585"/>
        <w:bottom w:val="single" w:sz="6" w:space="2" w:color="918585"/>
      </w:pBdr>
      <w:tabs>
        <w:tab w:val="left" w:pos="1021"/>
      </w:tabs>
      <w:ind w:firstLine="0"/>
    </w:pPr>
  </w:style>
  <w:style w:type="paragraph" w:customStyle="1" w:styleId="Warning">
    <w:name w:val="Warning"/>
    <w:basedOn w:val="BodyText"/>
    <w:rsid w:val="004A7F1C"/>
    <w:pPr>
      <w:shd w:val="clear" w:color="auto" w:fill="D9D9D9"/>
      <w:tabs>
        <w:tab w:val="left" w:pos="992"/>
      </w:tabs>
      <w:ind w:left="119" w:right="119"/>
    </w:pPr>
    <w:rPr>
      <w:sz w:val="20"/>
    </w:rPr>
  </w:style>
  <w:style w:type="paragraph" w:customStyle="1" w:styleId="MarginIcons">
    <w:name w:val="Margin Icons"/>
    <w:basedOn w:val="BodyText"/>
    <w:rsid w:val="004A7F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F1C"/>
    <w:rPr>
      <w:rFonts w:ascii="Courier New" w:hAnsi="Courier New"/>
    </w:rPr>
  </w:style>
  <w:style w:type="paragraph" w:customStyle="1" w:styleId="NoteBullet">
    <w:name w:val="Note Bullet"/>
    <w:basedOn w:val="Note"/>
    <w:rsid w:val="004A7F1C"/>
    <w:pPr>
      <w:tabs>
        <w:tab w:val="clear" w:pos="680"/>
      </w:tabs>
      <w:spacing w:before="60" w:after="60"/>
    </w:pPr>
  </w:style>
  <w:style w:type="paragraph" w:customStyle="1" w:styleId="SubHeading2">
    <w:name w:val="SubHeading2"/>
    <w:basedOn w:val="HeadingBase"/>
    <w:rsid w:val="004A7F1C"/>
    <w:pPr>
      <w:spacing w:before="240" w:after="60"/>
    </w:pPr>
    <w:rPr>
      <w:sz w:val="20"/>
    </w:rPr>
  </w:style>
  <w:style w:type="paragraph" w:customStyle="1" w:styleId="SubHeading1">
    <w:name w:val="SubHeading1"/>
    <w:basedOn w:val="HeadingBase"/>
    <w:rsid w:val="004A7F1C"/>
    <w:pPr>
      <w:spacing w:before="240" w:after="60"/>
    </w:pPr>
    <w:rPr>
      <w:color w:val="918585"/>
      <w:sz w:val="22"/>
    </w:rPr>
  </w:style>
  <w:style w:type="paragraph" w:customStyle="1" w:styleId="SideHeading">
    <w:name w:val="Side Heading"/>
    <w:basedOn w:val="HeadingBase"/>
    <w:rsid w:val="004A7F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F1C"/>
    <w:pPr>
      <w:numPr>
        <w:numId w:val="13"/>
      </w:numPr>
    </w:pPr>
  </w:style>
  <w:style w:type="paragraph" w:styleId="PlainText">
    <w:name w:val="Plain Text"/>
    <w:basedOn w:val="Normal"/>
    <w:link w:val="PlainTextChar"/>
    <w:rsid w:val="004A7F1C"/>
    <w:rPr>
      <w:sz w:val="20"/>
    </w:rPr>
  </w:style>
  <w:style w:type="character" w:customStyle="1" w:styleId="PlainTextChar">
    <w:name w:val="Plain Text Char"/>
    <w:basedOn w:val="DefaultParagraphFont"/>
    <w:link w:val="PlainText"/>
    <w:rsid w:val="004A7F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7F1C"/>
    <w:rPr>
      <w:b/>
      <w:smallCaps/>
    </w:rPr>
  </w:style>
  <w:style w:type="paragraph" w:customStyle="1" w:styleId="TableListNumber">
    <w:name w:val="Table List Number"/>
    <w:basedOn w:val="ListNumber"/>
    <w:rsid w:val="004A7F1C"/>
    <w:pPr>
      <w:numPr>
        <w:numId w:val="0"/>
      </w:numPr>
    </w:pPr>
  </w:style>
  <w:style w:type="paragraph" w:styleId="TOC4">
    <w:name w:val="toc 4"/>
    <w:basedOn w:val="TOCBase"/>
    <w:next w:val="Normal"/>
    <w:semiHidden/>
    <w:rsid w:val="004A7F1C"/>
    <w:pPr>
      <w:tabs>
        <w:tab w:val="right" w:leader="dot" w:pos="9071"/>
      </w:tabs>
      <w:ind w:left="1701"/>
    </w:pPr>
  </w:style>
  <w:style w:type="paragraph" w:customStyle="1" w:styleId="ListAlpha">
    <w:name w:val="List Alpha"/>
    <w:basedOn w:val="List"/>
    <w:rsid w:val="004A7F1C"/>
    <w:pPr>
      <w:numPr>
        <w:numId w:val="10"/>
      </w:numPr>
    </w:pPr>
  </w:style>
  <w:style w:type="paragraph" w:customStyle="1" w:styleId="ListAlpha2">
    <w:name w:val="List Alpha 2"/>
    <w:basedOn w:val="List2"/>
    <w:rsid w:val="004A7F1C"/>
    <w:pPr>
      <w:numPr>
        <w:numId w:val="9"/>
      </w:numPr>
    </w:pPr>
  </w:style>
  <w:style w:type="paragraph" w:styleId="List3">
    <w:name w:val="List 3"/>
    <w:basedOn w:val="BodyText"/>
    <w:rsid w:val="004A7F1C"/>
    <w:pPr>
      <w:tabs>
        <w:tab w:val="left" w:pos="1021"/>
      </w:tabs>
      <w:spacing w:before="60" w:after="60"/>
      <w:ind w:left="1020" w:hanging="340"/>
    </w:pPr>
  </w:style>
  <w:style w:type="paragraph" w:styleId="List4">
    <w:name w:val="List 4"/>
    <w:basedOn w:val="BodyText"/>
    <w:rsid w:val="004A7F1C"/>
    <w:pPr>
      <w:tabs>
        <w:tab w:val="left" w:pos="1361"/>
      </w:tabs>
      <w:spacing w:before="60" w:after="60"/>
      <w:ind w:left="1361" w:hanging="340"/>
    </w:pPr>
  </w:style>
  <w:style w:type="paragraph" w:styleId="List5">
    <w:name w:val="List 5"/>
    <w:basedOn w:val="BodyText"/>
    <w:rsid w:val="004A7F1C"/>
    <w:pPr>
      <w:tabs>
        <w:tab w:val="left" w:pos="1701"/>
      </w:tabs>
      <w:spacing w:before="60" w:after="60"/>
      <w:ind w:left="1701" w:hanging="340"/>
    </w:pPr>
  </w:style>
  <w:style w:type="paragraph" w:styleId="ListBullet4">
    <w:name w:val="List Bullet 4"/>
    <w:basedOn w:val="List4"/>
    <w:rsid w:val="004A7F1C"/>
    <w:pPr>
      <w:numPr>
        <w:numId w:val="4"/>
      </w:numPr>
    </w:pPr>
  </w:style>
  <w:style w:type="paragraph" w:styleId="ListBullet5">
    <w:name w:val="List Bullet 5"/>
    <w:basedOn w:val="List5"/>
    <w:rsid w:val="004A7F1C"/>
    <w:pPr>
      <w:numPr>
        <w:numId w:val="5"/>
      </w:numPr>
    </w:pPr>
  </w:style>
  <w:style w:type="paragraph" w:styleId="ListContinue2">
    <w:name w:val="List Continue 2"/>
    <w:basedOn w:val="List2"/>
    <w:rsid w:val="004A7F1C"/>
    <w:pPr>
      <w:ind w:firstLine="0"/>
    </w:pPr>
  </w:style>
  <w:style w:type="paragraph" w:styleId="ListContinue3">
    <w:name w:val="List Continue 3"/>
    <w:basedOn w:val="List3"/>
    <w:rsid w:val="004A7F1C"/>
    <w:pPr>
      <w:ind w:left="1021" w:firstLine="0"/>
    </w:pPr>
  </w:style>
  <w:style w:type="paragraph" w:styleId="ListContinue4">
    <w:name w:val="List Continue 4"/>
    <w:basedOn w:val="List4"/>
    <w:rsid w:val="004A7F1C"/>
    <w:pPr>
      <w:ind w:firstLine="0"/>
    </w:pPr>
  </w:style>
  <w:style w:type="paragraph" w:styleId="ListContinue5">
    <w:name w:val="List Continue 5"/>
    <w:basedOn w:val="List5"/>
    <w:rsid w:val="004A7F1C"/>
    <w:pPr>
      <w:ind w:firstLine="0"/>
    </w:pPr>
  </w:style>
  <w:style w:type="paragraph" w:styleId="ListNumber3">
    <w:name w:val="List Number 3"/>
    <w:basedOn w:val="List3"/>
    <w:rsid w:val="004A7F1C"/>
    <w:pPr>
      <w:numPr>
        <w:numId w:val="6"/>
      </w:numPr>
    </w:pPr>
  </w:style>
  <w:style w:type="paragraph" w:styleId="ListNumber4">
    <w:name w:val="List Number 4"/>
    <w:basedOn w:val="List4"/>
    <w:rsid w:val="004A7F1C"/>
    <w:pPr>
      <w:numPr>
        <w:numId w:val="7"/>
      </w:numPr>
    </w:pPr>
  </w:style>
  <w:style w:type="paragraph" w:styleId="ListNumber5">
    <w:name w:val="List Number 5"/>
    <w:basedOn w:val="List5"/>
    <w:rsid w:val="004A7F1C"/>
    <w:pPr>
      <w:numPr>
        <w:numId w:val="8"/>
      </w:numPr>
    </w:pPr>
  </w:style>
  <w:style w:type="paragraph" w:styleId="BlockText">
    <w:name w:val="Block Text"/>
    <w:basedOn w:val="Normal"/>
    <w:rsid w:val="004A7F1C"/>
    <w:pPr>
      <w:spacing w:after="120"/>
      <w:ind w:left="1440" w:right="1440"/>
    </w:pPr>
  </w:style>
  <w:style w:type="character" w:customStyle="1" w:styleId="Subscript">
    <w:name w:val="Subscript"/>
    <w:basedOn w:val="DefaultParagraphFont"/>
    <w:rsid w:val="004A7F1C"/>
    <w:rPr>
      <w:sz w:val="16"/>
      <w:vertAlign w:val="subscript"/>
    </w:rPr>
  </w:style>
  <w:style w:type="character" w:customStyle="1" w:styleId="Superscript">
    <w:name w:val="Superscript"/>
    <w:basedOn w:val="DefaultParagraphFont"/>
    <w:rsid w:val="004A7F1C"/>
    <w:rPr>
      <w:sz w:val="16"/>
      <w:vertAlign w:val="superscript"/>
    </w:rPr>
  </w:style>
  <w:style w:type="character" w:customStyle="1" w:styleId="Symbols">
    <w:name w:val="Symbols"/>
    <w:basedOn w:val="DefaultParagraphFont"/>
    <w:rsid w:val="004A7F1C"/>
    <w:rPr>
      <w:rFonts w:ascii="Symbol" w:hAnsi="Symbol"/>
    </w:rPr>
  </w:style>
  <w:style w:type="character" w:customStyle="1" w:styleId="MenuOptions">
    <w:name w:val="Menu Options"/>
    <w:basedOn w:val="DefaultParagraphFont"/>
    <w:rsid w:val="004A7F1C"/>
    <w:rPr>
      <w:rFonts w:ascii="Arial Narrow" w:hAnsi="Arial Narrow"/>
      <w:smallCaps/>
    </w:rPr>
  </w:style>
  <w:style w:type="character" w:customStyle="1" w:styleId="Buttons">
    <w:name w:val="Buttons"/>
    <w:basedOn w:val="DefaultParagraphFont"/>
    <w:rsid w:val="004A7F1C"/>
    <w:rPr>
      <w:b/>
    </w:rPr>
  </w:style>
  <w:style w:type="character" w:customStyle="1" w:styleId="Underlined">
    <w:name w:val="Underlined"/>
    <w:basedOn w:val="DefaultParagraphFont"/>
    <w:rsid w:val="004A7F1C"/>
    <w:rPr>
      <w:u w:val="single"/>
    </w:rPr>
  </w:style>
  <w:style w:type="paragraph" w:customStyle="1" w:styleId="TableBodyTextRight">
    <w:name w:val="Table Body Text Right"/>
    <w:basedOn w:val="TableBodyText"/>
    <w:rsid w:val="004A7F1C"/>
    <w:pPr>
      <w:widowControl w:val="0"/>
      <w:autoSpaceDE w:val="0"/>
      <w:autoSpaceDN w:val="0"/>
      <w:adjustRightInd w:val="0"/>
      <w:jc w:val="right"/>
    </w:pPr>
    <w:rPr>
      <w:rFonts w:cs="Arial"/>
      <w:szCs w:val="18"/>
    </w:rPr>
  </w:style>
  <w:style w:type="paragraph" w:customStyle="1" w:styleId="CopyrightText">
    <w:name w:val="Copyright Text"/>
    <w:basedOn w:val="BodyText"/>
    <w:rsid w:val="004A7F1C"/>
    <w:rPr>
      <w:sz w:val="18"/>
    </w:rPr>
  </w:style>
  <w:style w:type="paragraph" w:customStyle="1" w:styleId="BodySmallRight">
    <w:name w:val="Body Small Right"/>
    <w:basedOn w:val="BodyTextRight"/>
    <w:rsid w:val="004A7F1C"/>
    <w:rPr>
      <w:sz w:val="18"/>
      <w:szCs w:val="18"/>
    </w:rPr>
  </w:style>
  <w:style w:type="paragraph" w:customStyle="1" w:styleId="MarginEdition">
    <w:name w:val="Margin Edition"/>
    <w:basedOn w:val="MarginNote"/>
    <w:rsid w:val="004A7F1C"/>
    <w:pPr>
      <w:spacing w:before="0" w:after="0"/>
    </w:pPr>
    <w:rPr>
      <w:rFonts w:ascii="Times New Roman" w:hAnsi="Times New Roman"/>
      <w:color w:val="999999"/>
    </w:rPr>
  </w:style>
  <w:style w:type="paragraph" w:customStyle="1" w:styleId="Spacer">
    <w:name w:val="Spacer"/>
    <w:basedOn w:val="Normal"/>
    <w:rsid w:val="004A7F1C"/>
    <w:rPr>
      <w:sz w:val="2"/>
      <w:szCs w:val="2"/>
    </w:rPr>
  </w:style>
  <w:style w:type="character" w:customStyle="1" w:styleId="Small">
    <w:name w:val="Small"/>
    <w:basedOn w:val="DefaultParagraphFont"/>
    <w:rsid w:val="004A7F1C"/>
    <w:rPr>
      <w:sz w:val="16"/>
    </w:rPr>
  </w:style>
  <w:style w:type="paragraph" w:customStyle="1" w:styleId="WideTable">
    <w:name w:val="Wide Table"/>
    <w:basedOn w:val="Normal"/>
    <w:rsid w:val="004A7F1C"/>
    <w:pPr>
      <w:ind w:left="-1418"/>
    </w:pPr>
    <w:rPr>
      <w:sz w:val="2"/>
      <w:szCs w:val="2"/>
    </w:rPr>
  </w:style>
  <w:style w:type="character" w:styleId="PageNumber">
    <w:name w:val="page number"/>
    <w:basedOn w:val="DefaultParagraphFont"/>
    <w:rsid w:val="004A7F1C"/>
  </w:style>
  <w:style w:type="paragraph" w:styleId="Quote">
    <w:name w:val="Quote"/>
    <w:basedOn w:val="Heading1"/>
    <w:link w:val="QuoteChar"/>
    <w:qFormat/>
    <w:rsid w:val="004A7F1C"/>
    <w:rPr>
      <w:b w:val="0"/>
      <w:sz w:val="72"/>
      <w:szCs w:val="72"/>
      <w:lang w:val="en-NZ"/>
    </w:rPr>
  </w:style>
  <w:style w:type="character" w:customStyle="1" w:styleId="QuoteChar">
    <w:name w:val="Quote Char"/>
    <w:basedOn w:val="DefaultParagraphFont"/>
    <w:link w:val="Quote"/>
    <w:rsid w:val="004A7F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F1C"/>
    <w:pPr>
      <w:pageBreakBefore/>
    </w:pPr>
  </w:style>
  <w:style w:type="paragraph" w:customStyle="1" w:styleId="Border">
    <w:name w:val="Border"/>
    <w:basedOn w:val="Normal"/>
    <w:qFormat/>
    <w:rsid w:val="004A7F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F1C"/>
    <w:rPr>
      <w:b/>
      <w:bCs/>
      <w:i/>
      <w:iCs/>
      <w:color w:val="auto"/>
    </w:rPr>
  </w:style>
  <w:style w:type="paragraph" w:styleId="IntenseQuote">
    <w:name w:val="Intense Quote"/>
    <w:basedOn w:val="Normal"/>
    <w:next w:val="Normal"/>
    <w:link w:val="IntenseQuoteChar"/>
    <w:uiPriority w:val="30"/>
    <w:qFormat/>
    <w:rsid w:val="004A7F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F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7F1C"/>
    <w:rPr>
      <w:smallCaps/>
      <w:color w:val="auto"/>
      <w:u w:val="single"/>
    </w:rPr>
  </w:style>
  <w:style w:type="character" w:styleId="IntenseReference">
    <w:name w:val="Intense Reference"/>
    <w:basedOn w:val="DefaultParagraphFont"/>
    <w:uiPriority w:val="32"/>
    <w:qFormat/>
    <w:rsid w:val="004A7F1C"/>
    <w:rPr>
      <w:b/>
      <w:bCs/>
      <w:smallCaps/>
      <w:color w:val="auto"/>
      <w:spacing w:val="5"/>
      <w:u w:val="single"/>
    </w:rPr>
  </w:style>
  <w:style w:type="paragraph" w:customStyle="1" w:styleId="2ColumnHeading">
    <w:name w:val="2Column Heading"/>
    <w:basedOn w:val="BodyText"/>
    <w:qFormat/>
    <w:rsid w:val="004A7F1C"/>
    <w:pPr>
      <w:spacing w:after="60"/>
      <w:ind w:left="-2268"/>
    </w:pPr>
    <w:rPr>
      <w:b/>
    </w:rPr>
  </w:style>
  <w:style w:type="paragraph" w:customStyle="1" w:styleId="Heading1TOC">
    <w:name w:val="Heading1 TOC"/>
    <w:basedOn w:val="Normal"/>
    <w:qFormat/>
    <w:rsid w:val="004A7F1C"/>
    <w:pPr>
      <w:spacing w:before="240" w:after="120"/>
    </w:pPr>
    <w:rPr>
      <w:rFonts w:ascii="Times New Roman" w:hAnsi="Times New Roman"/>
      <w:b/>
      <w:sz w:val="32"/>
    </w:rPr>
  </w:style>
  <w:style w:type="paragraph" w:customStyle="1" w:styleId="Heading2TOC">
    <w:name w:val="Heading2 TOC"/>
    <w:basedOn w:val="Normal"/>
    <w:qFormat/>
    <w:rsid w:val="004A7F1C"/>
    <w:pPr>
      <w:spacing w:before="240" w:after="60"/>
    </w:pPr>
    <w:rPr>
      <w:rFonts w:ascii="Times New Roman" w:hAnsi="Times New Roman"/>
      <w:b/>
      <w:sz w:val="28"/>
    </w:rPr>
  </w:style>
  <w:style w:type="character" w:customStyle="1" w:styleId="Underline">
    <w:name w:val="Underline"/>
    <w:basedOn w:val="DefaultParagraphFont"/>
    <w:qFormat/>
    <w:rsid w:val="004A7F1C"/>
    <w:rPr>
      <w:u w:val="single"/>
    </w:rPr>
  </w:style>
  <w:style w:type="paragraph" w:styleId="BalloonText">
    <w:name w:val="Balloon Text"/>
    <w:basedOn w:val="Normal"/>
    <w:link w:val="BalloonTextChar"/>
    <w:rsid w:val="004A7F1C"/>
    <w:rPr>
      <w:rFonts w:ascii="Tahoma" w:hAnsi="Tahoma" w:cs="Tahoma"/>
      <w:sz w:val="16"/>
      <w:szCs w:val="16"/>
    </w:rPr>
  </w:style>
  <w:style w:type="character" w:customStyle="1" w:styleId="BalloonTextChar">
    <w:name w:val="Balloon Text Char"/>
    <w:basedOn w:val="DefaultParagraphFont"/>
    <w:link w:val="BalloonText"/>
    <w:rsid w:val="004A7F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7F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7F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1750</Words>
  <Characters>11162</Characters>
  <Application>Microsoft Office Word</Application>
  <DocSecurity>0</DocSecurity>
  <Lines>380</Lines>
  <Paragraphs>207</Paragraphs>
  <ScaleCrop>false</ScaleCrop>
  <Company>Author-it Software Corporation Ltd.</Company>
  <LinksUpToDate>false</LinksUpToDate>
  <CharactersWithSpaces>12843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CPCCPD3025A Match specified paint colour</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2012-05-26T05:32:00Z</dcterms:created>
  <dcterms:modified xsi:type="dcterms:W3CDTF">2012-05-26T05:32:00Z</dcterms:modified>
</cp:coreProperties>
</file>