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E90" w:rsidP="00644E90">
      <w:pPr>
        <w:pStyle w:val="Title"/>
      </w:pPr>
      <w:r>
        <w:fldChar w:fldCharType="begin"/>
      </w:r>
      <w:r>
        <w:instrText xml:space="preserve"> TITLE   \* MERGEFORMAT </w:instrText>
      </w:r>
      <w:r>
        <w:fldChar w:fldCharType="separate"/>
      </w:r>
      <w:r>
        <w:t>CPCCPD3022A Apply paint by brush and roller</w:t>
      </w:r>
      <w:r>
        <w:fldChar w:fldCharType="end"/>
      </w:r>
    </w:p>
    <w:p w:rsidR="00644E90" w:rsidP="00644E90">
      <w:pPr>
        <w:pStyle w:val="Version"/>
        <w:sectPr w:rsidSect="00A234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499" w:rsidP="00A23499">
      <w:pPr>
        <w:pStyle w:val="SuperHeading"/>
      </w:pPr>
      <w:r w:rsidRPr="00A23499">
        <w:t>CPCCPD3022A Apply paint by brush and roller</w:t>
      </w:r>
    </w:p>
    <w:p w:rsidR="00000000" w:rsidRPr="00A23499" w:rsidP="00A23499">
      <w:pPr>
        <w:pStyle w:val="Heading1"/>
      </w:pPr>
      <w:bookmarkStart w:id="1" w:name="O_269632"/>
      <w:bookmarkEnd w:id="1"/>
      <w:r w:rsidRPr="00A23499">
        <w:t>Modification History</w:t>
      </w:r>
    </w:p>
    <w:p w:rsidR="00000000" w:rsidRPr="00A23499" w:rsidP="00A23499">
      <w:pPr>
        <w:pStyle w:val="BodyText"/>
      </w:pPr>
      <w:r w:rsidRPr="00A23499">
        <w:t>Not Applicable</w:t>
      </w:r>
    </w:p>
    <w:p w:rsidR="00000000" w:rsidRPr="00A23499" w:rsidP="00A23499">
      <w:pPr>
        <w:pStyle w:val="AllowPageBreak"/>
      </w:pPr>
    </w:p>
    <w:p w:rsidR="00000000" w:rsidRPr="00A23499" w:rsidP="00A23499">
      <w:pPr>
        <w:pStyle w:val="Heading1"/>
      </w:pPr>
      <w:bookmarkStart w:id="2" w:name="O_198248"/>
      <w:bookmarkEnd w:id="2"/>
      <w:r w:rsidRPr="00A23499">
        <w:t>Unit Descriptor</w:t>
      </w:r>
    </w:p>
    <w:tbl>
      <w:tblPr>
        <w:tblW w:w="0" w:type="auto"/>
        <w:tblLayout w:type="fixed"/>
        <w:tblCellMar>
          <w:left w:w="62" w:type="dxa"/>
          <w:right w:w="62" w:type="dxa"/>
        </w:tblCellMar>
        <w:tblLook w:val="0000"/>
      </w:tblPr>
      <w:tblGrid>
        <w:gridCol w:w="2639"/>
        <w:gridCol w:w="5883"/>
      </w:tblGrid>
      <w:tr w:rsidTr="00644E90">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This unit of competency specifies the outcomes required to apply brushed or rolled paint coatings to different</w:t>
            </w:r>
            <w:r w:rsidRPr="00A23499">
              <w:t xml:space="preserve"> materials to form a protective and decorative painted finish.</w:t>
            </w:r>
          </w:p>
          <w:p w:rsidR="00000000" w:rsidRPr="00A23499" w:rsidP="00A23499">
            <w:pPr>
              <w:pStyle w:val="BodyText"/>
            </w:pPr>
            <w:r w:rsidRPr="00A23499">
              <w:t>The unit includes planning and preparation for the work, preparation of the work area, mixing of materials, application of paint, finishing of the surface and completion of clean-up activities.</w:t>
            </w:r>
          </w:p>
        </w:tc>
      </w:tr>
    </w:tbl>
    <w:p w:rsidR="00644E90" w:rsidP="00A23499">
      <w:pPr>
        <w:pStyle w:val="BodyText"/>
      </w:pPr>
    </w:p>
    <w:p w:rsidR="00644E90" w:rsidP="00A23499">
      <w:pPr>
        <w:pStyle w:val="BodyText"/>
      </w:pPr>
    </w:p>
    <w:p w:rsidR="00000000" w:rsidRPr="00A23499" w:rsidP="00A23499">
      <w:pPr>
        <w:pStyle w:val="Heading1"/>
      </w:pPr>
      <w:bookmarkStart w:id="3" w:name="O_198251"/>
      <w:bookmarkEnd w:id="3"/>
      <w:r w:rsidRPr="00A23499">
        <w:t>Application of the Unit</w:t>
      </w:r>
    </w:p>
    <w:tbl>
      <w:tblPr>
        <w:tblW w:w="0" w:type="auto"/>
        <w:tblLayout w:type="fixed"/>
        <w:tblCellMar>
          <w:left w:w="62" w:type="dxa"/>
          <w:right w:w="62" w:type="dxa"/>
        </w:tblCellMar>
        <w:tblLook w:val="0000"/>
      </w:tblPr>
      <w:tblGrid>
        <w:gridCol w:w="2699"/>
        <w:gridCol w:w="5823"/>
      </w:tblGrid>
      <w:tr w:rsidTr="00644E90">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 xml:space="preserve">This unit of competency supports the attainment of the understanding and skills to apply paint by brush and roller, which may include working with others and as a member of a team. </w:t>
            </w:r>
          </w:p>
        </w:tc>
      </w:tr>
    </w:tbl>
    <w:p w:rsidR="00644E90" w:rsidP="00A23499">
      <w:pPr>
        <w:pStyle w:val="BodyText"/>
      </w:pPr>
    </w:p>
    <w:p w:rsidR="00644E90" w:rsidP="00A23499">
      <w:pPr>
        <w:pStyle w:val="BodyText"/>
      </w:pPr>
    </w:p>
    <w:p w:rsidR="00000000" w:rsidRPr="00A23499" w:rsidP="00A23499">
      <w:pPr>
        <w:pStyle w:val="Heading1"/>
      </w:pPr>
      <w:bookmarkStart w:id="4" w:name="O_277892"/>
      <w:bookmarkEnd w:id="4"/>
      <w:r w:rsidRPr="00A23499">
        <w:t>Licensing/Regulatory Information</w:t>
      </w:r>
    </w:p>
    <w:p w:rsidR="00000000" w:rsidRPr="00A23499" w:rsidP="00A23499">
      <w:pPr>
        <w:pStyle w:val="BodyText"/>
      </w:pPr>
      <w:r w:rsidRPr="00A23499">
        <w:t>Not Applicable</w:t>
      </w:r>
    </w:p>
    <w:p w:rsidR="00000000" w:rsidRPr="00A23499" w:rsidP="00A23499">
      <w:pPr>
        <w:pStyle w:val="AllowPageBreak"/>
      </w:pPr>
    </w:p>
    <w:p w:rsidR="00000000" w:rsidRPr="00A23499" w:rsidP="00A23499">
      <w:pPr>
        <w:pStyle w:val="Heading1"/>
      </w:pPr>
      <w:bookmarkStart w:id="5" w:name="O_198250"/>
      <w:bookmarkEnd w:id="5"/>
      <w:r w:rsidRPr="00A23499">
        <w:t>Pre-Requisites</w:t>
      </w:r>
    </w:p>
    <w:tbl>
      <w:tblPr>
        <w:tblW w:w="0" w:type="auto"/>
        <w:tblLayout w:type="fixed"/>
        <w:tblCellMar>
          <w:left w:w="62" w:type="dxa"/>
          <w:right w:w="62" w:type="dxa"/>
        </w:tblCellMar>
        <w:tblLook w:val="0000"/>
      </w:tblPr>
      <w:tblGrid>
        <w:gridCol w:w="2617"/>
        <w:gridCol w:w="2527"/>
        <w:gridCol w:w="3378"/>
      </w:tblGrid>
      <w:tr w:rsidTr="00644E90">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A23499">
            <w:pPr>
              <w:pStyle w:val="BodyText"/>
              <w:rPr>
                <w:lang w:val="en-NZ"/>
              </w:rPr>
            </w:pPr>
          </w:p>
        </w:tc>
      </w:tr>
      <w:tr w:rsidTr="00644E90">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t>CPCCOHS2001A</w:t>
            </w:r>
          </w:p>
        </w:tc>
        <w:tc>
          <w:tcPr>
            <w:tcW w:w="3378"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t>Apply OHS requirements, policies and procedures in the construction industry</w:t>
            </w:r>
          </w:p>
        </w:tc>
      </w:tr>
      <w:tr w:rsidTr="00644E90">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A23499" w:rsidP="00A23499">
            <w:pPr>
              <w:pStyle w:val="BodyText"/>
            </w:pPr>
          </w:p>
        </w:tc>
      </w:tr>
    </w:tbl>
    <w:p w:rsidR="00644E90" w:rsidP="00A23499">
      <w:pPr>
        <w:pStyle w:val="BodyText"/>
      </w:pPr>
    </w:p>
    <w:p w:rsidR="00644E90" w:rsidP="00A23499">
      <w:pPr>
        <w:pStyle w:val="BodyText"/>
      </w:pPr>
    </w:p>
    <w:p w:rsidR="00000000" w:rsidRPr="00A23499" w:rsidP="00A23499">
      <w:pPr>
        <w:pStyle w:val="Heading1"/>
      </w:pPr>
      <w:bookmarkStart w:id="6" w:name="O_198249"/>
      <w:bookmarkEnd w:id="6"/>
      <w:r w:rsidRPr="00A23499">
        <w:t>Employability Skills Information</w:t>
      </w:r>
    </w:p>
    <w:tbl>
      <w:tblPr>
        <w:tblW w:w="0" w:type="auto"/>
        <w:tblLayout w:type="fixed"/>
        <w:tblCellMar>
          <w:left w:w="62" w:type="dxa"/>
          <w:right w:w="62" w:type="dxa"/>
        </w:tblCellMar>
        <w:tblLook w:val="0000"/>
      </w:tblPr>
      <w:tblGrid>
        <w:gridCol w:w="2731"/>
        <w:gridCol w:w="5791"/>
      </w:tblGrid>
      <w:tr w:rsidTr="00644E90">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This unit contains employability skills.</w:t>
            </w:r>
          </w:p>
        </w:tc>
      </w:tr>
    </w:tbl>
    <w:p w:rsidR="00644E90" w:rsidP="00A23499">
      <w:pPr>
        <w:pStyle w:val="BodyText"/>
      </w:pPr>
    </w:p>
    <w:p w:rsidR="00644E90" w:rsidP="00A23499">
      <w:pPr>
        <w:pStyle w:val="BodyText"/>
      </w:pPr>
    </w:p>
    <w:p w:rsidR="00000000" w:rsidRPr="00A23499" w:rsidP="00A23499">
      <w:pPr>
        <w:pStyle w:val="Heading1"/>
      </w:pPr>
      <w:bookmarkStart w:id="7" w:name="O_287678"/>
      <w:bookmarkEnd w:id="7"/>
      <w:r w:rsidRPr="00A23499">
        <w:t>Elements and Performance Criteria Pre-Content</w:t>
      </w:r>
    </w:p>
    <w:tbl>
      <w:tblPr>
        <w:tblW w:w="0" w:type="auto"/>
        <w:tblLayout w:type="fixed"/>
        <w:tblCellMar>
          <w:left w:w="62" w:type="dxa"/>
          <w:right w:w="62" w:type="dxa"/>
        </w:tblCellMar>
        <w:tblLook w:val="0000"/>
      </w:tblPr>
      <w:tblGrid>
        <w:gridCol w:w="2567"/>
        <w:gridCol w:w="5955"/>
      </w:tblGrid>
      <w:tr w:rsidTr="00644E9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23499">
            <w:pPr>
              <w:pStyle w:val="BodyText"/>
              <w:rPr>
                <w:lang w:val="en-NZ"/>
              </w:rPr>
            </w:pPr>
            <w:r w:rsidRPr="00A2349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23499" w:rsidP="00A23499">
            <w:pPr>
              <w:pStyle w:val="BodyText"/>
            </w:pPr>
            <w:r w:rsidRPr="00A23499">
              <w:t>Performance criteria describe the performance needed to demonstrate achievement of the element. Where bold italicised text is used, further information is detailed in the required skills and knowledge section and the range statement. Assessment of performa</w:t>
            </w:r>
            <w:r w:rsidRPr="00A23499">
              <w:t>nce is to be consistent with the evidence guide.</w:t>
            </w:r>
          </w:p>
        </w:tc>
      </w:tr>
    </w:tbl>
    <w:p w:rsidR="00000000" w:rsidRPr="00A23499" w:rsidP="00A23499">
      <w:pPr>
        <w:pStyle w:val="BodyText"/>
      </w:pPr>
    </w:p>
    <w:p w:rsidR="00000000" w:rsidRPr="00A23499" w:rsidP="00A23499">
      <w:pPr>
        <w:pStyle w:val="AllowPageBreak"/>
      </w:pPr>
    </w:p>
    <w:p w:rsidR="00000000" w:rsidRPr="00A23499" w:rsidP="00A23499">
      <w:pPr>
        <w:pStyle w:val="Heading1"/>
      </w:pPr>
      <w:bookmarkStart w:id="8" w:name="O_234345"/>
      <w:bookmarkEnd w:id="8"/>
      <w:r w:rsidRPr="00A23499">
        <w:t>Elements and Performance Criteria</w:t>
      </w:r>
    </w:p>
    <w:tbl>
      <w:tblPr>
        <w:tblW w:w="0" w:type="auto"/>
        <w:tblLayout w:type="fixed"/>
        <w:tblCellMar>
          <w:left w:w="62" w:type="dxa"/>
          <w:right w:w="62" w:type="dxa"/>
        </w:tblCellMar>
        <w:tblLook w:val="0000"/>
      </w:tblPr>
      <w:tblGrid>
        <w:gridCol w:w="2567"/>
        <w:gridCol w:w="5955"/>
      </w:tblGrid>
      <w:tr w:rsidTr="00644E9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23499" w:rsidP="00A23499">
            <w:pPr>
              <w:pStyle w:val="BodyText"/>
            </w:pPr>
            <w:r w:rsidRPr="00A2349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23499">
            <w:pPr>
              <w:pStyle w:val="BodyText"/>
              <w:rPr>
                <w:lang w:val="en-NZ"/>
              </w:rPr>
            </w:pPr>
            <w:r w:rsidRPr="00A23499">
              <w:rPr>
                <w:rStyle w:val="SpecialBold"/>
              </w:rPr>
              <w:t>PERFORMANCE CRITERIA</w:t>
            </w:r>
          </w:p>
        </w:tc>
      </w:tr>
      <w:tr w:rsidTr="00644E9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23499">
            <w:pPr>
              <w:pStyle w:val="List"/>
              <w:rPr>
                <w:lang w:val="en-NZ"/>
              </w:rPr>
            </w:pPr>
            <w:r w:rsidRPr="00A23499">
              <w:t>1.</w:t>
            </w:r>
            <w:r w:rsidRPr="00A23499">
              <w:tab/>
              <w:t>Plan and prepare.</w:t>
            </w:r>
          </w:p>
        </w:tc>
        <w:tc>
          <w:tcPr>
            <w:tcW w:w="5955" w:type="dxa"/>
            <w:tcBorders>
              <w:top w:val="nil"/>
              <w:left w:val="nil"/>
              <w:bottom w:val="nil"/>
              <w:right w:val="nil"/>
            </w:tcBorders>
            <w:tcMar>
              <w:top w:w="0" w:type="dxa"/>
              <w:left w:w="62" w:type="dxa"/>
              <w:bottom w:w="0" w:type="dxa"/>
              <w:right w:w="62" w:type="dxa"/>
            </w:tcMar>
          </w:tcPr>
          <w:p w:rsidR="00000000" w:rsidRPr="00A23499" w:rsidP="00A23499">
            <w:pPr>
              <w:pStyle w:val="List2"/>
            </w:pPr>
            <w:r w:rsidRPr="00A23499">
              <w:t>1.1.</w:t>
            </w:r>
            <w:r w:rsidRPr="00A23499">
              <w:tab/>
              <w:t xml:space="preserve">Work instructions and operational details are obtained using relevant </w:t>
            </w:r>
            <w:r w:rsidRPr="00A23499">
              <w:rPr>
                <w:rStyle w:val="BoldandItalics"/>
              </w:rPr>
              <w:t>information</w:t>
            </w:r>
            <w:r w:rsidRPr="00A23499">
              <w:t xml:space="preserve">, confirmed and applied for </w:t>
            </w:r>
            <w:r w:rsidRPr="00A23499">
              <w:rPr>
                <w:rStyle w:val="BoldandItalics"/>
              </w:rPr>
              <w:t>planning and preparation</w:t>
            </w:r>
            <w:r w:rsidRPr="00A23499">
              <w:t xml:space="preserve"> purposes. </w:t>
            </w:r>
          </w:p>
          <w:p w:rsidR="00000000" w:rsidRPr="00A23499" w:rsidP="00A23499">
            <w:pPr>
              <w:pStyle w:val="List2"/>
            </w:pPr>
            <w:r w:rsidRPr="00A23499">
              <w:t>1.2.</w:t>
            </w:r>
            <w:r w:rsidRPr="00A23499">
              <w:tab/>
            </w:r>
            <w:r w:rsidRPr="00A23499">
              <w:rPr>
                <w:rStyle w:val="BoldandItalics"/>
              </w:rPr>
              <w:t>Safety</w:t>
            </w:r>
            <w:r w:rsidRPr="00A23499">
              <w:t xml:space="preserve"> (</w:t>
            </w:r>
            <w:r w:rsidRPr="00A23499">
              <w:rPr>
                <w:rStyle w:val="BoldandItalics"/>
              </w:rPr>
              <w:t>OHS</w:t>
            </w:r>
            <w:r w:rsidRPr="00A23499">
              <w:t xml:space="preserve">) requirements are followed in accordance with safety plans and policies. </w:t>
            </w:r>
          </w:p>
          <w:p w:rsidR="00000000" w:rsidRPr="00A23499" w:rsidP="00A23499">
            <w:pPr>
              <w:pStyle w:val="List2"/>
            </w:pPr>
            <w:r w:rsidRPr="00A23499">
              <w:t>1.3.</w:t>
            </w:r>
            <w:r w:rsidRPr="00A23499">
              <w:tab/>
              <w:t>Signage and barricade requirements are identified and implemented.</w:t>
            </w:r>
          </w:p>
          <w:p w:rsidR="00000000" w:rsidRPr="00A23499" w:rsidP="00A23499">
            <w:pPr>
              <w:pStyle w:val="List2"/>
            </w:pPr>
            <w:r w:rsidRPr="00A23499">
              <w:t>1.4.</w:t>
            </w:r>
            <w:r w:rsidRPr="00A23499">
              <w:tab/>
            </w:r>
            <w:r w:rsidRPr="00A23499">
              <w:rPr>
                <w:rStyle w:val="BoldandItalics"/>
              </w:rPr>
              <w:t>Tools and equipment</w:t>
            </w:r>
            <w:r w:rsidRPr="00A23499">
              <w:t xml:space="preserve"> are </w:t>
            </w:r>
            <w:r w:rsidRPr="00A23499">
              <w:t xml:space="preserve">selected to carry out tasks are consistent with the requirements of the job, checked for serviceability and any faults are rectified or reported prior to commencement. </w:t>
            </w:r>
          </w:p>
          <w:p w:rsidR="00000000" w:rsidRPr="00A23499" w:rsidP="00A23499">
            <w:pPr>
              <w:pStyle w:val="List2"/>
            </w:pPr>
            <w:r w:rsidRPr="00A23499">
              <w:t>1.5.</w:t>
            </w:r>
            <w:r w:rsidRPr="00A23499">
              <w:tab/>
              <w:t>Materials quantity requirements are calculated in accordance with plans, specifica</w:t>
            </w:r>
            <w:r w:rsidRPr="00A23499">
              <w:t xml:space="preserve">tions and </w:t>
            </w:r>
            <w:r w:rsidRPr="00A23499">
              <w:rPr>
                <w:rStyle w:val="BoldandItalics"/>
              </w:rPr>
              <w:t>quality requirements</w:t>
            </w:r>
            <w:r w:rsidRPr="00A23499">
              <w:t xml:space="preserve">. </w:t>
            </w:r>
          </w:p>
          <w:p w:rsidR="00000000" w:rsidRPr="00A23499" w:rsidP="00A23499">
            <w:pPr>
              <w:pStyle w:val="List2"/>
            </w:pPr>
            <w:r w:rsidRPr="00A23499">
              <w:t>1.6.</w:t>
            </w:r>
            <w:r w:rsidRPr="00A23499">
              <w:tab/>
            </w:r>
            <w:r w:rsidRPr="00A23499">
              <w:rPr>
                <w:rStyle w:val="BoldandItalics"/>
              </w:rPr>
              <w:t>Materials</w:t>
            </w:r>
            <w:r w:rsidRPr="00A23499">
              <w:t xml:space="preserve"> appropriate to the work application are identified, obtained, prepared, safely handled and located ready for use. </w:t>
            </w:r>
          </w:p>
          <w:p w:rsidR="00000000" w:rsidRPr="00A23499" w:rsidP="00A23499">
            <w:pPr>
              <w:pStyle w:val="List2"/>
            </w:pPr>
            <w:r w:rsidRPr="00A23499">
              <w:t>1.7.</w:t>
            </w:r>
            <w:r w:rsidRPr="00A23499">
              <w:tab/>
            </w:r>
            <w:r w:rsidRPr="00A23499">
              <w:rPr>
                <w:rStyle w:val="BoldandItalics"/>
              </w:rPr>
              <w:t>Environmental requirements</w:t>
            </w:r>
            <w:r w:rsidRPr="00A23499">
              <w:t xml:space="preserve"> are identified for the project in accordance with environment</w:t>
            </w:r>
            <w:r w:rsidRPr="00A23499">
              <w:t xml:space="preserve">al plans and regulatory obligations and applied. </w:t>
            </w:r>
          </w:p>
          <w:p w:rsidR="00000000" w:rsidP="00A23499">
            <w:pPr>
              <w:pStyle w:val="List2"/>
              <w:rPr>
                <w:lang w:val="en-NZ"/>
              </w:rPr>
            </w:pPr>
            <w:r w:rsidRPr="00A23499">
              <w:t>1.8.</w:t>
            </w:r>
            <w:r w:rsidRPr="00A23499">
              <w:tab/>
              <w:t>Work planning is undertaken in consideration of environmental factors such as light, weather and dust.</w:t>
            </w:r>
          </w:p>
        </w:tc>
      </w:tr>
      <w:tr w:rsidTr="00644E9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23499">
            <w:pPr>
              <w:pStyle w:val="List"/>
              <w:rPr>
                <w:lang w:val="en-NZ"/>
              </w:rPr>
            </w:pPr>
            <w:r w:rsidRPr="00A23499">
              <w:t>2.</w:t>
            </w:r>
            <w:r w:rsidRPr="00A23499">
              <w:tab/>
              <w:t>Prepare work area and materials.</w:t>
            </w:r>
          </w:p>
        </w:tc>
        <w:tc>
          <w:tcPr>
            <w:tcW w:w="5955" w:type="dxa"/>
            <w:tcBorders>
              <w:top w:val="nil"/>
              <w:left w:val="nil"/>
              <w:bottom w:val="nil"/>
              <w:right w:val="nil"/>
            </w:tcBorders>
            <w:tcMar>
              <w:top w:w="0" w:type="dxa"/>
              <w:left w:w="62" w:type="dxa"/>
              <w:bottom w:w="0" w:type="dxa"/>
              <w:right w:w="62" w:type="dxa"/>
            </w:tcMar>
          </w:tcPr>
          <w:p w:rsidR="00000000" w:rsidRPr="00A23499" w:rsidP="00A23499">
            <w:pPr>
              <w:pStyle w:val="List2"/>
            </w:pPr>
            <w:r w:rsidRPr="00A23499">
              <w:t>2.1.</w:t>
            </w:r>
            <w:r w:rsidRPr="00A23499">
              <w:tab/>
              <w:t xml:space="preserve">If necessary, materials and </w:t>
            </w:r>
            <w:r w:rsidRPr="00A23499">
              <w:rPr>
                <w:rStyle w:val="BoldandItalics"/>
              </w:rPr>
              <w:t>substrate surfaces</w:t>
            </w:r>
            <w:r w:rsidRPr="00A23499">
              <w:t xml:space="preserve"> are prepared in accordance with manufacturer recommendations and relevant Australian standards. </w:t>
            </w:r>
          </w:p>
          <w:p w:rsidR="00000000" w:rsidRPr="00A23499" w:rsidP="00A23499">
            <w:pPr>
              <w:pStyle w:val="List2"/>
            </w:pPr>
            <w:r w:rsidRPr="00A23499">
              <w:t>2.2.</w:t>
            </w:r>
            <w:r w:rsidRPr="00A23499">
              <w:tab/>
              <w:t>Surrounding surfaces not to be painted are protected by drop sheets, masking or removal of objects in accordance with manufacturer recommendations and jo</w:t>
            </w:r>
            <w:r w:rsidRPr="00A23499">
              <w:t>b specifications.</w:t>
            </w:r>
          </w:p>
          <w:p w:rsidR="00000000" w:rsidRPr="00A23499" w:rsidP="00A23499">
            <w:pPr>
              <w:pStyle w:val="List2"/>
            </w:pPr>
            <w:r w:rsidRPr="00A23499">
              <w:t>2.3.</w:t>
            </w:r>
            <w:r w:rsidRPr="00A23499">
              <w:tab/>
              <w:t>Where doors, windows and associated furniture are removed they are stacked, stored and protected correctly and safely.</w:t>
            </w:r>
          </w:p>
          <w:p w:rsidR="00000000" w:rsidRPr="00A23499" w:rsidP="00A23499">
            <w:pPr>
              <w:pStyle w:val="List2"/>
            </w:pPr>
            <w:r w:rsidRPr="00A23499">
              <w:t>2.4.</w:t>
            </w:r>
            <w:r w:rsidRPr="00A23499">
              <w:tab/>
              <w:t>Job location is checked to ensure provision of adequate ventilation and precautions are taken to prevent fire</w:t>
            </w:r>
            <w:r w:rsidRPr="00A23499">
              <w:t xml:space="preserve"> and explosion in accordance with manufacturer recommendations and material safety data sheet (MSDS) data.</w:t>
            </w:r>
          </w:p>
          <w:p w:rsidR="00000000" w:rsidRPr="00A23499" w:rsidP="00A23499">
            <w:pPr>
              <w:pStyle w:val="List2"/>
            </w:pPr>
            <w:r w:rsidRPr="00A23499">
              <w:t>2.5.</w:t>
            </w:r>
            <w:r w:rsidRPr="00A23499">
              <w:tab/>
              <w:t>Materials for specified paint finish are mixed to designed proportion and consistency in accordance with manufacturer recommendations and job sp</w:t>
            </w:r>
            <w:r w:rsidRPr="00A23499">
              <w:t>ecifications.</w:t>
            </w:r>
          </w:p>
          <w:p w:rsidR="00000000" w:rsidRPr="00A23499" w:rsidP="00A23499">
            <w:pPr>
              <w:pStyle w:val="List2"/>
            </w:pPr>
            <w:r w:rsidRPr="00A23499">
              <w:t>2.6.</w:t>
            </w:r>
            <w:r w:rsidRPr="00A23499">
              <w:tab/>
            </w:r>
            <w:r w:rsidRPr="00A23499">
              <w:rPr>
                <w:rStyle w:val="BoldandItalics"/>
              </w:rPr>
              <w:t>Paint</w:t>
            </w:r>
            <w:r w:rsidRPr="00A23499">
              <w:t xml:space="preserve"> and colours are thoroughly stirred, using separate stirring sticks or other suitable proprietary devices. </w:t>
            </w:r>
          </w:p>
          <w:p w:rsidR="00000000" w:rsidP="00A23499">
            <w:pPr>
              <w:pStyle w:val="List2"/>
              <w:rPr>
                <w:lang w:val="en-NZ"/>
              </w:rPr>
            </w:pPr>
            <w:r w:rsidRPr="00A23499">
              <w:t>2.7.</w:t>
            </w:r>
            <w:r w:rsidRPr="00A23499">
              <w:tab/>
              <w:t>Correct amounts of paint material are prepared to specified ratio and drying time in accordance with manufacturer recom</w:t>
            </w:r>
            <w:r w:rsidRPr="00A23499">
              <w:t>mendations and specifications.</w:t>
            </w:r>
          </w:p>
        </w:tc>
      </w:tr>
      <w:tr w:rsidTr="00644E9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23499">
            <w:pPr>
              <w:pStyle w:val="List"/>
              <w:rPr>
                <w:lang w:val="en-NZ"/>
              </w:rPr>
            </w:pPr>
            <w:r w:rsidRPr="00A23499">
              <w:t>3.</w:t>
            </w:r>
            <w:r w:rsidRPr="00A23499">
              <w:tab/>
              <w:t>Apply paint with brush or roller.</w:t>
            </w:r>
          </w:p>
        </w:tc>
        <w:tc>
          <w:tcPr>
            <w:tcW w:w="5955" w:type="dxa"/>
            <w:tcBorders>
              <w:top w:val="nil"/>
              <w:left w:val="nil"/>
              <w:bottom w:val="nil"/>
              <w:right w:val="nil"/>
            </w:tcBorders>
            <w:tcMar>
              <w:top w:w="0" w:type="dxa"/>
              <w:left w:w="62" w:type="dxa"/>
              <w:bottom w:w="0" w:type="dxa"/>
              <w:right w:w="62" w:type="dxa"/>
            </w:tcMar>
          </w:tcPr>
          <w:p w:rsidR="00000000" w:rsidRPr="00A23499" w:rsidP="00A23499">
            <w:pPr>
              <w:pStyle w:val="List2"/>
            </w:pPr>
            <w:r w:rsidRPr="00A23499">
              <w:t>3.1.</w:t>
            </w:r>
            <w:r w:rsidRPr="00A23499">
              <w:tab/>
              <w:t xml:space="preserve">Brush, roller or brush/roller combination is selected for specified surface profile, size of area, type of paint and finish specified in accordance with manufacturer recommendations </w:t>
            </w:r>
            <w:r w:rsidRPr="00A23499">
              <w:t>and job specifications.</w:t>
            </w:r>
          </w:p>
          <w:p w:rsidR="00000000" w:rsidP="00A23499">
            <w:pPr>
              <w:pStyle w:val="List2"/>
              <w:rPr>
                <w:lang w:val="en-NZ"/>
              </w:rPr>
            </w:pPr>
            <w:r w:rsidRPr="00A23499">
              <w:t>3.2.</w:t>
            </w:r>
            <w:r w:rsidRPr="00A23499">
              <w:tab/>
            </w:r>
            <w:r w:rsidRPr="00A23499">
              <w:rPr>
                <w:rStyle w:val="BoldandItalics"/>
              </w:rPr>
              <w:t>Paint is applied</w:t>
            </w:r>
            <w:r w:rsidRPr="00A23499">
              <w:t xml:space="preserve"> to achieve required level of opacity, finish, texture and sheen in accordance with manufacturer recommendations and job specifications. </w:t>
            </w:r>
          </w:p>
        </w:tc>
      </w:tr>
      <w:tr w:rsidTr="00644E9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23499">
            <w:pPr>
              <w:pStyle w:val="List"/>
              <w:rPr>
                <w:lang w:val="en-NZ"/>
              </w:rPr>
            </w:pPr>
            <w:r w:rsidRPr="00A23499">
              <w:t>4.</w:t>
            </w:r>
            <w:r w:rsidRPr="00A23499">
              <w:tab/>
              <w:t>Finish the application.</w:t>
            </w:r>
          </w:p>
        </w:tc>
        <w:tc>
          <w:tcPr>
            <w:tcW w:w="5955" w:type="dxa"/>
            <w:tcBorders>
              <w:top w:val="nil"/>
              <w:left w:val="nil"/>
              <w:bottom w:val="nil"/>
              <w:right w:val="nil"/>
            </w:tcBorders>
            <w:tcMar>
              <w:top w:w="0" w:type="dxa"/>
              <w:left w:w="62" w:type="dxa"/>
              <w:bottom w:w="0" w:type="dxa"/>
              <w:right w:w="62" w:type="dxa"/>
            </w:tcMar>
          </w:tcPr>
          <w:p w:rsidR="00000000" w:rsidRPr="00A23499" w:rsidP="00A23499">
            <w:pPr>
              <w:pStyle w:val="List2"/>
            </w:pPr>
            <w:r w:rsidRPr="00A23499">
              <w:t>4.1.</w:t>
            </w:r>
            <w:r w:rsidRPr="00A23499">
              <w:tab/>
              <w:t>Finished paint surface is cured using cu</w:t>
            </w:r>
            <w:r w:rsidRPr="00A23499">
              <w:t>ring method in accordance with manufacturer recommendations and job specifications.</w:t>
            </w:r>
          </w:p>
          <w:p w:rsidR="00000000" w:rsidRPr="00A23499" w:rsidP="00A23499">
            <w:pPr>
              <w:pStyle w:val="List2"/>
            </w:pPr>
            <w:r w:rsidRPr="00A23499">
              <w:t>4.2.</w:t>
            </w:r>
            <w:r w:rsidRPr="00A23499">
              <w:tab/>
              <w:t xml:space="preserve">Finished paint surface is </w:t>
            </w:r>
            <w:r w:rsidRPr="00A23499">
              <w:rPr>
                <w:rStyle w:val="BoldandItalics"/>
              </w:rPr>
              <w:t>tested</w:t>
            </w:r>
            <w:r w:rsidRPr="00A23499">
              <w:t xml:space="preserve"> using testing procedures in accordance with manufacturer recommendations and job specifications. </w:t>
            </w:r>
          </w:p>
          <w:p w:rsidR="00000000" w:rsidP="00A23499">
            <w:pPr>
              <w:pStyle w:val="List2"/>
              <w:rPr>
                <w:lang w:val="en-NZ"/>
              </w:rPr>
            </w:pPr>
            <w:r w:rsidRPr="00A23499">
              <w:t>4.3.</w:t>
            </w:r>
            <w:r w:rsidRPr="00A23499">
              <w:tab/>
              <w:t>Doors, windows and furniture re</w:t>
            </w:r>
            <w:r w:rsidRPr="00A23499">
              <w:t>moved for painting application are re-installed correctly and without damage to finished surfaces.</w:t>
            </w:r>
          </w:p>
        </w:tc>
      </w:tr>
      <w:tr w:rsidTr="00644E9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23499">
            <w:pPr>
              <w:pStyle w:val="List"/>
              <w:rPr>
                <w:lang w:val="en-NZ"/>
              </w:rPr>
            </w:pPr>
            <w:r w:rsidRPr="00A23499">
              <w:t>5.</w:t>
            </w:r>
            <w:r w:rsidRPr="00A23499">
              <w:tab/>
              <w:t>Clean up.</w:t>
            </w:r>
          </w:p>
        </w:tc>
        <w:tc>
          <w:tcPr>
            <w:tcW w:w="5955" w:type="dxa"/>
            <w:tcBorders>
              <w:top w:val="nil"/>
              <w:left w:val="nil"/>
              <w:bottom w:val="nil"/>
              <w:right w:val="nil"/>
            </w:tcBorders>
            <w:tcMar>
              <w:top w:w="0" w:type="dxa"/>
              <w:left w:w="62" w:type="dxa"/>
              <w:bottom w:w="0" w:type="dxa"/>
              <w:right w:w="62" w:type="dxa"/>
            </w:tcMar>
          </w:tcPr>
          <w:p w:rsidR="00000000" w:rsidRPr="00A23499" w:rsidP="00A23499">
            <w:pPr>
              <w:pStyle w:val="List2"/>
            </w:pPr>
            <w:r w:rsidRPr="00A23499">
              <w:t>5.1.</w:t>
            </w:r>
            <w:r w:rsidRPr="00A23499">
              <w:tab/>
              <w:t xml:space="preserve">Painting tools and equipment are cleaned with correct solutions and without damage, and are stored safely and effectively </w:t>
            </w:r>
            <w:r w:rsidRPr="00A23499">
              <w:t>to manufacturer specifications.</w:t>
            </w:r>
          </w:p>
          <w:p w:rsidR="00000000" w:rsidRPr="00A23499" w:rsidP="00A23499">
            <w:pPr>
              <w:pStyle w:val="List2"/>
            </w:pPr>
            <w:r w:rsidRPr="00A23499">
              <w:t>5.2.</w:t>
            </w:r>
            <w:r w:rsidRPr="00A23499">
              <w:tab/>
              <w:t>Unused materials are sealed and stored/stacked in accordance with standard material handling practices and techniques and company requirements.</w:t>
            </w:r>
          </w:p>
          <w:p w:rsidR="00000000" w:rsidRPr="00A23499" w:rsidP="00A23499">
            <w:pPr>
              <w:pStyle w:val="List2"/>
            </w:pPr>
            <w:r w:rsidRPr="00A23499">
              <w:t>5.3.</w:t>
            </w:r>
            <w:r w:rsidRPr="00A23499">
              <w:tab/>
              <w:t>Tools and equipment are cleaned, checked, maintained and stored in acc</w:t>
            </w:r>
            <w:r w:rsidRPr="00A23499">
              <w:t>ordance with manufacturer recommendations and standard work practices.</w:t>
            </w:r>
          </w:p>
          <w:p w:rsidR="00000000" w:rsidRPr="00A23499" w:rsidP="00A23499">
            <w:pPr>
              <w:pStyle w:val="List2"/>
            </w:pPr>
            <w:r w:rsidRPr="00A23499">
              <w:t>5.4.</w:t>
            </w:r>
            <w:r w:rsidRPr="00A23499">
              <w:tab/>
              <w:t>Work area is cleared and materials disposed of or recycled in accordance with legislation, regulations, codes of practice and job specification.</w:t>
            </w:r>
          </w:p>
        </w:tc>
      </w:tr>
    </w:tbl>
    <w:p w:rsidR="00644E90" w:rsidP="00A23499">
      <w:pPr>
        <w:pStyle w:val="BodyText"/>
      </w:pPr>
    </w:p>
    <w:p w:rsidR="00644E90" w:rsidP="00A23499">
      <w:pPr>
        <w:pStyle w:val="BodyText"/>
      </w:pPr>
    </w:p>
    <w:p w:rsidR="00000000" w:rsidRPr="00A23499" w:rsidP="00A23499">
      <w:pPr>
        <w:pStyle w:val="Heading1"/>
      </w:pPr>
      <w:bookmarkStart w:id="9" w:name="O_258295"/>
      <w:bookmarkEnd w:id="9"/>
      <w:r w:rsidRPr="00A23499">
        <w:t>Required Skills and Knowledge</w:t>
      </w:r>
    </w:p>
    <w:tbl>
      <w:tblPr>
        <w:tblW w:w="0" w:type="auto"/>
        <w:tblLayout w:type="fixed"/>
        <w:tblCellMar>
          <w:left w:w="62" w:type="dxa"/>
          <w:right w:w="62" w:type="dxa"/>
        </w:tblCellMar>
        <w:tblLook w:val="0000"/>
      </w:tblPr>
      <w:tblGrid>
        <w:gridCol w:w="8522"/>
      </w:tblGrid>
      <w:tr w:rsidTr="00644E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REQUIRED SKILLS AND KNOWLEDGE</w:t>
            </w:r>
          </w:p>
        </w:tc>
      </w:tr>
      <w:tr w:rsidTr="00644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t>This section describes the skills and knowledge required for this unit.</w:t>
            </w:r>
          </w:p>
        </w:tc>
      </w:tr>
      <w:tr w:rsidTr="00644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Required skills</w:t>
            </w:r>
          </w:p>
        </w:tc>
      </w:tr>
      <w:tr w:rsidTr="00644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Required skills for this unit are:</w:t>
            </w:r>
          </w:p>
          <w:p w:rsidR="00000000" w:rsidRPr="00A23499" w:rsidP="00A23499">
            <w:pPr>
              <w:pStyle w:val="ListBullet"/>
            </w:pPr>
            <w:r w:rsidRPr="00A23499">
              <w:t>communication skills to:</w:t>
            </w:r>
          </w:p>
          <w:p w:rsidR="00000000" w:rsidRPr="00A23499" w:rsidP="00A23499">
            <w:pPr>
              <w:pStyle w:val="ListBullet2"/>
            </w:pPr>
            <w:r w:rsidRPr="00A23499">
              <w:t>determine requirements</w:t>
            </w:r>
          </w:p>
          <w:p w:rsidR="00000000" w:rsidRPr="00A23499" w:rsidP="00A23499">
            <w:pPr>
              <w:pStyle w:val="ListBullet2"/>
            </w:pPr>
            <w:r w:rsidRPr="00A23499">
              <w:t>enable clear and direct communication, using questioning to identify and confirm requirements, share information, listen and understand</w:t>
            </w:r>
          </w:p>
          <w:p w:rsidR="00000000" w:rsidRPr="00A23499" w:rsidP="00A23499">
            <w:pPr>
              <w:pStyle w:val="ListBullet2"/>
            </w:pPr>
            <w:r w:rsidRPr="00A23499">
              <w:t>follow instructions</w:t>
            </w:r>
          </w:p>
          <w:p w:rsidR="00000000" w:rsidRPr="00A23499" w:rsidP="00A23499">
            <w:pPr>
              <w:pStyle w:val="ListBullet2"/>
            </w:pPr>
            <w:r w:rsidRPr="00A23499">
              <w:t>read and interpret:</w:t>
            </w:r>
          </w:p>
          <w:p w:rsidR="00000000" w:rsidRPr="00A23499" w:rsidP="00A23499">
            <w:pPr>
              <w:pStyle w:val="ListBullet3"/>
            </w:pPr>
            <w:r w:rsidRPr="00A23499">
              <w:t>documentation from a variety of sources</w:t>
            </w:r>
          </w:p>
          <w:p w:rsidR="00000000" w:rsidRPr="00A23499" w:rsidP="00A23499">
            <w:pPr>
              <w:pStyle w:val="ListBullet3"/>
            </w:pPr>
            <w:r w:rsidRPr="00A23499">
              <w:t>drawings and specifications</w:t>
            </w:r>
          </w:p>
          <w:p w:rsidR="00000000" w:rsidRPr="00A23499" w:rsidP="00A23499">
            <w:pPr>
              <w:pStyle w:val="ListBullet2"/>
            </w:pPr>
            <w:r w:rsidRPr="00A23499">
              <w:t>report faults</w:t>
            </w:r>
          </w:p>
          <w:p w:rsidR="00000000" w:rsidRPr="00A23499" w:rsidP="00A23499">
            <w:pPr>
              <w:pStyle w:val="ListBullet2"/>
            </w:pPr>
            <w:r w:rsidRPr="00A23499">
              <w:t>use language and concepts appropriate to cultural differences</w:t>
            </w:r>
          </w:p>
          <w:p w:rsidR="00000000" w:rsidRPr="00A23499" w:rsidP="00A23499">
            <w:pPr>
              <w:pStyle w:val="ListBullet2"/>
            </w:pPr>
            <w:r w:rsidRPr="00A23499">
              <w:t>use and interpret non-verbal communication, such as hand signals</w:t>
            </w:r>
          </w:p>
          <w:p w:rsidR="00000000" w:rsidRPr="00A23499" w:rsidP="00A23499">
            <w:pPr>
              <w:pStyle w:val="ListBullet"/>
            </w:pPr>
            <w:r w:rsidRPr="00A23499">
              <w:t>evaluating own actions and making judgments about performance and necessary improvements</w:t>
            </w:r>
          </w:p>
          <w:p w:rsidR="00000000" w:rsidRPr="00A23499" w:rsidP="00A23499">
            <w:pPr>
              <w:pStyle w:val="ListBullet"/>
            </w:pPr>
            <w:r w:rsidRPr="00A23499">
              <w:t>identifying and accurately reporting to appropriate personnel any faults in tools, equipment or materials</w:t>
            </w:r>
          </w:p>
          <w:p w:rsidR="00000000" w:rsidRPr="00A23499" w:rsidP="00A23499">
            <w:pPr>
              <w:pStyle w:val="ListBullet"/>
            </w:pPr>
            <w:r w:rsidRPr="00A23499">
              <w:t>organisational skills, including the ability to plan and set out work</w:t>
            </w:r>
          </w:p>
          <w:p w:rsidR="00000000" w:rsidRPr="00A23499" w:rsidP="00A23499">
            <w:pPr>
              <w:pStyle w:val="ListBullet"/>
            </w:pPr>
            <w:r w:rsidRPr="00A23499">
              <w:t>recognising procedures, following instructions, responding to change and contrib</w:t>
            </w:r>
            <w:r w:rsidRPr="00A23499">
              <w:t>uting to workplace responsibilities, such as current work site environmental and sustainability frameworks or management systems</w:t>
            </w:r>
          </w:p>
          <w:p w:rsidR="00000000" w:rsidRPr="00A23499" w:rsidP="00A23499">
            <w:pPr>
              <w:pStyle w:val="ListBullet"/>
            </w:pPr>
            <w:r w:rsidRPr="00A23499">
              <w:t>teamwork skills to coordinate own work with others to action tasks and relate to people from a range of cultural and ethnic bac</w:t>
            </w:r>
            <w:r w:rsidRPr="00A23499">
              <w:t>kgrounds and with varying physical and mental abilities</w:t>
            </w:r>
          </w:p>
          <w:p w:rsidR="00000000" w:rsidRPr="00A23499" w:rsidP="00A23499">
            <w:pPr>
              <w:pStyle w:val="ListBullet"/>
            </w:pPr>
            <w:r w:rsidRPr="00A23499">
              <w:t>technological skills to:</w:t>
            </w:r>
          </w:p>
          <w:p w:rsidR="00000000" w:rsidRPr="00A23499" w:rsidP="00A23499">
            <w:pPr>
              <w:pStyle w:val="ListBullet2"/>
            </w:pPr>
            <w:r w:rsidRPr="00A23499">
              <w:t>use a range of mobile technology, such as two-way radio and mobile phones</w:t>
            </w:r>
          </w:p>
          <w:p w:rsidR="00000000" w:rsidP="00A23499">
            <w:pPr>
              <w:pStyle w:val="ListBullet2"/>
              <w:rPr>
                <w:lang w:val="en-NZ"/>
              </w:rPr>
            </w:pPr>
            <w:r w:rsidRPr="00A23499">
              <w:t>voice and hand signals to access and understand site-specific instructions.</w:t>
            </w:r>
          </w:p>
        </w:tc>
      </w:tr>
      <w:tr w:rsidTr="00644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Required knowledge</w:t>
            </w:r>
          </w:p>
        </w:tc>
      </w:tr>
      <w:tr w:rsidTr="00644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Required knowledge for this unit is:</w:t>
            </w:r>
          </w:p>
          <w:p w:rsidR="00000000" w:rsidRPr="00A23499" w:rsidP="00A23499">
            <w:pPr>
              <w:pStyle w:val="ListBullet"/>
            </w:pPr>
            <w:r w:rsidRPr="00A23499">
              <w:t>compatibility of preparatory materials and paint systems</w:t>
            </w:r>
          </w:p>
          <w:p w:rsidR="00000000" w:rsidRPr="00A23499" w:rsidP="00A23499">
            <w:pPr>
              <w:pStyle w:val="ListBullet"/>
            </w:pPr>
            <w:r w:rsidRPr="00A23499">
              <w:t>hazards associated with solvents, chemicals and dust</w:t>
            </w:r>
          </w:p>
          <w:p w:rsidR="00000000" w:rsidRPr="00A23499" w:rsidP="00A23499">
            <w:pPr>
              <w:pStyle w:val="ListBullet"/>
            </w:pPr>
            <w:r w:rsidRPr="00A23499">
              <w:t>job safety analysis (JSA) and safe work method statements</w:t>
            </w:r>
          </w:p>
          <w:p w:rsidR="00000000" w:rsidRPr="00A23499" w:rsidP="00A23499">
            <w:pPr>
              <w:pStyle w:val="ListBullet"/>
            </w:pPr>
            <w:r w:rsidRPr="00A23499">
              <w:t>materials storage and environmentally friendly was</w:t>
            </w:r>
            <w:r w:rsidRPr="00A23499">
              <w:t>te management</w:t>
            </w:r>
          </w:p>
          <w:p w:rsidR="00000000" w:rsidRPr="00A23499" w:rsidP="00A23499">
            <w:pPr>
              <w:pStyle w:val="ListBullet"/>
            </w:pPr>
            <w:r w:rsidRPr="00A23499">
              <w:t>MSDS</w:t>
            </w:r>
          </w:p>
          <w:p w:rsidR="00000000" w:rsidRPr="00A23499" w:rsidP="00A23499">
            <w:pPr>
              <w:pStyle w:val="ListBullet"/>
            </w:pPr>
            <w:r w:rsidRPr="00A23499">
              <w:t>painting and decorating terminology</w:t>
            </w:r>
          </w:p>
          <w:p w:rsidR="00000000" w:rsidRPr="00A23499" w:rsidP="00A23499">
            <w:pPr>
              <w:pStyle w:val="ListBullet"/>
            </w:pPr>
            <w:r w:rsidRPr="00A23499">
              <w:t>plans, drawings and specifications</w:t>
            </w:r>
          </w:p>
          <w:p w:rsidR="00000000" w:rsidRPr="00A23499" w:rsidP="00A23499">
            <w:pPr>
              <w:pStyle w:val="ListBullet"/>
            </w:pPr>
            <w:r w:rsidRPr="00A23499">
              <w:t>processes for the calculation of material requirements</w:t>
            </w:r>
          </w:p>
          <w:p w:rsidR="00000000" w:rsidRPr="00A23499" w:rsidP="00A23499">
            <w:pPr>
              <w:pStyle w:val="ListBullet"/>
            </w:pPr>
            <w:r w:rsidRPr="00A23499">
              <w:t>quality requirements</w:t>
            </w:r>
          </w:p>
          <w:p w:rsidR="00000000" w:rsidRPr="00A23499" w:rsidP="00A23499">
            <w:pPr>
              <w:pStyle w:val="ListBullet"/>
            </w:pPr>
            <w:r w:rsidRPr="00A23499">
              <w:t>responsibilities with regard to:</w:t>
            </w:r>
          </w:p>
          <w:p w:rsidR="00000000" w:rsidRPr="00A23499" w:rsidP="00A23499">
            <w:pPr>
              <w:pStyle w:val="ListBullet2"/>
            </w:pPr>
            <w:r w:rsidRPr="00A23499">
              <w:t>conservation areas</w:t>
            </w:r>
          </w:p>
          <w:p w:rsidR="00000000" w:rsidRPr="00A23499" w:rsidP="00A23499">
            <w:pPr>
              <w:pStyle w:val="ListBullet2"/>
            </w:pPr>
            <w:r w:rsidRPr="00A23499">
              <w:t>environmental requirements</w:t>
            </w:r>
          </w:p>
          <w:p w:rsidR="00000000" w:rsidRPr="00A23499" w:rsidP="00A23499">
            <w:pPr>
              <w:pStyle w:val="ListBullet2"/>
            </w:pPr>
            <w:r w:rsidRPr="00A23499">
              <w:t>heritage listed buildings</w:t>
            </w:r>
          </w:p>
          <w:p w:rsidR="00000000" w:rsidRPr="00A23499" w:rsidP="00A23499">
            <w:pPr>
              <w:pStyle w:val="ListBullet"/>
            </w:pPr>
            <w:r w:rsidRPr="00A23499">
              <w:t>surface coating technology, including specification of paint systems for interior and exterior painting projects to maximise durability, protection and aesthetic considerations</w:t>
            </w:r>
          </w:p>
          <w:p w:rsidR="00000000" w:rsidRPr="00A23499" w:rsidP="00A23499">
            <w:pPr>
              <w:pStyle w:val="ListBullet"/>
            </w:pPr>
            <w:r w:rsidRPr="00A23499">
              <w:t>testing techniques and support materials</w:t>
            </w:r>
          </w:p>
          <w:p w:rsidR="00000000" w:rsidRPr="00A23499" w:rsidP="00A23499">
            <w:pPr>
              <w:pStyle w:val="ListBullet"/>
            </w:pPr>
            <w:r w:rsidRPr="00A23499">
              <w:t>theoretical</w:t>
            </w:r>
            <w:r w:rsidRPr="00A23499">
              <w:t xml:space="preserve"> principles relating to adhesion and cohesion of paint</w:t>
            </w:r>
          </w:p>
          <w:p w:rsidR="00000000" w:rsidRPr="00A23499" w:rsidP="00A23499">
            <w:pPr>
              <w:pStyle w:val="ListBullet"/>
            </w:pPr>
            <w:r w:rsidRPr="00A23499">
              <w:t>theoretical principles relating to pigmentation and colouring agents, drying and curing processes and the role of solvents</w:t>
            </w:r>
          </w:p>
          <w:p w:rsidR="00000000" w:rsidRPr="00A23499" w:rsidP="00A23499">
            <w:pPr>
              <w:pStyle w:val="ListBullet"/>
            </w:pPr>
            <w:r w:rsidRPr="00A23499">
              <w:t>types, uses and limitations of commonly used brushes and rollers</w:t>
            </w:r>
          </w:p>
          <w:p w:rsidR="00000000" w:rsidRPr="00A23499" w:rsidP="00A23499">
            <w:pPr>
              <w:pStyle w:val="ListBullet"/>
            </w:pPr>
            <w:r w:rsidRPr="00A23499">
              <w:t xml:space="preserve">variances in </w:t>
            </w:r>
            <w:r w:rsidRPr="00A23499">
              <w:t>work carried out within sectors of painting and decorating industry for:</w:t>
            </w:r>
          </w:p>
          <w:p w:rsidR="00000000" w:rsidRPr="00A23499" w:rsidP="00A23499">
            <w:pPr>
              <w:pStyle w:val="ListBullet2"/>
            </w:pPr>
            <w:r w:rsidRPr="00A23499">
              <w:t>new building (residential, commercial and high rise)</w:t>
            </w:r>
          </w:p>
          <w:p w:rsidR="00000000" w:rsidRPr="00A23499" w:rsidP="00A23499">
            <w:pPr>
              <w:pStyle w:val="ListBullet2"/>
            </w:pPr>
            <w:r w:rsidRPr="00A23499">
              <w:t>maintenance, renovation and refurbishment</w:t>
            </w:r>
          </w:p>
          <w:p w:rsidR="00000000" w:rsidRPr="00A23499" w:rsidP="00A23499">
            <w:pPr>
              <w:pStyle w:val="ListBullet2"/>
            </w:pPr>
            <w:r w:rsidRPr="00A23499">
              <w:t>restoration</w:t>
            </w:r>
          </w:p>
          <w:p w:rsidR="00000000" w:rsidRPr="00A23499" w:rsidP="00A23499">
            <w:pPr>
              <w:pStyle w:val="ListBullet2"/>
            </w:pPr>
            <w:r w:rsidRPr="00A23499">
              <w:t>conservation</w:t>
            </w:r>
          </w:p>
          <w:p w:rsidR="00000000" w:rsidRPr="00A23499" w:rsidP="00A23499">
            <w:pPr>
              <w:pStyle w:val="ListBullet"/>
            </w:pPr>
            <w:r w:rsidRPr="00A23499">
              <w:t>workplace and equipment safety requirements.</w:t>
            </w:r>
          </w:p>
        </w:tc>
      </w:tr>
    </w:tbl>
    <w:p w:rsidR="00644E90" w:rsidP="00A23499">
      <w:pPr>
        <w:pStyle w:val="BodyText"/>
      </w:pPr>
    </w:p>
    <w:p w:rsidR="00644E90" w:rsidP="00A23499">
      <w:pPr>
        <w:pStyle w:val="BodyText"/>
      </w:pPr>
    </w:p>
    <w:p w:rsidR="00000000" w:rsidRPr="00A23499" w:rsidP="00A23499">
      <w:pPr>
        <w:pStyle w:val="AllowPageBreak"/>
      </w:pPr>
    </w:p>
    <w:p w:rsidR="00000000" w:rsidRPr="00A23499" w:rsidP="00A23499">
      <w:pPr>
        <w:pStyle w:val="Heading1"/>
      </w:pPr>
      <w:bookmarkStart w:id="10" w:name="O_242329"/>
      <w:bookmarkEnd w:id="10"/>
      <w:r w:rsidRPr="00A23499">
        <w:t>Evidence Guide</w:t>
      </w:r>
    </w:p>
    <w:tbl>
      <w:tblPr>
        <w:tblW w:w="0" w:type="auto"/>
        <w:tblLayout w:type="fixed"/>
        <w:tblCellMar>
          <w:left w:w="62" w:type="dxa"/>
          <w:right w:w="62" w:type="dxa"/>
        </w:tblCellMar>
        <w:tblLook w:val="0000"/>
      </w:tblPr>
      <w:tblGrid>
        <w:gridCol w:w="3508"/>
        <w:gridCol w:w="5014"/>
      </w:tblGrid>
      <w:tr w:rsidTr="00644E9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3499">
            <w:pPr>
              <w:pStyle w:val="BodyText"/>
              <w:rPr>
                <w:lang w:val="en-NZ"/>
              </w:rPr>
            </w:pPr>
            <w:r w:rsidRPr="00A23499">
              <w:rPr>
                <w:rStyle w:val="SpecialBold"/>
              </w:rPr>
              <w:t>EVIDENCE GUIDE</w:t>
            </w:r>
          </w:p>
        </w:tc>
      </w:tr>
      <w:tr w:rsidTr="00644E9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3499">
            <w:pPr>
              <w:pStyle w:val="BodyText"/>
              <w:rPr>
                <w:lang w:val="en-NZ"/>
              </w:rPr>
            </w:pPr>
            <w:r w:rsidRPr="00A23499">
              <w:t xml:space="preserve">The evidence guide provides advice on assessment and must be read in conjunction with the performance criteria, required skills and knowledge, </w:t>
            </w:r>
            <w:r w:rsidRPr="00A23499">
              <w:t>range statement and the Assessment Guidelines for the Training Package.</w:t>
            </w:r>
          </w:p>
        </w:tc>
      </w:tr>
      <w:tr w:rsidTr="00644E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t xml:space="preserve">This unit of competency could be assessed in the workplace or a close simulation of the workplace environment, provided that simulated or project-based </w:t>
            </w:r>
            <w:r w:rsidRPr="00A23499">
              <w:t xml:space="preserve">assessment techniques fully replicate construction workplace conditions, materials, activities, responsibilities and procedures. </w:t>
            </w:r>
          </w:p>
        </w:tc>
      </w:tr>
      <w:tr w:rsidTr="00644E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A person who demonstrates compet</w:t>
            </w:r>
            <w:r w:rsidRPr="00A23499">
              <w:t>ency in this unit must be able to provide evidence of the ability to:</w:t>
            </w:r>
          </w:p>
          <w:p w:rsidR="00000000" w:rsidRPr="00A23499" w:rsidP="00A23499">
            <w:pPr>
              <w:pStyle w:val="ListBullet"/>
            </w:pPr>
            <w:r w:rsidRPr="00A23499">
              <w:t>locate, interpret and apply relevant information, standards and specifications</w:t>
            </w:r>
          </w:p>
          <w:p w:rsidR="00000000" w:rsidRPr="00A23499" w:rsidP="00A23499">
            <w:pPr>
              <w:pStyle w:val="ListBullet"/>
            </w:pPr>
            <w:r w:rsidRPr="00A23499">
              <w:t>comply with site safety plan and OHS legislation, regulations and codes of practice applicable to workplac</w:t>
            </w:r>
            <w:r w:rsidRPr="00A23499">
              <w:t>e operations</w:t>
            </w:r>
          </w:p>
          <w:p w:rsidR="00000000" w:rsidRPr="00A23499" w:rsidP="00A23499">
            <w:pPr>
              <w:pStyle w:val="ListBullet"/>
            </w:pPr>
            <w:r w:rsidRPr="00A23499">
              <w:t>comply with organisational policies and procedures including quality requirements</w:t>
            </w:r>
          </w:p>
          <w:p w:rsidR="00000000" w:rsidRPr="00A23499" w:rsidP="00A23499">
            <w:pPr>
              <w:pStyle w:val="ListBullet"/>
            </w:pPr>
            <w:r w:rsidRPr="00A23499">
              <w:t>safely and effectively operate and use tools, plant and equipment</w:t>
            </w:r>
          </w:p>
          <w:p w:rsidR="00000000" w:rsidRPr="00A23499" w:rsidP="00A23499">
            <w:pPr>
              <w:pStyle w:val="ListBullet"/>
            </w:pPr>
            <w:r w:rsidRPr="00A23499">
              <w:t>communicate and work effectively and safely with others</w:t>
            </w:r>
          </w:p>
          <w:p w:rsidR="00000000" w:rsidRPr="00A23499" w:rsidP="00A23499">
            <w:pPr>
              <w:pStyle w:val="ListBullet"/>
            </w:pPr>
            <w:r w:rsidRPr="00A23499">
              <w:t>apply paint by brush and roller (with f</w:t>
            </w:r>
            <w:r w:rsidRPr="00A23499">
              <w:t>inishes being to specification, including in terms of defects, thickness, colour, level of opacity, finish, texture and sheen), to a range of surfaces, including:</w:t>
            </w:r>
          </w:p>
          <w:p w:rsidR="00000000" w:rsidRPr="00A23499" w:rsidP="00A23499">
            <w:pPr>
              <w:pStyle w:val="ListBullet2"/>
            </w:pPr>
            <w:r w:rsidRPr="00A23499">
              <w:t>four different surface types</w:t>
            </w:r>
          </w:p>
          <w:p w:rsidR="00000000" w:rsidRPr="00A23499" w:rsidP="00A23499">
            <w:pPr>
              <w:pStyle w:val="ListBullet2"/>
            </w:pPr>
            <w:r w:rsidRPr="00A23499">
              <w:t>a minimum application of 6 square metres brushed or rolled</w:t>
            </w:r>
          </w:p>
          <w:p w:rsidR="00000000" w:rsidRPr="00A23499" w:rsidP="00A23499">
            <w:pPr>
              <w:pStyle w:val="ListBullet2"/>
            </w:pPr>
            <w:r w:rsidRPr="00A23499">
              <w:t>a timber panel door</w:t>
            </w:r>
          </w:p>
          <w:p w:rsidR="00000000" w:rsidRPr="00A23499" w:rsidP="00A23499">
            <w:pPr>
              <w:pStyle w:val="ListBullet2"/>
            </w:pPr>
            <w:r w:rsidRPr="00A23499">
              <w:t>a flush door</w:t>
            </w:r>
          </w:p>
          <w:p w:rsidR="00000000" w:rsidP="00A23499">
            <w:pPr>
              <w:pStyle w:val="ListBullet2"/>
              <w:rPr>
                <w:lang w:val="en-NZ"/>
              </w:rPr>
            </w:pPr>
            <w:r w:rsidRPr="00A23499">
              <w:t>a timber window, including architrave and frame with moving parts (e.g. box frame, hopper and awning).</w:t>
            </w:r>
          </w:p>
        </w:tc>
      </w:tr>
      <w:tr w:rsidTr="00644E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This competency is to be assessed using standard and authorised work p</w:t>
            </w:r>
            <w:r w:rsidRPr="00A23499">
              <w:t>ractices, safety requirements and environmental constraints.</w:t>
            </w:r>
          </w:p>
          <w:p w:rsidR="00000000" w:rsidRPr="00A23499" w:rsidP="00A23499">
            <w:pPr>
              <w:pStyle w:val="BodyText"/>
            </w:pPr>
            <w:r w:rsidRPr="00A23499">
              <w:t>Assessment of essential underpinning knowledge will usually be conducted in an off-site context.</w:t>
            </w:r>
          </w:p>
          <w:p w:rsidR="00000000" w:rsidRPr="00A23499" w:rsidP="00A23499">
            <w:pPr>
              <w:pStyle w:val="BodyText"/>
            </w:pPr>
            <w:r w:rsidRPr="00A23499">
              <w:t>Assessment is to comply with relevant regulatory or Australian standards' requirements.</w:t>
            </w:r>
          </w:p>
          <w:p w:rsidR="00000000" w:rsidRPr="00A23499" w:rsidP="00A23499">
            <w:pPr>
              <w:pStyle w:val="BodyText"/>
            </w:pPr>
            <w:r w:rsidRPr="00A23499">
              <w:t>Resource i</w:t>
            </w:r>
            <w:r w:rsidRPr="00A23499">
              <w:t>mplications for assessment include:</w:t>
            </w:r>
          </w:p>
          <w:p w:rsidR="00000000" w:rsidRPr="00A23499" w:rsidP="00A23499">
            <w:pPr>
              <w:pStyle w:val="ListBullet"/>
            </w:pPr>
            <w:r w:rsidRPr="00A23499">
              <w:t>an induction procedure and requirement</w:t>
            </w:r>
          </w:p>
          <w:p w:rsidR="00000000" w:rsidRPr="00A23499" w:rsidP="00A23499">
            <w:pPr>
              <w:pStyle w:val="ListBullet"/>
            </w:pPr>
            <w:r w:rsidRPr="00A23499">
              <w:t>realistic tasks or simulated tasks covering the mandatory task requirements</w:t>
            </w:r>
          </w:p>
          <w:p w:rsidR="00000000" w:rsidRPr="00A23499" w:rsidP="00A23499">
            <w:pPr>
              <w:pStyle w:val="ListBullet"/>
            </w:pPr>
            <w:r w:rsidRPr="00A23499">
              <w:t>relevant specifications and work instructions</w:t>
            </w:r>
          </w:p>
          <w:p w:rsidR="00000000" w:rsidRPr="00A23499" w:rsidP="00A23499">
            <w:pPr>
              <w:pStyle w:val="ListBullet"/>
            </w:pPr>
            <w:r w:rsidRPr="00A23499">
              <w:t>tools and equipment appropriate to applying safe work practices</w:t>
            </w:r>
          </w:p>
          <w:p w:rsidR="00000000" w:rsidRPr="00A23499" w:rsidP="00A23499">
            <w:pPr>
              <w:pStyle w:val="ListBullet"/>
            </w:pPr>
            <w:r w:rsidRPr="00A23499">
              <w:t>support materials appropriate to activity</w:t>
            </w:r>
          </w:p>
          <w:p w:rsidR="00000000" w:rsidRPr="00A23499" w:rsidP="00A23499">
            <w:pPr>
              <w:pStyle w:val="ListBullet"/>
            </w:pPr>
            <w:r w:rsidRPr="00A23499">
              <w:t>workplace instructions relating to safe work practices and addressing hazards and emergencies</w:t>
            </w:r>
          </w:p>
          <w:p w:rsidR="00000000" w:rsidRPr="00A23499" w:rsidP="00A23499">
            <w:pPr>
              <w:pStyle w:val="ListBullet"/>
            </w:pPr>
            <w:r w:rsidRPr="00A23499">
              <w:t>material safety data sheets</w:t>
            </w:r>
          </w:p>
          <w:p w:rsidR="00000000" w:rsidRPr="00A23499" w:rsidP="00A23499">
            <w:pPr>
              <w:pStyle w:val="ListBullet"/>
            </w:pPr>
            <w:r w:rsidRPr="00A23499">
              <w:t>research resources, includin</w:t>
            </w:r>
            <w:r w:rsidRPr="00A23499">
              <w:t>g industry related systems information.</w:t>
            </w:r>
          </w:p>
          <w:p w:rsidR="00000000" w:rsidP="00A23499">
            <w:pPr>
              <w:pStyle w:val="BodyText"/>
              <w:rPr>
                <w:lang w:val="en-NZ"/>
              </w:rPr>
            </w:pPr>
            <w:r w:rsidRPr="00A23499">
              <w:t xml:space="preserve">Reasonable adjustments for people with disabilities must be made to assessment processes where required. This could include access to modified equipment and other physical resources, and the provision of appropriate </w:t>
            </w:r>
            <w:r w:rsidRPr="00A23499">
              <w:t xml:space="preserve">assessment support. </w:t>
            </w:r>
          </w:p>
        </w:tc>
      </w:tr>
      <w:tr w:rsidTr="00644E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Assessment methods must:</w:t>
            </w:r>
          </w:p>
          <w:p w:rsidR="00000000" w:rsidRPr="00A23499" w:rsidP="00A23499">
            <w:pPr>
              <w:pStyle w:val="ListBullet"/>
            </w:pPr>
            <w:r w:rsidRPr="00A23499">
              <w:t>satisfy the endorsed Assessment Guidelines of the Construction, Plumbing and Services Training Package</w:t>
            </w:r>
          </w:p>
          <w:p w:rsidR="00000000" w:rsidRPr="00A23499" w:rsidP="00A23499">
            <w:pPr>
              <w:pStyle w:val="ListBullet"/>
            </w:pPr>
            <w:r w:rsidRPr="00A23499">
              <w:t>include direct observation of tasks in real or simulated work conditions, with quest</w:t>
            </w:r>
            <w:r w:rsidRPr="00A23499">
              <w:t>ioning to confirm the ability to consistently identify and correctly interpret the essential underpinning knowledge required for practical application</w:t>
            </w:r>
          </w:p>
          <w:p w:rsidR="00000000" w:rsidRPr="00A23499" w:rsidP="00A23499">
            <w:pPr>
              <w:pStyle w:val="ListBullet"/>
            </w:pPr>
            <w:r w:rsidRPr="00A23499">
              <w:t>reinforce the integration of employability skills with workplace tasks and job roles</w:t>
            </w:r>
          </w:p>
          <w:p w:rsidR="00000000" w:rsidRPr="00A23499" w:rsidP="00A23499">
            <w:pPr>
              <w:pStyle w:val="ListBullet"/>
            </w:pPr>
            <w:r w:rsidRPr="00A23499">
              <w:t>confirm that compete</w:t>
            </w:r>
            <w:r w:rsidRPr="00A23499">
              <w:t>ncy is verified and able to be transferred to other circumstances and environments.</w:t>
            </w:r>
          </w:p>
          <w:p w:rsidR="00000000" w:rsidRPr="00A23499" w:rsidP="00A23499">
            <w:pPr>
              <w:pStyle w:val="BodyText"/>
            </w:pPr>
            <w:r w:rsidRPr="00A23499">
              <w:t>Validity and sufficiency of evidence requires that:</w:t>
            </w:r>
          </w:p>
          <w:p w:rsidR="00000000" w:rsidRPr="00A23499" w:rsidP="00A23499">
            <w:pPr>
              <w:pStyle w:val="ListBullet"/>
            </w:pPr>
            <w:r w:rsidRPr="00A23499">
              <w:t xml:space="preserve">competency will need to be demonstrated over a period of time reflecting the scope </w:t>
            </w:r>
            <w:r w:rsidRPr="00A23499">
              <w:t>of the role and the practical requirements of the workplace</w:t>
            </w:r>
          </w:p>
          <w:p w:rsidR="00000000" w:rsidRPr="00A23499" w:rsidP="00A23499">
            <w:pPr>
              <w:pStyle w:val="ListBullet"/>
            </w:pPr>
            <w:r w:rsidRPr="00A23499">
              <w:t>where the assessment is part of a structured learning experience the evidence collected must relate to a number of performances assessed at different points in time and separated by further learni</w:t>
            </w:r>
            <w:r w:rsidRPr="00A23499">
              <w:t>ng and practice, with a decision on competency only taken at the point when the assessor has complete confidence in the person's demonstrated ability and applied knowledge</w:t>
            </w:r>
          </w:p>
          <w:p w:rsidR="00000000" w:rsidRPr="00A23499" w:rsidP="00A23499">
            <w:pPr>
              <w:pStyle w:val="ListBullet"/>
            </w:pPr>
            <w:r w:rsidRPr="00A23499">
              <w:t>all assessment that is part of a structured learning experience must include a combi</w:t>
            </w:r>
            <w:r w:rsidRPr="00A23499">
              <w:t>nation of direct, indirect and supplementary evidence.</w:t>
            </w:r>
          </w:p>
          <w:p w:rsidR="00000000" w:rsidRPr="00A23499" w:rsidP="00A23499">
            <w:pPr>
              <w:pStyle w:val="BodyText"/>
            </w:pPr>
            <w:r w:rsidRPr="00A23499">
              <w:t>Assessment processes and techniques should as far as is practical take into account the language, literacy and numeracy capacity of the candidate in relation to the competency being assessed.</w:t>
            </w:r>
          </w:p>
          <w:p w:rsidR="00000000" w:rsidRPr="00A23499" w:rsidP="00A23499">
            <w:pPr>
              <w:pStyle w:val="BodyText"/>
            </w:pPr>
            <w:r w:rsidRPr="00A23499">
              <w:t>Supplemen</w:t>
            </w:r>
            <w:r w:rsidRPr="00A23499">
              <w:t xml:space="preserve">tary evidence of competency may be obtained from relevant authenticated documentation from third parties, such as existing supervisors, team leaders or specialist training staff. </w:t>
            </w:r>
          </w:p>
        </w:tc>
      </w:tr>
    </w:tbl>
    <w:p w:rsidR="00644E90" w:rsidP="00A23499">
      <w:pPr>
        <w:pStyle w:val="BodyText"/>
      </w:pPr>
    </w:p>
    <w:p w:rsidR="00644E90" w:rsidP="00A23499">
      <w:pPr>
        <w:pStyle w:val="BodyText"/>
      </w:pPr>
    </w:p>
    <w:p w:rsidR="00000000" w:rsidRPr="00A23499" w:rsidP="00A23499">
      <w:pPr>
        <w:pStyle w:val="Heading1"/>
      </w:pPr>
      <w:bookmarkStart w:id="11" w:name="O_250312"/>
      <w:bookmarkEnd w:id="11"/>
      <w:r w:rsidRPr="00A23499">
        <w:t>Range Statement</w:t>
      </w:r>
    </w:p>
    <w:tbl>
      <w:tblPr>
        <w:tblW w:w="0" w:type="auto"/>
        <w:tblLayout w:type="fixed"/>
        <w:tblCellMar>
          <w:left w:w="62" w:type="dxa"/>
          <w:right w:w="62" w:type="dxa"/>
        </w:tblCellMar>
        <w:tblLook w:val="0000"/>
      </w:tblPr>
      <w:tblGrid>
        <w:gridCol w:w="3489"/>
        <w:gridCol w:w="5033"/>
      </w:tblGrid>
      <w:tr w:rsidTr="00644E9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3499">
            <w:pPr>
              <w:pStyle w:val="BodyText"/>
              <w:rPr>
                <w:lang w:val="en-NZ"/>
              </w:rPr>
            </w:pPr>
            <w:r w:rsidRPr="00A23499">
              <w:rPr>
                <w:rStyle w:val="SpecialBold"/>
              </w:rPr>
              <w:t>RANGE STATEMENT</w:t>
            </w:r>
          </w:p>
        </w:tc>
      </w:tr>
      <w:tr w:rsidTr="00644E9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3499">
            <w:pPr>
              <w:pStyle w:val="BodyText"/>
              <w:rPr>
                <w:lang w:val="en-NZ"/>
              </w:rPr>
            </w:pPr>
            <w:r w:rsidRPr="00A23499">
              <w:t>The range statement relates to the unit of competency as a whole. It allows for different work environments and situations that may affect performance. Bold italicised wording, if used in the performance criteria, is detailed below. Essential operating con</w:t>
            </w:r>
            <w:r w:rsidRPr="00A23499">
              <w:t>ditions that may be present with training and assessment (depending on the work situation, needs of the candidate, accessibility of the item, and local industry and regional contexts) may also be included.</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Information</w:t>
            </w:r>
            <w:r w:rsidRPr="00A2349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diagrams or sketches</w:t>
            </w:r>
          </w:p>
          <w:p w:rsidR="00000000" w:rsidRPr="00A23499" w:rsidP="00A23499">
            <w:pPr>
              <w:pStyle w:val="ListBullet"/>
            </w:pPr>
            <w:r w:rsidRPr="00A23499">
              <w:t>instructions issued by authorised organisational or external personnel</w:t>
            </w:r>
          </w:p>
          <w:p w:rsidR="00000000" w:rsidRPr="00A23499" w:rsidP="00A23499">
            <w:pPr>
              <w:pStyle w:val="ListBullet"/>
            </w:pPr>
            <w:r w:rsidRPr="00A23499">
              <w:t>manufacturer specifications and instructions, where specified</w:t>
            </w:r>
          </w:p>
          <w:p w:rsidR="00000000" w:rsidRPr="00A23499" w:rsidP="00A23499">
            <w:pPr>
              <w:pStyle w:val="ListBullet"/>
            </w:pPr>
            <w:r w:rsidRPr="00A23499">
              <w:t>MSDS</w:t>
            </w:r>
          </w:p>
          <w:p w:rsidR="00000000" w:rsidRPr="00A23499" w:rsidP="00A23499">
            <w:pPr>
              <w:pStyle w:val="ListBullet"/>
            </w:pPr>
            <w:r w:rsidRPr="00A23499">
              <w:t>memos</w:t>
            </w:r>
          </w:p>
          <w:p w:rsidR="00000000" w:rsidRPr="00A23499" w:rsidP="00A23499">
            <w:pPr>
              <w:pStyle w:val="ListBullet"/>
            </w:pPr>
            <w:r w:rsidRPr="00A23499">
              <w:t>regulatory and legislative requirements pertaining to the application of paint by brush and roller</w:t>
            </w:r>
          </w:p>
          <w:p w:rsidR="00000000" w:rsidRPr="00A23499" w:rsidP="00A23499">
            <w:pPr>
              <w:pStyle w:val="ListBullet"/>
            </w:pPr>
            <w:r w:rsidRPr="00A23499">
              <w:t>relevant Aust</w:t>
            </w:r>
            <w:r w:rsidRPr="00A23499">
              <w:t>ralian standards</w:t>
            </w:r>
          </w:p>
          <w:p w:rsidR="00000000" w:rsidRPr="00A23499" w:rsidP="00A23499">
            <w:pPr>
              <w:pStyle w:val="ListBullet"/>
            </w:pPr>
            <w:r w:rsidRPr="00A23499">
              <w:t>safe work procedures relating to the application of paint by brush and roller</w:t>
            </w:r>
          </w:p>
          <w:p w:rsidR="00000000" w:rsidRPr="00A23499" w:rsidP="00A23499">
            <w:pPr>
              <w:pStyle w:val="ListBullet"/>
            </w:pPr>
            <w:r w:rsidRPr="00A23499">
              <w:t>signage</w:t>
            </w:r>
          </w:p>
          <w:p w:rsidR="00000000" w:rsidRPr="00A23499" w:rsidP="00A23499">
            <w:pPr>
              <w:pStyle w:val="ListBullet"/>
            </w:pPr>
            <w:r w:rsidRPr="00A23499">
              <w:t>verbal, written and graphical instructions</w:t>
            </w:r>
          </w:p>
          <w:p w:rsidR="00000000" w:rsidRPr="00A23499" w:rsidP="00A23499">
            <w:pPr>
              <w:pStyle w:val="ListBullet"/>
            </w:pPr>
            <w:r w:rsidRPr="00A23499">
              <w:t>work bulletins</w:t>
            </w:r>
          </w:p>
          <w:p w:rsidR="00000000" w:rsidP="00A23499">
            <w:pPr>
              <w:pStyle w:val="ListBullet"/>
              <w:rPr>
                <w:lang w:val="en-NZ"/>
              </w:rPr>
            </w:pPr>
            <w:r w:rsidRPr="00A23499">
              <w:t>work schedules, plans and specifications.</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Planning and preparation</w:t>
            </w:r>
            <w:r w:rsidRPr="00A2349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assessment of co</w:t>
            </w:r>
            <w:r w:rsidRPr="00A23499">
              <w:t>nditions and hazards</w:t>
            </w:r>
          </w:p>
          <w:p w:rsidR="00000000" w:rsidRPr="00A23499" w:rsidP="00A23499">
            <w:pPr>
              <w:pStyle w:val="ListBullet"/>
            </w:pPr>
            <w:r w:rsidRPr="00A23499">
              <w:t>determination of work requirements and safety plans and policies</w:t>
            </w:r>
          </w:p>
          <w:p w:rsidR="00000000" w:rsidRPr="00A23499" w:rsidP="00A23499">
            <w:pPr>
              <w:pStyle w:val="ListBullet"/>
            </w:pPr>
            <w:r w:rsidRPr="00A23499">
              <w:t>equipment defect identification</w:t>
            </w:r>
          </w:p>
          <w:p w:rsidR="00000000" w:rsidP="00A23499">
            <w:pPr>
              <w:pStyle w:val="ListBullet"/>
              <w:rPr>
                <w:lang w:val="en-NZ"/>
              </w:rPr>
            </w:pPr>
            <w:r w:rsidRPr="00A23499">
              <w:t>work site inspection.</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Safety</w:t>
            </w:r>
            <w:r w:rsidRPr="00A23499">
              <w:t xml:space="preserve"> (</w:t>
            </w:r>
            <w:r w:rsidRPr="00A23499">
              <w:rPr>
                <w:rStyle w:val="BoldandItalics"/>
              </w:rPr>
              <w:t>OHS</w:t>
            </w:r>
            <w:r w:rsidRPr="00A23499">
              <w:t>) is to be in accordance with state</w:t>
            </w:r>
            <w:r w:rsidRPr="00A23499">
              <w:t xml:space="preserv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emergency procedures, including extinguishing fires, organisational first aid requirements and evacuation</w:t>
            </w:r>
          </w:p>
          <w:p w:rsidR="00000000" w:rsidRPr="00A23499" w:rsidP="00A23499">
            <w:pPr>
              <w:pStyle w:val="ListBullet"/>
            </w:pPr>
            <w:r w:rsidRPr="00A23499">
              <w:t>handling activities that may require the assistance of others or</w:t>
            </w:r>
            <w:r w:rsidRPr="00A23499">
              <w:t xml:space="preserve"> the use of manual or mechanical lifting devices where size, weight or other issues, such as a disability are a factor</w:t>
            </w:r>
          </w:p>
          <w:p w:rsidR="00000000" w:rsidRPr="00A23499" w:rsidP="00A23499">
            <w:pPr>
              <w:pStyle w:val="ListBullet"/>
            </w:pPr>
            <w:r w:rsidRPr="00A23499">
              <w:t>hazard control</w:t>
            </w:r>
          </w:p>
          <w:p w:rsidR="00000000" w:rsidRPr="00A23499" w:rsidP="00A23499">
            <w:pPr>
              <w:pStyle w:val="ListBullet"/>
            </w:pPr>
            <w:r w:rsidRPr="00A23499">
              <w:t>hazardous materials and substances</w:t>
            </w:r>
          </w:p>
          <w:p w:rsidR="00000000" w:rsidRPr="00A23499" w:rsidP="00A23499">
            <w:pPr>
              <w:pStyle w:val="ListBullet"/>
            </w:pPr>
            <w:r w:rsidRPr="00A23499">
              <w:t>organisational first aid</w:t>
            </w:r>
          </w:p>
          <w:p w:rsidR="00000000" w:rsidRPr="00A23499" w:rsidP="00A23499">
            <w:pPr>
              <w:pStyle w:val="ListBullet"/>
            </w:pPr>
            <w:r w:rsidRPr="00A23499">
              <w:t>PPE prescribed under legislation, regulations and workplace po</w:t>
            </w:r>
            <w:r w:rsidRPr="00A23499">
              <w:t>licies and practices</w:t>
            </w:r>
          </w:p>
          <w:p w:rsidR="00000000" w:rsidRPr="00A23499" w:rsidP="00A23499">
            <w:pPr>
              <w:pStyle w:val="ListBullet"/>
            </w:pPr>
            <w:r w:rsidRPr="00A23499">
              <w:t>safe operating procedures, including the conduct of operational risk assessment and treatments associated with:</w:t>
            </w:r>
          </w:p>
          <w:p w:rsidR="00000000" w:rsidRPr="00A23499" w:rsidP="00A23499">
            <w:pPr>
              <w:pStyle w:val="ListBullet2"/>
            </w:pPr>
            <w:r w:rsidRPr="00A23499">
              <w:t>earth leakage boxes</w:t>
            </w:r>
          </w:p>
          <w:p w:rsidR="00000000" w:rsidRPr="00A23499" w:rsidP="00A23499">
            <w:pPr>
              <w:pStyle w:val="ListBullet2"/>
            </w:pPr>
            <w:r w:rsidRPr="00A23499">
              <w:t>falling objects</w:t>
            </w:r>
          </w:p>
          <w:p w:rsidR="00000000" w:rsidRPr="00A23499" w:rsidP="00A23499">
            <w:pPr>
              <w:pStyle w:val="ListBullet2"/>
            </w:pPr>
            <w:r w:rsidRPr="00A23499">
              <w:t>lighting</w:t>
            </w:r>
          </w:p>
          <w:p w:rsidR="00000000" w:rsidRPr="00A23499" w:rsidP="00A23499">
            <w:pPr>
              <w:pStyle w:val="ListBullet2"/>
            </w:pPr>
            <w:r w:rsidRPr="00A23499">
              <w:t>manual handling</w:t>
            </w:r>
          </w:p>
          <w:p w:rsidR="00000000" w:rsidRPr="00A23499" w:rsidP="00A23499">
            <w:pPr>
              <w:pStyle w:val="ListBullet2"/>
            </w:pPr>
            <w:r w:rsidRPr="00A23499">
              <w:t>power cables, including overhead service trays, cables and conduits</w:t>
            </w:r>
          </w:p>
          <w:p w:rsidR="00000000" w:rsidRPr="00A23499" w:rsidP="00A23499">
            <w:pPr>
              <w:pStyle w:val="ListBullet2"/>
            </w:pPr>
            <w:r w:rsidRPr="00A23499">
              <w:t>restricted access barriers</w:t>
            </w:r>
          </w:p>
          <w:p w:rsidR="00000000" w:rsidRPr="00A23499" w:rsidP="00A23499">
            <w:pPr>
              <w:pStyle w:val="ListBullet2"/>
            </w:pPr>
            <w:r w:rsidRPr="00A23499">
              <w:t>solvents, chemicals, fumes/gases</w:t>
            </w:r>
          </w:p>
          <w:p w:rsidR="00000000" w:rsidRPr="00A23499" w:rsidP="00A23499">
            <w:pPr>
              <w:pStyle w:val="ListBullet2"/>
            </w:pPr>
            <w:r w:rsidRPr="00A23499">
              <w:t>surrounding structures</w:t>
            </w:r>
          </w:p>
          <w:p w:rsidR="00000000" w:rsidRPr="00A23499" w:rsidP="00A23499">
            <w:pPr>
              <w:pStyle w:val="ListBullet2"/>
            </w:pPr>
            <w:r w:rsidRPr="00A23499">
              <w:t>traffic control</w:t>
            </w:r>
          </w:p>
          <w:p w:rsidR="00000000" w:rsidRPr="00A23499" w:rsidP="00A23499">
            <w:pPr>
              <w:pStyle w:val="ListBullet2"/>
            </w:pPr>
            <w:r w:rsidRPr="00A23499">
              <w:t>trip hazards</w:t>
            </w:r>
          </w:p>
          <w:p w:rsidR="00000000" w:rsidRPr="00A23499" w:rsidP="00A23499">
            <w:pPr>
              <w:pStyle w:val="ListBullet2"/>
            </w:pPr>
            <w:r w:rsidRPr="00A23499">
              <w:t>work access platforms</w:t>
            </w:r>
          </w:p>
          <w:p w:rsidR="00000000" w:rsidRPr="00A23499" w:rsidP="00A23499">
            <w:pPr>
              <w:pStyle w:val="ListBullet2"/>
            </w:pPr>
            <w:r w:rsidRPr="00A23499">
              <w:t>work site visitors and the public</w:t>
            </w:r>
          </w:p>
          <w:p w:rsidR="00000000" w:rsidRPr="00A23499" w:rsidP="00A23499">
            <w:pPr>
              <w:pStyle w:val="ListBullet2"/>
            </w:pPr>
            <w:r w:rsidRPr="00A23499">
              <w:t>working at heights</w:t>
            </w:r>
          </w:p>
          <w:p w:rsidR="00000000" w:rsidRPr="00A23499" w:rsidP="00A23499">
            <w:pPr>
              <w:pStyle w:val="ListBullet2"/>
            </w:pPr>
            <w:r w:rsidRPr="00A23499">
              <w:t>w</w:t>
            </w:r>
            <w:r w:rsidRPr="00A23499">
              <w:t>orking in confined spaces</w:t>
            </w:r>
          </w:p>
          <w:p w:rsidR="00000000" w:rsidRPr="00A23499" w:rsidP="00A23499">
            <w:pPr>
              <w:pStyle w:val="ListBullet2"/>
            </w:pPr>
            <w:r w:rsidRPr="00A23499">
              <w:t>working in proximity to others, work site visitors and the public</w:t>
            </w:r>
          </w:p>
          <w:p w:rsidR="00000000" w:rsidRPr="00A23499" w:rsidP="00A23499">
            <w:pPr>
              <w:pStyle w:val="ListBullet"/>
            </w:pPr>
            <w:r w:rsidRPr="00A23499">
              <w:t>use of firefighting equipment</w:t>
            </w:r>
          </w:p>
          <w:p w:rsidR="00000000" w:rsidRPr="00A23499" w:rsidP="00A23499">
            <w:pPr>
              <w:pStyle w:val="ListBullet"/>
            </w:pPr>
            <w:r w:rsidRPr="00A23499">
              <w:t>use of tools and equipment</w:t>
            </w:r>
          </w:p>
          <w:p w:rsidR="00000000" w:rsidP="00A23499">
            <w:pPr>
              <w:pStyle w:val="ListBullet"/>
              <w:rPr>
                <w:lang w:val="en-NZ"/>
              </w:rPr>
            </w:pPr>
            <w:r w:rsidRPr="00A23499">
              <w:t>workplace environmental requirements and safety.</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Tools and equipment</w:t>
            </w:r>
            <w:r w:rsidRPr="00A23499">
              <w:t xml:space="preserv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include:</w:t>
            </w:r>
          </w:p>
          <w:p w:rsidR="00000000" w:rsidRPr="00A23499" w:rsidP="00A23499">
            <w:pPr>
              <w:pStyle w:val="ListBullet2"/>
            </w:pPr>
            <w:r w:rsidRPr="00A23499">
              <w:t>brushware</w:t>
            </w:r>
          </w:p>
          <w:p w:rsidR="00000000" w:rsidRPr="00A23499" w:rsidP="00A23499">
            <w:pPr>
              <w:pStyle w:val="ListBullet2"/>
            </w:pPr>
            <w:r w:rsidRPr="00A23499">
              <w:t>brushware accessories</w:t>
            </w:r>
          </w:p>
          <w:p w:rsidR="00000000" w:rsidRPr="00A23499" w:rsidP="00A23499">
            <w:pPr>
              <w:pStyle w:val="ListBullet2"/>
            </w:pPr>
            <w:r w:rsidRPr="00A23499">
              <w:t>drop sheets</w:t>
            </w:r>
          </w:p>
          <w:p w:rsidR="00000000" w:rsidRPr="00A23499" w:rsidP="00A23499">
            <w:pPr>
              <w:pStyle w:val="ListBullet2"/>
            </w:pPr>
            <w:r w:rsidRPr="00A23499">
              <w:t>paint pots and buckets</w:t>
            </w:r>
          </w:p>
          <w:p w:rsidR="00000000" w:rsidRPr="00A23499" w:rsidP="00A23499">
            <w:pPr>
              <w:pStyle w:val="ListBullet2"/>
            </w:pPr>
            <w:r w:rsidRPr="00A23499">
              <w:t>paint stirrers</w:t>
            </w:r>
          </w:p>
          <w:p w:rsidR="00000000" w:rsidRPr="00A23499" w:rsidP="00A23499">
            <w:pPr>
              <w:pStyle w:val="ListBullet2"/>
            </w:pPr>
            <w:r w:rsidRPr="00A23499">
              <w:t>roller frames</w:t>
            </w:r>
          </w:p>
          <w:p w:rsidR="00000000" w:rsidRPr="00A23499" w:rsidP="00A23499">
            <w:pPr>
              <w:pStyle w:val="ListBullet"/>
            </w:pPr>
            <w:r w:rsidRPr="00A23499">
              <w:t>may include:</w:t>
            </w:r>
          </w:p>
          <w:p w:rsidR="00000000" w:rsidRPr="00A23499" w:rsidP="00A23499">
            <w:pPr>
              <w:pStyle w:val="ListBullet2"/>
            </w:pPr>
            <w:r w:rsidRPr="00A23499">
              <w:t>duster brushes</w:t>
            </w:r>
          </w:p>
          <w:p w:rsidR="00000000" w:rsidRPr="00A23499" w:rsidP="00A23499">
            <w:pPr>
              <w:pStyle w:val="ListBullet2"/>
            </w:pPr>
            <w:r w:rsidRPr="00A23499">
              <w:t>filling knives and blades</w:t>
            </w:r>
          </w:p>
          <w:p w:rsidR="00000000" w:rsidRPr="00A23499" w:rsidP="00A23499">
            <w:pPr>
              <w:pStyle w:val="ListBullet2"/>
            </w:pPr>
            <w:r w:rsidRPr="00A23499">
              <w:t>hammers</w:t>
            </w:r>
          </w:p>
          <w:p w:rsidR="00000000" w:rsidRPr="00A23499" w:rsidP="00A23499">
            <w:pPr>
              <w:pStyle w:val="ListBullet2"/>
            </w:pPr>
            <w:r w:rsidRPr="00A23499">
              <w:t>hand sanders</w:t>
            </w:r>
          </w:p>
          <w:p w:rsidR="00000000" w:rsidRPr="00A23499" w:rsidP="00A23499">
            <w:pPr>
              <w:pStyle w:val="ListBullet2"/>
            </w:pPr>
            <w:r w:rsidRPr="00A23499">
              <w:t>heat and flame paint removal equipment</w:t>
            </w:r>
          </w:p>
          <w:p w:rsidR="00000000" w:rsidRPr="00A23499" w:rsidP="00A23499">
            <w:pPr>
              <w:pStyle w:val="ListBullet2"/>
            </w:pPr>
            <w:r w:rsidRPr="00A23499">
              <w:t>mechanical sanders</w:t>
            </w:r>
          </w:p>
          <w:p w:rsidR="00000000" w:rsidRPr="00A23499" w:rsidP="00A23499">
            <w:pPr>
              <w:pStyle w:val="ListBullet2"/>
            </w:pPr>
            <w:r w:rsidRPr="00A23499">
              <w:t>nail punches</w:t>
            </w:r>
          </w:p>
          <w:p w:rsidR="00000000" w:rsidRPr="00A23499" w:rsidP="00A23499">
            <w:pPr>
              <w:pStyle w:val="ListBullet2"/>
            </w:pPr>
            <w:r w:rsidRPr="00A23499">
              <w:t>putty knives</w:t>
            </w:r>
          </w:p>
          <w:p w:rsidR="00000000" w:rsidRPr="00A23499" w:rsidP="00A23499">
            <w:pPr>
              <w:pStyle w:val="ListBullet2"/>
            </w:pPr>
            <w:r w:rsidRPr="00A23499">
              <w:t>scrapers</w:t>
            </w:r>
          </w:p>
          <w:p w:rsidR="00000000" w:rsidP="00A23499">
            <w:pPr>
              <w:pStyle w:val="ListBullet2"/>
              <w:rPr>
                <w:lang w:val="en-NZ"/>
              </w:rPr>
            </w:pPr>
            <w:r w:rsidRPr="00A23499">
              <w:t>wire brushes.</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Quality requirements</w:t>
            </w:r>
            <w:r w:rsidRPr="00A2349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internal company quality policy and standards</w:t>
            </w:r>
          </w:p>
          <w:p w:rsidR="00000000" w:rsidRPr="00A23499" w:rsidP="00A23499">
            <w:pPr>
              <w:pStyle w:val="ListBullet"/>
            </w:pPr>
            <w:r w:rsidRPr="00A23499">
              <w:t>manufacturer specifications, where specified</w:t>
            </w:r>
          </w:p>
          <w:p w:rsidR="00000000" w:rsidRPr="00A23499" w:rsidP="00A23499">
            <w:pPr>
              <w:pStyle w:val="ListBullet"/>
            </w:pPr>
            <w:r w:rsidRPr="00A23499">
              <w:t>relevant regulations, including Australian standards</w:t>
            </w:r>
          </w:p>
          <w:p w:rsidR="00000000" w:rsidP="00A23499">
            <w:pPr>
              <w:pStyle w:val="ListBullet"/>
              <w:rPr>
                <w:lang w:val="en-NZ"/>
              </w:rPr>
            </w:pPr>
            <w:r w:rsidRPr="00A23499">
              <w:t>workplace operations and procedures.</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Materials</w:t>
            </w:r>
            <w:r w:rsidRPr="00A2349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adhesives</w:t>
            </w:r>
          </w:p>
          <w:p w:rsidR="00000000" w:rsidRPr="00A23499" w:rsidP="00A23499">
            <w:pPr>
              <w:pStyle w:val="ListBullet"/>
            </w:pPr>
            <w:r w:rsidRPr="00A23499">
              <w:t>cleaning solvents</w:t>
            </w:r>
          </w:p>
          <w:p w:rsidR="00000000" w:rsidP="00A23499">
            <w:pPr>
              <w:pStyle w:val="ListBullet"/>
              <w:rPr>
                <w:lang w:val="en-NZ"/>
              </w:rPr>
            </w:pPr>
            <w:r w:rsidRPr="00A23499">
              <w:t>fillers.</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Environmental requirements</w:t>
            </w:r>
            <w:r w:rsidRPr="00A2349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clean-up management</w:t>
            </w:r>
          </w:p>
          <w:p w:rsidR="00000000" w:rsidRPr="00A23499" w:rsidP="00A23499">
            <w:pPr>
              <w:pStyle w:val="ListBullet"/>
            </w:pPr>
            <w:r w:rsidRPr="00A23499">
              <w:t>dust and noise</w:t>
            </w:r>
          </w:p>
          <w:p w:rsidR="00000000" w:rsidRPr="00A23499" w:rsidP="00A23499">
            <w:pPr>
              <w:pStyle w:val="ListBullet"/>
            </w:pPr>
            <w:r w:rsidRPr="00A23499">
              <w:t>stormwater protection</w:t>
            </w:r>
          </w:p>
          <w:p w:rsidR="00000000" w:rsidP="00A23499">
            <w:pPr>
              <w:pStyle w:val="ListBullet"/>
              <w:rPr>
                <w:lang w:val="en-NZ"/>
              </w:rPr>
            </w:pPr>
            <w:r w:rsidRPr="00A23499">
              <w:t>waste management.</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Surfaces to be painted</w:t>
            </w:r>
            <w:r w:rsidRPr="00A2349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horizontal or vertical</w:t>
            </w:r>
          </w:p>
          <w:p w:rsidR="00000000" w:rsidRPr="00A23499" w:rsidP="00A23499">
            <w:pPr>
              <w:pStyle w:val="ListBullet"/>
            </w:pPr>
            <w:r w:rsidRPr="00A23499">
              <w:t>inclined or curved</w:t>
            </w:r>
          </w:p>
          <w:p w:rsidR="00000000" w:rsidRPr="00A23499" w:rsidP="00A23499">
            <w:pPr>
              <w:pStyle w:val="ListBullet"/>
            </w:pPr>
            <w:r w:rsidRPr="00A23499">
              <w:t>internal or external</w:t>
            </w:r>
          </w:p>
          <w:p w:rsidR="00000000" w:rsidP="00A23499">
            <w:pPr>
              <w:pStyle w:val="ListBullet"/>
              <w:rPr>
                <w:lang w:val="en-NZ"/>
              </w:rPr>
            </w:pPr>
            <w:r w:rsidRPr="00A23499">
              <w:t>timber, metal, masonry, concrete or plaster.</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Paint</w:t>
            </w:r>
            <w:r w:rsidRPr="00A23499">
              <w:t xml:space="preserve"> coatings may be: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solvent-based</w:t>
            </w:r>
          </w:p>
          <w:p w:rsidR="00000000" w:rsidRPr="00A23499" w:rsidP="00A23499">
            <w:pPr>
              <w:pStyle w:val="ListBullet"/>
            </w:pPr>
            <w:r w:rsidRPr="00A23499">
              <w:t>two-pack</w:t>
            </w:r>
          </w:p>
          <w:p w:rsidR="00000000" w:rsidRPr="00A23499" w:rsidP="00A23499">
            <w:pPr>
              <w:pStyle w:val="ListBullet"/>
            </w:pPr>
            <w:r w:rsidRPr="00A23499">
              <w:t>water repellent for timber</w:t>
            </w:r>
          </w:p>
          <w:p w:rsidR="00000000" w:rsidP="00A23499">
            <w:pPr>
              <w:pStyle w:val="ListBullet"/>
              <w:rPr>
                <w:lang w:val="en-NZ"/>
              </w:rPr>
            </w:pPr>
            <w:r w:rsidRPr="00A23499">
              <w:t>water-based.</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Paint</w:t>
            </w:r>
            <w:r w:rsidRPr="00A23499">
              <w:t xml:space="preserve"> products may be classified as: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sealers</w:t>
            </w:r>
          </w:p>
          <w:p w:rsidR="00000000" w:rsidRPr="00A23499" w:rsidP="00A23499">
            <w:pPr>
              <w:pStyle w:val="ListBullet"/>
            </w:pPr>
            <w:r w:rsidRPr="00A23499">
              <w:t>primers</w:t>
            </w:r>
          </w:p>
          <w:p w:rsidR="00000000" w:rsidRPr="00A23499" w:rsidP="00A23499">
            <w:pPr>
              <w:pStyle w:val="ListBullet"/>
            </w:pPr>
            <w:r w:rsidRPr="00A23499">
              <w:t>sealer and undercoats</w:t>
            </w:r>
          </w:p>
          <w:p w:rsidR="00000000" w:rsidRPr="00A23499" w:rsidP="00A23499">
            <w:pPr>
              <w:pStyle w:val="ListBullet"/>
            </w:pPr>
            <w:r w:rsidRPr="00A23499">
              <w:t>undercoats and intermediate coats</w:t>
            </w:r>
          </w:p>
          <w:p w:rsidR="00000000" w:rsidP="00A23499">
            <w:pPr>
              <w:pStyle w:val="ListBullet"/>
              <w:rPr>
                <w:lang w:val="en-NZ"/>
              </w:rPr>
            </w:pPr>
            <w:r w:rsidRPr="00A23499">
              <w:t>finish coats.</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Paint applications</w:t>
            </w:r>
            <w:r w:rsidRPr="00A23499">
              <w:t xml:space="preserve">: </w:t>
            </w:r>
          </w:p>
        </w:tc>
        <w:tc>
          <w:tcPr>
            <w:tcW w:w="5033" w:type="dxa"/>
            <w:tcBorders>
              <w:top w:val="nil"/>
              <w:left w:val="nil"/>
              <w:bottom w:val="nil"/>
              <w:right w:val="nil"/>
            </w:tcBorders>
            <w:tcMar>
              <w:top w:w="0" w:type="dxa"/>
              <w:left w:w="62" w:type="dxa"/>
              <w:bottom w:w="0" w:type="dxa"/>
              <w:right w:w="62" w:type="dxa"/>
            </w:tcMar>
          </w:tcPr>
          <w:p w:rsidR="00000000" w:rsidP="00A23499">
            <w:pPr>
              <w:pStyle w:val="ListBullet"/>
              <w:rPr>
                <w:lang w:val="en-NZ"/>
              </w:rPr>
            </w:pPr>
            <w:r w:rsidRPr="00A23499">
              <w:t>are to be in accordance with Australian standards unless this is replaced by other authorised job specifications.</w:t>
            </w:r>
          </w:p>
        </w:tc>
      </w:tr>
      <w:tr w:rsidTr="00644E9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BoldandItalics"/>
              </w:rPr>
              <w:t>Tests</w:t>
            </w:r>
            <w:r w:rsidRPr="00A2349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23499" w:rsidP="00A23499">
            <w:pPr>
              <w:pStyle w:val="ListBullet"/>
            </w:pPr>
            <w:r w:rsidRPr="00A23499">
              <w:t>wet film thickness test.</w:t>
            </w:r>
          </w:p>
        </w:tc>
      </w:tr>
    </w:tbl>
    <w:p w:rsidR="00644E90" w:rsidP="00A23499">
      <w:pPr>
        <w:pStyle w:val="BodyText"/>
      </w:pPr>
    </w:p>
    <w:p w:rsidR="00644E90" w:rsidP="00A23499">
      <w:pPr>
        <w:pStyle w:val="BodyText"/>
      </w:pPr>
    </w:p>
    <w:p w:rsidR="00000000" w:rsidRPr="00A23499" w:rsidP="00A23499">
      <w:pPr>
        <w:pStyle w:val="Heading1"/>
      </w:pPr>
      <w:bookmarkStart w:id="12" w:name="O_198253"/>
      <w:bookmarkEnd w:id="12"/>
      <w:r w:rsidRPr="00A23499">
        <w:t>Unit Sector(s)</w:t>
      </w:r>
    </w:p>
    <w:tbl>
      <w:tblPr>
        <w:tblW w:w="0" w:type="auto"/>
        <w:tblLayout w:type="fixed"/>
        <w:tblCellMar>
          <w:left w:w="62" w:type="dxa"/>
          <w:right w:w="62" w:type="dxa"/>
        </w:tblCellMar>
        <w:tblLook w:val="0000"/>
      </w:tblPr>
      <w:tblGrid>
        <w:gridCol w:w="2605"/>
        <w:gridCol w:w="5917"/>
      </w:tblGrid>
      <w:tr w:rsidTr="00644E90">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A23499" w:rsidP="00A23499">
            <w:pPr>
              <w:pStyle w:val="BodyText"/>
            </w:pPr>
            <w:r w:rsidRPr="00A23499">
              <w:t>Construction</w:t>
            </w:r>
          </w:p>
        </w:tc>
      </w:tr>
    </w:tbl>
    <w:p w:rsidR="00644E90" w:rsidP="00A23499">
      <w:pPr>
        <w:pStyle w:val="BodyText"/>
      </w:pPr>
    </w:p>
    <w:p w:rsidR="00644E90" w:rsidP="00A23499">
      <w:pPr>
        <w:pStyle w:val="BodyText"/>
      </w:pPr>
    </w:p>
    <w:p w:rsidR="00000000" w:rsidRPr="00A23499" w:rsidP="00A23499">
      <w:pPr>
        <w:pStyle w:val="Heading1"/>
      </w:pPr>
      <w:bookmarkStart w:id="13" w:name="O_198252"/>
      <w:bookmarkEnd w:id="13"/>
      <w:r w:rsidRPr="00A23499">
        <w:t>Functional area</w:t>
      </w:r>
    </w:p>
    <w:tbl>
      <w:tblPr>
        <w:tblW w:w="0" w:type="auto"/>
        <w:tblLayout w:type="fixed"/>
        <w:tblCellMar>
          <w:left w:w="62" w:type="dxa"/>
          <w:right w:w="62" w:type="dxa"/>
        </w:tblCellMar>
        <w:tblLook w:val="0000"/>
      </w:tblPr>
      <w:tblGrid>
        <w:gridCol w:w="2699"/>
        <w:gridCol w:w="5823"/>
      </w:tblGrid>
      <w:tr w:rsidTr="00644E90">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A23499">
            <w:pPr>
              <w:pStyle w:val="BodyText"/>
              <w:rPr>
                <w:lang w:val="en-NZ"/>
              </w:rPr>
            </w:pPr>
            <w:r w:rsidRPr="00A23499">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A23499" w:rsidP="00A23499">
            <w:pPr>
              <w:pStyle w:val="BodyText"/>
            </w:pPr>
          </w:p>
        </w:tc>
      </w:tr>
    </w:tbl>
    <w:p w:rsidR="00644E90" w:rsidP="00A23499">
      <w:pPr>
        <w:pStyle w:val="BodyText"/>
      </w:pPr>
    </w:p>
    <w:p w:rsidR="00644E90" w:rsidP="00A23499">
      <w:pPr>
        <w:pStyle w:val="BodyText"/>
      </w:pPr>
    </w:p>
    <w:p w:rsidR="00000000" w:rsidRPr="00A23499" w:rsidP="00A23499"/>
    <w:sectPr w:rsidSect="00A234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E90" w:rsidP="00644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0" w:rsidP="00A23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44E90" w:rsidP="00A234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44E90" w:rsidP="00A234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E90" w:rsidP="00644E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0" w:rsidP="00A23499">
    <w:pPr>
      <w:pStyle w:val="Header"/>
      <w:framePr w:wrap="around"/>
    </w:pPr>
    <w:r>
      <w:fldChar w:fldCharType="begin"/>
    </w:r>
    <w:r>
      <w:instrText xml:space="preserve"> TITLE   \* MERGEFORMAT </w:instrText>
    </w:r>
    <w:r>
      <w:fldChar w:fldCharType="separate"/>
    </w:r>
    <w:r>
      <w:t>CPCCPD3022A Apply paint by brush and roller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4E90" w:rsidP="00A234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CF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E7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29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4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3499"/>
    <w:pPr>
      <w:spacing w:before="360" w:after="60"/>
      <w:outlineLvl w:val="0"/>
    </w:pPr>
    <w:rPr>
      <w:sz w:val="32"/>
    </w:rPr>
  </w:style>
  <w:style w:type="paragraph" w:styleId="Heading2">
    <w:name w:val="heading 2"/>
    <w:basedOn w:val="HeadingBase"/>
    <w:next w:val="BodyText"/>
    <w:link w:val="Heading2Char"/>
    <w:qFormat/>
    <w:rsid w:val="00A23499"/>
    <w:pPr>
      <w:keepLines/>
      <w:spacing w:before="240" w:after="120"/>
      <w:outlineLvl w:val="1"/>
    </w:pPr>
    <w:rPr>
      <w:sz w:val="28"/>
      <w:szCs w:val="40"/>
    </w:rPr>
  </w:style>
  <w:style w:type="paragraph" w:styleId="Heading3">
    <w:name w:val="heading 3"/>
    <w:basedOn w:val="HeadingBase"/>
    <w:next w:val="BodyText"/>
    <w:link w:val="Heading3Char"/>
    <w:qFormat/>
    <w:rsid w:val="00A23499"/>
    <w:pPr>
      <w:spacing w:before="180" w:after="120"/>
      <w:outlineLvl w:val="2"/>
    </w:pPr>
    <w:rPr>
      <w:spacing w:val="-10"/>
      <w:kern w:val="32"/>
    </w:rPr>
  </w:style>
  <w:style w:type="paragraph" w:styleId="Heading4">
    <w:name w:val="heading 4"/>
    <w:basedOn w:val="HeadingBase"/>
    <w:next w:val="BodyText"/>
    <w:link w:val="Heading4Char"/>
    <w:qFormat/>
    <w:rsid w:val="00A23499"/>
    <w:pPr>
      <w:spacing w:before="160" w:after="120"/>
      <w:outlineLvl w:val="3"/>
    </w:pPr>
    <w:rPr>
      <w:sz w:val="22"/>
    </w:rPr>
  </w:style>
  <w:style w:type="paragraph" w:styleId="Heading5">
    <w:name w:val="heading 5"/>
    <w:basedOn w:val="HeadingBase"/>
    <w:next w:val="Normal"/>
    <w:link w:val="Heading5Char"/>
    <w:qFormat/>
    <w:rsid w:val="00A23499"/>
    <w:pPr>
      <w:spacing w:before="80"/>
      <w:outlineLvl w:val="4"/>
    </w:pPr>
    <w:rPr>
      <w:color w:val="918585"/>
      <w:sz w:val="20"/>
    </w:rPr>
  </w:style>
  <w:style w:type="paragraph" w:styleId="Heading6">
    <w:name w:val="heading 6"/>
    <w:basedOn w:val="HeadingBase"/>
    <w:next w:val="Normal"/>
    <w:link w:val="Heading6Char"/>
    <w:qFormat/>
    <w:rsid w:val="00A23499"/>
    <w:pPr>
      <w:spacing w:before="60"/>
      <w:outlineLvl w:val="5"/>
    </w:pPr>
    <w:rPr>
      <w:color w:val="918585"/>
      <w:sz w:val="20"/>
    </w:rPr>
  </w:style>
  <w:style w:type="paragraph" w:styleId="Heading7">
    <w:name w:val="heading 7"/>
    <w:basedOn w:val="Normal"/>
    <w:next w:val="Normal"/>
    <w:link w:val="Heading7Char"/>
    <w:qFormat/>
    <w:rsid w:val="00A23499"/>
    <w:pPr>
      <w:ind w:left="720"/>
      <w:outlineLvl w:val="6"/>
    </w:pPr>
    <w:rPr>
      <w:i/>
    </w:rPr>
  </w:style>
  <w:style w:type="paragraph" w:styleId="Heading8">
    <w:name w:val="heading 8"/>
    <w:basedOn w:val="Normal"/>
    <w:next w:val="Normal"/>
    <w:link w:val="Heading8Char"/>
    <w:qFormat/>
    <w:rsid w:val="00A23499"/>
    <w:pPr>
      <w:ind w:left="720"/>
      <w:outlineLvl w:val="7"/>
    </w:pPr>
    <w:rPr>
      <w:i/>
    </w:rPr>
  </w:style>
  <w:style w:type="paragraph" w:styleId="Heading9">
    <w:name w:val="heading 9"/>
    <w:basedOn w:val="Normal"/>
    <w:next w:val="Normal"/>
    <w:link w:val="Heading9Char"/>
    <w:qFormat/>
    <w:rsid w:val="00A23499"/>
    <w:pPr>
      <w:ind w:left="720"/>
      <w:outlineLvl w:val="8"/>
    </w:pPr>
    <w:rPr>
      <w:i/>
    </w:rPr>
  </w:style>
  <w:style w:type="character" w:default="1" w:styleId="DefaultParagraphFont">
    <w:name w:val="Default Paragraph Font"/>
    <w:uiPriority w:val="1"/>
    <w:unhideWhenUsed/>
    <w:rsid w:val="00A23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499"/>
  </w:style>
  <w:style w:type="character" w:customStyle="1" w:styleId="Heading1Char">
    <w:name w:val="Heading 1 Char"/>
    <w:link w:val="Heading1"/>
    <w:rsid w:val="00A23499"/>
    <w:rPr>
      <w:rFonts w:ascii="Times New Roman" w:eastAsia="Times New Roman" w:hAnsi="Times New Roman" w:cs="Times New Roman"/>
      <w:b/>
      <w:sz w:val="32"/>
      <w:szCs w:val="20"/>
      <w:lang w:eastAsia="en-US"/>
    </w:rPr>
  </w:style>
  <w:style w:type="paragraph" w:styleId="BodyText">
    <w:name w:val="Body Text"/>
    <w:basedOn w:val="Normal"/>
    <w:link w:val="BodyTextChar"/>
    <w:rsid w:val="00A23499"/>
    <w:pPr>
      <w:spacing w:before="120" w:after="120"/>
      <w:contextualSpacing/>
    </w:pPr>
    <w:rPr>
      <w:rFonts w:ascii="Times New Roman" w:hAnsi="Times New Roman"/>
      <w:sz w:val="24"/>
      <w:szCs w:val="22"/>
    </w:rPr>
  </w:style>
  <w:style w:type="character" w:customStyle="1" w:styleId="BodyTextChar">
    <w:name w:val="Body Text Char"/>
    <w:link w:val="BodyText"/>
    <w:rsid w:val="00A23499"/>
    <w:rPr>
      <w:rFonts w:ascii="Times New Roman" w:eastAsia="Times New Roman" w:hAnsi="Times New Roman" w:cs="Times New Roman"/>
      <w:sz w:val="24"/>
      <w:lang w:val="en-US" w:eastAsia="en-US"/>
    </w:rPr>
  </w:style>
  <w:style w:type="paragraph" w:styleId="Footer">
    <w:name w:val="footer"/>
    <w:basedOn w:val="Normal"/>
    <w:link w:val="FooterChar"/>
    <w:rsid w:val="00A23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3499"/>
    <w:rPr>
      <w:rFonts w:ascii="Times New Roman" w:eastAsia="Times New Roman" w:hAnsi="Times New Roman" w:cs="Times New Roman"/>
      <w:sz w:val="16"/>
      <w:lang w:val="en-US" w:eastAsia="en-US"/>
    </w:rPr>
  </w:style>
  <w:style w:type="paragraph" w:styleId="List">
    <w:name w:val="List"/>
    <w:basedOn w:val="BodyText"/>
    <w:next w:val="BodyText"/>
    <w:rsid w:val="00A23499"/>
    <w:pPr>
      <w:tabs>
        <w:tab w:val="left" w:pos="340"/>
      </w:tabs>
      <w:spacing w:before="60" w:after="60"/>
      <w:ind w:left="340" w:hanging="340"/>
    </w:pPr>
  </w:style>
  <w:style w:type="paragraph" w:styleId="ListBullet">
    <w:name w:val="List Bullet"/>
    <w:basedOn w:val="List"/>
    <w:rsid w:val="00A23499"/>
    <w:pPr>
      <w:numPr>
        <w:numId w:val="14"/>
      </w:numPr>
      <w:tabs>
        <w:tab w:val="clear" w:pos="340"/>
      </w:tabs>
      <w:spacing w:before="40" w:after="40"/>
    </w:pPr>
  </w:style>
  <w:style w:type="character" w:customStyle="1" w:styleId="SpecialBold">
    <w:name w:val="Special Bold"/>
    <w:rsid w:val="00A23499"/>
    <w:rPr>
      <w:b/>
      <w:spacing w:val="0"/>
    </w:rPr>
  </w:style>
  <w:style w:type="paragraph" w:styleId="ListBullet2">
    <w:name w:val="List Bullet 2"/>
    <w:basedOn w:val="List2"/>
    <w:rsid w:val="00A23499"/>
    <w:pPr>
      <w:numPr>
        <w:numId w:val="15"/>
      </w:numPr>
      <w:tabs>
        <w:tab w:val="clear" w:pos="680"/>
      </w:tabs>
    </w:pPr>
  </w:style>
  <w:style w:type="paragraph" w:styleId="Header">
    <w:name w:val="header"/>
    <w:basedOn w:val="Normal"/>
    <w:link w:val="HeaderChar"/>
    <w:rsid w:val="00A23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34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3499"/>
    <w:pPr>
      <w:spacing w:before="240" w:after="120"/>
      <w:outlineLvl w:val="0"/>
    </w:pPr>
    <w:rPr>
      <w:rFonts w:ascii="Times New Roman" w:hAnsi="Times New Roman"/>
      <w:b/>
      <w:sz w:val="28"/>
    </w:rPr>
  </w:style>
  <w:style w:type="paragraph" w:customStyle="1" w:styleId="AllowPageBreak">
    <w:name w:val="AllowPageBreak"/>
    <w:rsid w:val="00A234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3499"/>
    <w:pPr>
      <w:tabs>
        <w:tab w:val="left" w:pos="680"/>
      </w:tabs>
      <w:spacing w:before="60" w:after="60"/>
      <w:ind w:left="680" w:hanging="340"/>
    </w:pPr>
  </w:style>
  <w:style w:type="paragraph" w:styleId="ListBullet3">
    <w:name w:val="List Bullet 3"/>
    <w:basedOn w:val="List3"/>
    <w:rsid w:val="00A23499"/>
    <w:pPr>
      <w:numPr>
        <w:numId w:val="3"/>
      </w:numPr>
      <w:tabs>
        <w:tab w:val="clear" w:pos="1021"/>
      </w:tabs>
      <w:ind w:left="1037" w:hanging="357"/>
    </w:pPr>
  </w:style>
  <w:style w:type="character" w:customStyle="1" w:styleId="BoldandItalics">
    <w:name w:val="Bold and Italics"/>
    <w:qFormat/>
    <w:rsid w:val="00A23499"/>
    <w:rPr>
      <w:b/>
      <w:i/>
      <w:u w:val="none"/>
    </w:rPr>
  </w:style>
  <w:style w:type="character" w:customStyle="1" w:styleId="Heading2Char">
    <w:name w:val="Heading 2 Char"/>
    <w:link w:val="Heading2"/>
    <w:rsid w:val="00A23499"/>
    <w:rPr>
      <w:rFonts w:ascii="Times New Roman" w:eastAsia="Times New Roman" w:hAnsi="Times New Roman" w:cs="Times New Roman"/>
      <w:b/>
      <w:sz w:val="28"/>
      <w:szCs w:val="40"/>
      <w:lang w:eastAsia="en-US"/>
    </w:rPr>
  </w:style>
  <w:style w:type="character" w:customStyle="1" w:styleId="Heading3Char">
    <w:name w:val="Heading 3 Char"/>
    <w:link w:val="Heading3"/>
    <w:rsid w:val="00A234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3499"/>
    <w:rPr>
      <w:rFonts w:ascii="Times New Roman" w:eastAsia="Times New Roman" w:hAnsi="Times New Roman" w:cs="Times New Roman"/>
      <w:b/>
      <w:szCs w:val="20"/>
      <w:lang w:eastAsia="en-US"/>
    </w:rPr>
  </w:style>
  <w:style w:type="character" w:customStyle="1" w:styleId="Heading5Char">
    <w:name w:val="Heading 5 Char"/>
    <w:link w:val="Heading5"/>
    <w:rsid w:val="00A234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3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4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34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3499"/>
    <w:rPr>
      <w:rFonts w:ascii="Courier New" w:eastAsia="Times New Roman" w:hAnsi="Courier New" w:cs="Times New Roman"/>
      <w:i/>
      <w:szCs w:val="20"/>
      <w:lang w:val="en-US" w:eastAsia="en-US"/>
    </w:rPr>
  </w:style>
  <w:style w:type="paragraph" w:customStyle="1" w:styleId="HeadingBase">
    <w:name w:val="Heading Base"/>
    <w:rsid w:val="00A23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499"/>
    <w:pPr>
      <w:tabs>
        <w:tab w:val="right" w:leader="dot" w:pos="9072"/>
      </w:tabs>
      <w:ind w:left="567"/>
    </w:pPr>
    <w:rPr>
      <w:szCs w:val="22"/>
    </w:rPr>
  </w:style>
  <w:style w:type="paragraph" w:customStyle="1" w:styleId="TOCBase">
    <w:name w:val="TOC Base"/>
    <w:rsid w:val="00A23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499"/>
    <w:pPr>
      <w:tabs>
        <w:tab w:val="right" w:leader="dot" w:pos="9072"/>
      </w:tabs>
      <w:spacing w:before="40" w:after="40"/>
      <w:ind w:left="284"/>
    </w:pPr>
    <w:rPr>
      <w:rFonts w:ascii="Times New Roman" w:hAnsi="Times New Roman"/>
    </w:rPr>
  </w:style>
  <w:style w:type="paragraph" w:styleId="TOC1">
    <w:name w:val="toc 1"/>
    <w:basedOn w:val="TOCBase"/>
    <w:next w:val="Normal"/>
    <w:rsid w:val="00A234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499"/>
    <w:pPr>
      <w:spacing w:before="5040"/>
      <w:jc w:val="center"/>
    </w:pPr>
    <w:rPr>
      <w:sz w:val="48"/>
      <w:szCs w:val="72"/>
      <w:lang w:val="en-US"/>
    </w:rPr>
  </w:style>
  <w:style w:type="character" w:customStyle="1" w:styleId="TitleChar">
    <w:name w:val="Title Char"/>
    <w:link w:val="Title"/>
    <w:rsid w:val="00A23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499"/>
    <w:pPr>
      <w:tabs>
        <w:tab w:val="left" w:pos="3600"/>
        <w:tab w:val="left" w:pos="3958"/>
      </w:tabs>
    </w:pPr>
  </w:style>
  <w:style w:type="paragraph" w:customStyle="1" w:styleId="Note">
    <w:name w:val="Note"/>
    <w:basedOn w:val="BodyText"/>
    <w:rsid w:val="00A23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499"/>
    <w:pPr>
      <w:framePr w:wrap="auto" w:hAnchor="text" w:y="6049"/>
    </w:pPr>
    <w:rPr>
      <w:color w:val="000000"/>
      <w:sz w:val="40"/>
    </w:rPr>
  </w:style>
  <w:style w:type="paragraph" w:customStyle="1" w:styleId="TOCTitle">
    <w:name w:val="TOCTitle"/>
    <w:basedOn w:val="Heading1"/>
    <w:rsid w:val="00A23499"/>
    <w:pPr>
      <w:spacing w:after="240"/>
      <w:jc w:val="center"/>
      <w:outlineLvl w:val="9"/>
    </w:pPr>
    <w:rPr>
      <w:caps/>
    </w:rPr>
  </w:style>
  <w:style w:type="paragraph" w:customStyle="1" w:styleId="Version">
    <w:name w:val="Version"/>
    <w:rsid w:val="00A23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499"/>
    <w:pPr>
      <w:keepNext w:val="0"/>
      <w:tabs>
        <w:tab w:val="right" w:pos="4176"/>
      </w:tabs>
      <w:ind w:left="198" w:hanging="198"/>
    </w:pPr>
    <w:rPr>
      <w:rFonts w:ascii="Garamond" w:hAnsi="Garamond"/>
    </w:rPr>
  </w:style>
  <w:style w:type="paragraph" w:styleId="IndexHeading">
    <w:name w:val="index heading"/>
    <w:basedOn w:val="Normal"/>
    <w:next w:val="Index1"/>
    <w:semiHidden/>
    <w:rsid w:val="00A23499"/>
    <w:pPr>
      <w:spacing w:before="120" w:after="120"/>
    </w:pPr>
    <w:rPr>
      <w:rFonts w:ascii="Arial" w:hAnsi="Arial"/>
      <w:b/>
      <w:color w:val="918585"/>
      <w:sz w:val="24"/>
    </w:rPr>
  </w:style>
  <w:style w:type="paragraph" w:customStyle="1" w:styleId="Chapter">
    <w:name w:val="Chapter"/>
    <w:basedOn w:val="Normal"/>
    <w:rsid w:val="00A23499"/>
    <w:pPr>
      <w:spacing w:before="240"/>
    </w:pPr>
    <w:rPr>
      <w:rFonts w:ascii="Times New Roman" w:hAnsi="Times New Roman"/>
      <w:smallCaps/>
      <w:spacing w:val="80"/>
      <w:sz w:val="28"/>
    </w:rPr>
  </w:style>
  <w:style w:type="paragraph" w:customStyle="1" w:styleId="InChapter">
    <w:name w:val="InChapter"/>
    <w:basedOn w:val="Heading3"/>
    <w:rsid w:val="00A23499"/>
    <w:pPr>
      <w:spacing w:after="240"/>
      <w:outlineLvl w:val="9"/>
    </w:pPr>
    <w:rPr>
      <w:noProof/>
    </w:rPr>
  </w:style>
  <w:style w:type="paragraph" w:styleId="Index2">
    <w:name w:val="index 2"/>
    <w:basedOn w:val="Normal"/>
    <w:next w:val="Normal"/>
    <w:semiHidden/>
    <w:rsid w:val="00A23499"/>
    <w:pPr>
      <w:tabs>
        <w:tab w:val="right" w:pos="4176"/>
      </w:tabs>
      <w:ind w:left="568" w:hanging="284"/>
    </w:pPr>
    <w:rPr>
      <w:rFonts w:ascii="Garamond" w:hAnsi="Garamond"/>
    </w:rPr>
  </w:style>
  <w:style w:type="paragraph" w:customStyle="1" w:styleId="Byline">
    <w:name w:val="Byline"/>
    <w:rsid w:val="00A23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499"/>
    <w:pPr>
      <w:tabs>
        <w:tab w:val="clear" w:pos="3600"/>
        <w:tab w:val="clear" w:pos="3958"/>
      </w:tabs>
      <w:jc w:val="right"/>
    </w:pPr>
  </w:style>
  <w:style w:type="character" w:styleId="Emphasis">
    <w:name w:val="Emphasis"/>
    <w:qFormat/>
    <w:rsid w:val="00A23499"/>
    <w:rPr>
      <w:i/>
    </w:rPr>
  </w:style>
  <w:style w:type="paragraph" w:styleId="Caption">
    <w:name w:val="caption"/>
    <w:basedOn w:val="BodyText"/>
    <w:next w:val="Normal"/>
    <w:qFormat/>
    <w:rsid w:val="00A23499"/>
    <w:pPr>
      <w:framePr w:w="2268" w:hSpace="181" w:vSpace="181" w:wrap="around" w:vAnchor="text" w:hAnchor="page" w:x="1135" w:y="285" w:anchorLock="1"/>
    </w:pPr>
    <w:rPr>
      <w:i/>
    </w:rPr>
  </w:style>
  <w:style w:type="paragraph" w:customStyle="1" w:styleId="MiniTOCTitle">
    <w:name w:val="MiniTOCTitle"/>
    <w:basedOn w:val="Heading4"/>
    <w:rsid w:val="00A23499"/>
    <w:pPr>
      <w:spacing w:before="240"/>
      <w:outlineLvl w:val="9"/>
    </w:pPr>
    <w:rPr>
      <w:noProof/>
      <w:sz w:val="24"/>
    </w:rPr>
  </w:style>
  <w:style w:type="paragraph" w:customStyle="1" w:styleId="MiniTOCItem">
    <w:name w:val="MiniTOCItem"/>
    <w:basedOn w:val="ListBullet"/>
    <w:rsid w:val="00A23499"/>
    <w:pPr>
      <w:numPr>
        <w:numId w:val="0"/>
      </w:numPr>
      <w:tabs>
        <w:tab w:val="right" w:leader="dot" w:pos="6521"/>
      </w:tabs>
      <w:spacing w:before="0" w:after="0"/>
    </w:pPr>
  </w:style>
  <w:style w:type="paragraph" w:customStyle="1" w:styleId="TOFTitle">
    <w:name w:val="TOFTitle"/>
    <w:basedOn w:val="TOCTitle"/>
    <w:rsid w:val="00A23499"/>
  </w:style>
  <w:style w:type="paragraph" w:styleId="TableofFigures">
    <w:name w:val="table of figures"/>
    <w:basedOn w:val="Normal"/>
    <w:next w:val="Normal"/>
    <w:semiHidden/>
    <w:rsid w:val="00A23499"/>
    <w:pPr>
      <w:tabs>
        <w:tab w:val="right" w:leader="dot" w:pos="9072"/>
      </w:tabs>
      <w:ind w:left="970" w:hanging="403"/>
    </w:pPr>
    <w:rPr>
      <w:rFonts w:ascii="Times New Roman" w:hAnsi="Times New Roman"/>
      <w:b/>
    </w:rPr>
  </w:style>
  <w:style w:type="paragraph" w:styleId="ListNumber">
    <w:name w:val="List Number"/>
    <w:basedOn w:val="List"/>
    <w:rsid w:val="00A23499"/>
    <w:pPr>
      <w:numPr>
        <w:numId w:val="12"/>
      </w:numPr>
    </w:pPr>
  </w:style>
  <w:style w:type="character" w:customStyle="1" w:styleId="WingdingSymbols">
    <w:name w:val="Wingding Symbols"/>
    <w:rsid w:val="00A23499"/>
    <w:rPr>
      <w:rFonts w:ascii="Wingdings" w:hAnsi="Wingdings"/>
    </w:rPr>
  </w:style>
  <w:style w:type="paragraph" w:customStyle="1" w:styleId="TableHeading">
    <w:name w:val="Table Heading"/>
    <w:basedOn w:val="HeadingBase"/>
    <w:rsid w:val="00A23499"/>
    <w:pPr>
      <w:keepLines/>
      <w:pBdr>
        <w:bottom w:val="single" w:sz="6" w:space="1" w:color="918585"/>
      </w:pBdr>
      <w:spacing w:before="240"/>
    </w:pPr>
  </w:style>
  <w:style w:type="character" w:customStyle="1" w:styleId="HotSpot">
    <w:name w:val="HotSpot"/>
    <w:rsid w:val="00A23499"/>
    <w:rPr>
      <w:color w:val="0033CC"/>
      <w:u w:val="none"/>
    </w:rPr>
  </w:style>
  <w:style w:type="paragraph" w:customStyle="1" w:styleId="BodyTextRight">
    <w:name w:val="Body Text Right"/>
    <w:basedOn w:val="BodyText"/>
    <w:rsid w:val="00A23499"/>
    <w:pPr>
      <w:spacing w:before="0" w:after="0"/>
      <w:jc w:val="right"/>
    </w:pPr>
  </w:style>
  <w:style w:type="paragraph" w:styleId="Index3">
    <w:name w:val="index 3"/>
    <w:basedOn w:val="ListNumber2"/>
    <w:next w:val="Normal"/>
    <w:semiHidden/>
    <w:rsid w:val="00A23499"/>
    <w:pPr>
      <w:numPr>
        <w:numId w:val="0"/>
      </w:numPr>
      <w:tabs>
        <w:tab w:val="right" w:leader="dot" w:pos="4176"/>
      </w:tabs>
    </w:pPr>
  </w:style>
  <w:style w:type="paragraph" w:styleId="ListNumber2">
    <w:name w:val="List Number 2"/>
    <w:basedOn w:val="List2"/>
    <w:rsid w:val="00A23499"/>
    <w:pPr>
      <w:numPr>
        <w:numId w:val="11"/>
      </w:numPr>
      <w:tabs>
        <w:tab w:val="clear" w:pos="1060"/>
      </w:tabs>
    </w:pPr>
  </w:style>
  <w:style w:type="paragraph" w:customStyle="1" w:styleId="MarginNote">
    <w:name w:val="Margin Note"/>
    <w:basedOn w:val="BodyText"/>
    <w:rsid w:val="00A23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34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3499"/>
    <w:rPr>
      <w:sz w:val="32"/>
    </w:rPr>
  </w:style>
  <w:style w:type="paragraph" w:customStyle="1" w:styleId="HeadingProcedure">
    <w:name w:val="Heading Procedure"/>
    <w:basedOn w:val="HeadingBase"/>
    <w:next w:val="Normal"/>
    <w:rsid w:val="00A23499"/>
    <w:pPr>
      <w:tabs>
        <w:tab w:val="left" w:pos="0"/>
      </w:tabs>
      <w:spacing w:before="120" w:after="60"/>
    </w:pPr>
    <w:rPr>
      <w:i/>
      <w:color w:val="918585"/>
      <w:sz w:val="22"/>
    </w:rPr>
  </w:style>
  <w:style w:type="paragraph" w:customStyle="1" w:styleId="TableBodyText">
    <w:name w:val="Table Body Text"/>
    <w:basedOn w:val="BodyText"/>
    <w:rsid w:val="00A23499"/>
    <w:pPr>
      <w:spacing w:before="60" w:after="60"/>
    </w:pPr>
  </w:style>
  <w:style w:type="paragraph" w:styleId="ListContinue">
    <w:name w:val="List Continue"/>
    <w:basedOn w:val="List"/>
    <w:rsid w:val="00A23499"/>
    <w:pPr>
      <w:ind w:firstLine="0"/>
    </w:pPr>
  </w:style>
  <w:style w:type="paragraph" w:customStyle="1" w:styleId="ListNote">
    <w:name w:val="List Note"/>
    <w:basedOn w:val="List"/>
    <w:rsid w:val="00A23499"/>
    <w:pPr>
      <w:pBdr>
        <w:top w:val="single" w:sz="6" w:space="2" w:color="918585"/>
        <w:bottom w:val="single" w:sz="6" w:space="2" w:color="918585"/>
      </w:pBdr>
      <w:tabs>
        <w:tab w:val="left" w:pos="1021"/>
      </w:tabs>
      <w:ind w:firstLine="0"/>
    </w:pPr>
  </w:style>
  <w:style w:type="paragraph" w:customStyle="1" w:styleId="Warning">
    <w:name w:val="Warning"/>
    <w:basedOn w:val="BodyText"/>
    <w:rsid w:val="00A23499"/>
    <w:pPr>
      <w:shd w:val="clear" w:color="auto" w:fill="D9D9D9"/>
      <w:tabs>
        <w:tab w:val="left" w:pos="992"/>
      </w:tabs>
      <w:ind w:left="119" w:right="119"/>
    </w:pPr>
    <w:rPr>
      <w:sz w:val="20"/>
    </w:rPr>
  </w:style>
  <w:style w:type="paragraph" w:customStyle="1" w:styleId="MarginIcons">
    <w:name w:val="Margin Icons"/>
    <w:basedOn w:val="BodyText"/>
    <w:rsid w:val="00A234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3499"/>
    <w:rPr>
      <w:rFonts w:ascii="Courier New" w:hAnsi="Courier New"/>
    </w:rPr>
  </w:style>
  <w:style w:type="paragraph" w:customStyle="1" w:styleId="NoteBullet">
    <w:name w:val="Note Bullet"/>
    <w:basedOn w:val="Note"/>
    <w:rsid w:val="00A23499"/>
    <w:pPr>
      <w:tabs>
        <w:tab w:val="clear" w:pos="680"/>
      </w:tabs>
      <w:spacing w:before="60" w:after="60"/>
    </w:pPr>
  </w:style>
  <w:style w:type="paragraph" w:customStyle="1" w:styleId="SubHeading2">
    <w:name w:val="SubHeading2"/>
    <w:basedOn w:val="HeadingBase"/>
    <w:rsid w:val="00A23499"/>
    <w:pPr>
      <w:spacing w:before="240" w:after="60"/>
    </w:pPr>
    <w:rPr>
      <w:sz w:val="20"/>
    </w:rPr>
  </w:style>
  <w:style w:type="paragraph" w:customStyle="1" w:styleId="SubHeading1">
    <w:name w:val="SubHeading1"/>
    <w:basedOn w:val="HeadingBase"/>
    <w:rsid w:val="00A23499"/>
    <w:pPr>
      <w:spacing w:before="240" w:after="60"/>
    </w:pPr>
    <w:rPr>
      <w:color w:val="918585"/>
      <w:sz w:val="22"/>
    </w:rPr>
  </w:style>
  <w:style w:type="paragraph" w:customStyle="1" w:styleId="SideHeading">
    <w:name w:val="Side Heading"/>
    <w:basedOn w:val="HeadingBase"/>
    <w:rsid w:val="00A23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499"/>
    <w:pPr>
      <w:numPr>
        <w:numId w:val="13"/>
      </w:numPr>
    </w:pPr>
  </w:style>
  <w:style w:type="paragraph" w:styleId="PlainText">
    <w:name w:val="Plain Text"/>
    <w:basedOn w:val="Normal"/>
    <w:link w:val="PlainTextChar"/>
    <w:rsid w:val="00A23499"/>
    <w:rPr>
      <w:sz w:val="20"/>
    </w:rPr>
  </w:style>
  <w:style w:type="character" w:customStyle="1" w:styleId="PlainTextChar">
    <w:name w:val="Plain Text Char"/>
    <w:basedOn w:val="DefaultParagraphFont"/>
    <w:link w:val="PlainText"/>
    <w:rsid w:val="00A23499"/>
    <w:rPr>
      <w:rFonts w:ascii="Courier New" w:eastAsia="Times New Roman" w:hAnsi="Courier New" w:cs="Times New Roman"/>
      <w:sz w:val="20"/>
      <w:szCs w:val="20"/>
      <w:lang w:val="en-US" w:eastAsia="en-US"/>
    </w:rPr>
  </w:style>
  <w:style w:type="character" w:customStyle="1" w:styleId="MenuOption">
    <w:name w:val="Menu Option"/>
    <w:rsid w:val="00A23499"/>
    <w:rPr>
      <w:b/>
      <w:smallCaps/>
    </w:rPr>
  </w:style>
  <w:style w:type="paragraph" w:customStyle="1" w:styleId="TableListNumber">
    <w:name w:val="Table List Number"/>
    <w:basedOn w:val="ListNumber"/>
    <w:rsid w:val="00A23499"/>
    <w:pPr>
      <w:numPr>
        <w:numId w:val="0"/>
      </w:numPr>
    </w:pPr>
  </w:style>
  <w:style w:type="paragraph" w:styleId="TOC4">
    <w:name w:val="toc 4"/>
    <w:basedOn w:val="TOCBase"/>
    <w:next w:val="Normal"/>
    <w:semiHidden/>
    <w:rsid w:val="00A23499"/>
    <w:pPr>
      <w:tabs>
        <w:tab w:val="right" w:leader="dot" w:pos="9071"/>
      </w:tabs>
      <w:ind w:left="1701"/>
    </w:pPr>
  </w:style>
  <w:style w:type="paragraph" w:customStyle="1" w:styleId="ListAlpha">
    <w:name w:val="List Alpha"/>
    <w:basedOn w:val="List"/>
    <w:rsid w:val="00A23499"/>
    <w:pPr>
      <w:numPr>
        <w:numId w:val="10"/>
      </w:numPr>
    </w:pPr>
  </w:style>
  <w:style w:type="paragraph" w:customStyle="1" w:styleId="ListAlpha2">
    <w:name w:val="List Alpha 2"/>
    <w:basedOn w:val="List2"/>
    <w:rsid w:val="00A23499"/>
    <w:pPr>
      <w:numPr>
        <w:numId w:val="9"/>
      </w:numPr>
    </w:pPr>
  </w:style>
  <w:style w:type="paragraph" w:styleId="List3">
    <w:name w:val="List 3"/>
    <w:basedOn w:val="BodyText"/>
    <w:rsid w:val="00A23499"/>
    <w:pPr>
      <w:tabs>
        <w:tab w:val="left" w:pos="1021"/>
      </w:tabs>
      <w:spacing w:before="60" w:after="60"/>
      <w:ind w:left="1020" w:hanging="340"/>
    </w:pPr>
  </w:style>
  <w:style w:type="paragraph" w:styleId="List4">
    <w:name w:val="List 4"/>
    <w:basedOn w:val="BodyText"/>
    <w:rsid w:val="00A23499"/>
    <w:pPr>
      <w:tabs>
        <w:tab w:val="left" w:pos="1361"/>
      </w:tabs>
      <w:spacing w:before="60" w:after="60"/>
      <w:ind w:left="1361" w:hanging="340"/>
    </w:pPr>
  </w:style>
  <w:style w:type="paragraph" w:styleId="List5">
    <w:name w:val="List 5"/>
    <w:basedOn w:val="BodyText"/>
    <w:rsid w:val="00A23499"/>
    <w:pPr>
      <w:tabs>
        <w:tab w:val="left" w:pos="1701"/>
      </w:tabs>
      <w:spacing w:before="60" w:after="60"/>
      <w:ind w:left="1701" w:hanging="340"/>
    </w:pPr>
  </w:style>
  <w:style w:type="paragraph" w:styleId="ListBullet4">
    <w:name w:val="List Bullet 4"/>
    <w:basedOn w:val="List4"/>
    <w:rsid w:val="00A23499"/>
    <w:pPr>
      <w:numPr>
        <w:numId w:val="4"/>
      </w:numPr>
    </w:pPr>
  </w:style>
  <w:style w:type="paragraph" w:styleId="ListBullet5">
    <w:name w:val="List Bullet 5"/>
    <w:basedOn w:val="List5"/>
    <w:rsid w:val="00A23499"/>
    <w:pPr>
      <w:numPr>
        <w:numId w:val="5"/>
      </w:numPr>
    </w:pPr>
  </w:style>
  <w:style w:type="paragraph" w:styleId="ListContinue2">
    <w:name w:val="List Continue 2"/>
    <w:basedOn w:val="List2"/>
    <w:rsid w:val="00A23499"/>
    <w:pPr>
      <w:ind w:firstLine="0"/>
    </w:pPr>
  </w:style>
  <w:style w:type="paragraph" w:styleId="ListContinue3">
    <w:name w:val="List Continue 3"/>
    <w:basedOn w:val="List3"/>
    <w:rsid w:val="00A23499"/>
    <w:pPr>
      <w:ind w:left="1021" w:firstLine="0"/>
    </w:pPr>
  </w:style>
  <w:style w:type="paragraph" w:styleId="ListContinue4">
    <w:name w:val="List Continue 4"/>
    <w:basedOn w:val="List4"/>
    <w:rsid w:val="00A23499"/>
    <w:pPr>
      <w:ind w:firstLine="0"/>
    </w:pPr>
  </w:style>
  <w:style w:type="paragraph" w:styleId="ListContinue5">
    <w:name w:val="List Continue 5"/>
    <w:basedOn w:val="List5"/>
    <w:rsid w:val="00A23499"/>
    <w:pPr>
      <w:ind w:firstLine="0"/>
    </w:pPr>
  </w:style>
  <w:style w:type="paragraph" w:styleId="ListNumber3">
    <w:name w:val="List Number 3"/>
    <w:basedOn w:val="List3"/>
    <w:rsid w:val="00A23499"/>
    <w:pPr>
      <w:numPr>
        <w:numId w:val="6"/>
      </w:numPr>
    </w:pPr>
  </w:style>
  <w:style w:type="paragraph" w:styleId="ListNumber4">
    <w:name w:val="List Number 4"/>
    <w:basedOn w:val="List4"/>
    <w:rsid w:val="00A23499"/>
    <w:pPr>
      <w:numPr>
        <w:numId w:val="7"/>
      </w:numPr>
    </w:pPr>
  </w:style>
  <w:style w:type="paragraph" w:styleId="ListNumber5">
    <w:name w:val="List Number 5"/>
    <w:basedOn w:val="List5"/>
    <w:rsid w:val="00A23499"/>
    <w:pPr>
      <w:numPr>
        <w:numId w:val="8"/>
      </w:numPr>
    </w:pPr>
  </w:style>
  <w:style w:type="paragraph" w:styleId="BlockText">
    <w:name w:val="Block Text"/>
    <w:basedOn w:val="Normal"/>
    <w:rsid w:val="00A23499"/>
    <w:pPr>
      <w:spacing w:after="120"/>
      <w:ind w:left="1440" w:right="1440"/>
    </w:pPr>
  </w:style>
  <w:style w:type="character" w:customStyle="1" w:styleId="Subscript">
    <w:name w:val="Subscript"/>
    <w:rsid w:val="00A23499"/>
    <w:rPr>
      <w:sz w:val="16"/>
      <w:vertAlign w:val="subscript"/>
    </w:rPr>
  </w:style>
  <w:style w:type="character" w:customStyle="1" w:styleId="Superscript">
    <w:name w:val="Superscript"/>
    <w:rsid w:val="00A23499"/>
    <w:rPr>
      <w:sz w:val="16"/>
      <w:vertAlign w:val="superscript"/>
    </w:rPr>
  </w:style>
  <w:style w:type="character" w:customStyle="1" w:styleId="Symbols">
    <w:name w:val="Symbols"/>
    <w:rsid w:val="00A23499"/>
    <w:rPr>
      <w:rFonts w:ascii="Symbol" w:hAnsi="Symbol"/>
    </w:rPr>
  </w:style>
  <w:style w:type="character" w:customStyle="1" w:styleId="MenuOptions">
    <w:name w:val="Menu Options"/>
    <w:rsid w:val="00A23499"/>
    <w:rPr>
      <w:rFonts w:ascii="Arial Narrow" w:hAnsi="Arial Narrow"/>
      <w:smallCaps/>
    </w:rPr>
  </w:style>
  <w:style w:type="character" w:customStyle="1" w:styleId="Buttons">
    <w:name w:val="Buttons"/>
    <w:rsid w:val="00A23499"/>
    <w:rPr>
      <w:b/>
    </w:rPr>
  </w:style>
  <w:style w:type="character" w:customStyle="1" w:styleId="Underlined">
    <w:name w:val="Underlined"/>
    <w:rsid w:val="00A23499"/>
    <w:rPr>
      <w:u w:val="single"/>
    </w:rPr>
  </w:style>
  <w:style w:type="paragraph" w:customStyle="1" w:styleId="TableBodyTextRight">
    <w:name w:val="Table Body Text Right"/>
    <w:basedOn w:val="TableBodyText"/>
    <w:rsid w:val="00A23499"/>
    <w:pPr>
      <w:widowControl w:val="0"/>
      <w:autoSpaceDE w:val="0"/>
      <w:autoSpaceDN w:val="0"/>
      <w:adjustRightInd w:val="0"/>
      <w:jc w:val="right"/>
    </w:pPr>
    <w:rPr>
      <w:rFonts w:cs="Arial"/>
      <w:szCs w:val="18"/>
    </w:rPr>
  </w:style>
  <w:style w:type="paragraph" w:customStyle="1" w:styleId="CopyrightText">
    <w:name w:val="Copyright Text"/>
    <w:basedOn w:val="BodyText"/>
    <w:rsid w:val="00A23499"/>
    <w:rPr>
      <w:sz w:val="18"/>
    </w:rPr>
  </w:style>
  <w:style w:type="paragraph" w:customStyle="1" w:styleId="BodySmallRight">
    <w:name w:val="Body Small Right"/>
    <w:basedOn w:val="BodyTextRight"/>
    <w:rsid w:val="00A23499"/>
    <w:rPr>
      <w:sz w:val="18"/>
      <w:szCs w:val="18"/>
    </w:rPr>
  </w:style>
  <w:style w:type="paragraph" w:customStyle="1" w:styleId="MarginEdition">
    <w:name w:val="Margin Edition"/>
    <w:basedOn w:val="MarginNote"/>
    <w:rsid w:val="00A23499"/>
    <w:pPr>
      <w:spacing w:before="0" w:after="0"/>
    </w:pPr>
    <w:rPr>
      <w:rFonts w:ascii="Times New Roman" w:hAnsi="Times New Roman"/>
      <w:color w:val="999999"/>
    </w:rPr>
  </w:style>
  <w:style w:type="paragraph" w:customStyle="1" w:styleId="Spacer">
    <w:name w:val="Spacer"/>
    <w:basedOn w:val="Normal"/>
    <w:rsid w:val="00A23499"/>
    <w:rPr>
      <w:sz w:val="2"/>
      <w:szCs w:val="2"/>
    </w:rPr>
  </w:style>
  <w:style w:type="character" w:customStyle="1" w:styleId="Small">
    <w:name w:val="Small"/>
    <w:rsid w:val="00A23499"/>
    <w:rPr>
      <w:sz w:val="16"/>
    </w:rPr>
  </w:style>
  <w:style w:type="paragraph" w:customStyle="1" w:styleId="WideTable">
    <w:name w:val="Wide Table"/>
    <w:basedOn w:val="Normal"/>
    <w:rsid w:val="00A23499"/>
    <w:pPr>
      <w:ind w:left="-1418"/>
    </w:pPr>
    <w:rPr>
      <w:sz w:val="2"/>
      <w:szCs w:val="2"/>
    </w:rPr>
  </w:style>
  <w:style w:type="character" w:styleId="PageNumber">
    <w:name w:val="page number"/>
    <w:rsid w:val="00A23499"/>
  </w:style>
  <w:style w:type="paragraph" w:styleId="Quote">
    <w:name w:val="Quote"/>
    <w:basedOn w:val="Heading1"/>
    <w:link w:val="QuoteChar"/>
    <w:qFormat/>
    <w:rsid w:val="00A23499"/>
    <w:rPr>
      <w:b w:val="0"/>
      <w:sz w:val="72"/>
      <w:szCs w:val="72"/>
      <w:lang w:val="en-NZ"/>
    </w:rPr>
  </w:style>
  <w:style w:type="character" w:customStyle="1" w:styleId="QuoteChar">
    <w:name w:val="Quote Char"/>
    <w:link w:val="Quote"/>
    <w:rsid w:val="00A23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499"/>
    <w:pPr>
      <w:pageBreakBefore/>
    </w:pPr>
  </w:style>
  <w:style w:type="paragraph" w:customStyle="1" w:styleId="Border">
    <w:name w:val="Border"/>
    <w:basedOn w:val="Normal"/>
    <w:qFormat/>
    <w:rsid w:val="00A23499"/>
    <w:pPr>
      <w:pBdr>
        <w:top w:val="single" w:sz="18" w:space="1" w:color="auto"/>
      </w:pBdr>
    </w:pPr>
    <w:rPr>
      <w:rFonts w:ascii="Times New Roman" w:hAnsi="Times New Roman"/>
      <w:color w:val="FFFFFF"/>
      <w:sz w:val="2"/>
    </w:rPr>
  </w:style>
  <w:style w:type="character" w:styleId="IntenseEmphasis">
    <w:name w:val="Intense Emphasis"/>
    <w:uiPriority w:val="21"/>
    <w:qFormat/>
    <w:rsid w:val="00A23499"/>
    <w:rPr>
      <w:b/>
      <w:bCs/>
      <w:i/>
      <w:iCs/>
      <w:color w:val="auto"/>
    </w:rPr>
  </w:style>
  <w:style w:type="paragraph" w:styleId="IntenseQuote">
    <w:name w:val="Intense Quote"/>
    <w:basedOn w:val="Normal"/>
    <w:next w:val="Normal"/>
    <w:link w:val="IntenseQuoteChar"/>
    <w:uiPriority w:val="30"/>
    <w:qFormat/>
    <w:rsid w:val="00A234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3499"/>
    <w:rPr>
      <w:rFonts w:ascii="Courier New" w:eastAsia="Times New Roman" w:hAnsi="Courier New" w:cs="Times New Roman"/>
      <w:b/>
      <w:bCs/>
      <w:i/>
      <w:iCs/>
      <w:szCs w:val="20"/>
      <w:lang w:val="en-US" w:eastAsia="en-US"/>
    </w:rPr>
  </w:style>
  <w:style w:type="character" w:styleId="SubtleReference">
    <w:name w:val="Subtle Reference"/>
    <w:uiPriority w:val="31"/>
    <w:qFormat/>
    <w:rsid w:val="00A23499"/>
    <w:rPr>
      <w:smallCaps/>
      <w:color w:val="auto"/>
      <w:u w:val="single"/>
    </w:rPr>
  </w:style>
  <w:style w:type="character" w:styleId="IntenseReference">
    <w:name w:val="Intense Reference"/>
    <w:uiPriority w:val="32"/>
    <w:qFormat/>
    <w:rsid w:val="00A23499"/>
    <w:rPr>
      <w:b/>
      <w:bCs/>
      <w:smallCaps/>
      <w:color w:val="auto"/>
      <w:spacing w:val="5"/>
      <w:u w:val="single"/>
    </w:rPr>
  </w:style>
  <w:style w:type="paragraph" w:customStyle="1" w:styleId="2ColumnHeading">
    <w:name w:val="2Column Heading"/>
    <w:basedOn w:val="BodyText"/>
    <w:qFormat/>
    <w:rsid w:val="00A23499"/>
    <w:pPr>
      <w:spacing w:after="60"/>
      <w:ind w:left="-2268"/>
    </w:pPr>
    <w:rPr>
      <w:b/>
    </w:rPr>
  </w:style>
  <w:style w:type="paragraph" w:customStyle="1" w:styleId="Heading1TOC">
    <w:name w:val="Heading1 TOC"/>
    <w:basedOn w:val="Normal"/>
    <w:qFormat/>
    <w:rsid w:val="00A23499"/>
    <w:pPr>
      <w:spacing w:before="240" w:after="120"/>
    </w:pPr>
    <w:rPr>
      <w:rFonts w:ascii="Times New Roman" w:hAnsi="Times New Roman"/>
      <w:b/>
      <w:sz w:val="32"/>
    </w:rPr>
  </w:style>
  <w:style w:type="paragraph" w:customStyle="1" w:styleId="Heading2TOC">
    <w:name w:val="Heading2 TOC"/>
    <w:basedOn w:val="Normal"/>
    <w:qFormat/>
    <w:rsid w:val="00A23499"/>
    <w:pPr>
      <w:spacing w:before="240" w:after="60"/>
    </w:pPr>
    <w:rPr>
      <w:rFonts w:ascii="Times New Roman" w:hAnsi="Times New Roman"/>
      <w:b/>
      <w:sz w:val="28"/>
    </w:rPr>
  </w:style>
  <w:style w:type="character" w:customStyle="1" w:styleId="Underline">
    <w:name w:val="Underline"/>
    <w:qFormat/>
    <w:rsid w:val="00A23499"/>
    <w:rPr>
      <w:u w:val="single"/>
    </w:rPr>
  </w:style>
  <w:style w:type="paragraph" w:styleId="BalloonText">
    <w:name w:val="Balloon Text"/>
    <w:basedOn w:val="Normal"/>
    <w:link w:val="BalloonTextChar"/>
    <w:rsid w:val="00A23499"/>
    <w:rPr>
      <w:rFonts w:ascii="Tahoma" w:hAnsi="Tahoma" w:cs="Tahoma"/>
      <w:sz w:val="16"/>
      <w:szCs w:val="16"/>
    </w:rPr>
  </w:style>
  <w:style w:type="character" w:customStyle="1" w:styleId="BalloonTextChar">
    <w:name w:val="Balloon Text Char"/>
    <w:link w:val="BalloonText"/>
    <w:rsid w:val="00A234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34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34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2167</Words>
  <Characters>13830</Characters>
  <Application>Microsoft Office Word</Application>
  <DocSecurity>0</DocSecurity>
  <Lines>475</Lines>
  <Paragraphs>254</Paragraphs>
  <ScaleCrop>false</ScaleCrop>
  <Company>Author-it Software Corporation Ltd.</Company>
  <LinksUpToDate>false</LinksUpToDate>
  <CharactersWithSpaces>15921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CPCCPD3022A Apply paint by brush and roller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