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B28" w:rsidP="00AE6B28">
      <w:pPr>
        <w:pStyle w:val="Title"/>
      </w:pPr>
      <w:r>
        <w:fldChar w:fldCharType="begin"/>
      </w:r>
      <w:r>
        <w:instrText xml:space="preserve"> TITLE   \* MERGEFORMAT </w:instrText>
      </w:r>
      <w:r>
        <w:fldChar w:fldCharType="separate"/>
      </w:r>
      <w:r>
        <w:t>CPCCLSF3001A Licence to erect, alter and dismantle scaffolding intermediate level</w:t>
      </w:r>
      <w:r>
        <w:fldChar w:fldCharType="end"/>
      </w:r>
    </w:p>
    <w:p w:rsidR="00AE6B28" w:rsidP="00AE6B28">
      <w:pPr>
        <w:pStyle w:val="Version"/>
        <w:sectPr w:rsidSect="003A4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68D" w:rsidP="003A468D">
      <w:pPr>
        <w:pStyle w:val="SuperHeading"/>
      </w:pPr>
      <w:r w:rsidRPr="003A468D">
        <w:t>CPCCLSF3001A Licence to erect, alter and dismantle sc</w:t>
      </w:r>
      <w:r w:rsidRPr="003A468D">
        <w:t>affolding intermediate level</w:t>
      </w:r>
    </w:p>
    <w:p w:rsidR="00000000" w:rsidRPr="003A468D" w:rsidP="003A468D">
      <w:pPr>
        <w:pStyle w:val="Heading1"/>
      </w:pPr>
      <w:bookmarkStart w:id="1" w:name="O_269590"/>
      <w:bookmarkEnd w:id="1"/>
      <w:r w:rsidRPr="003A468D">
        <w:t>Modification History</w:t>
      </w:r>
    </w:p>
    <w:p w:rsidR="00000000" w:rsidRPr="003A468D" w:rsidP="003A468D">
      <w:pPr>
        <w:pStyle w:val="BodyText"/>
      </w:pPr>
      <w:r w:rsidRPr="003A468D">
        <w:t>Not Applicable</w:t>
      </w:r>
    </w:p>
    <w:p w:rsidR="00000000" w:rsidRPr="003A468D" w:rsidP="003A468D">
      <w:pPr>
        <w:pStyle w:val="AllowPageBreak"/>
      </w:pPr>
    </w:p>
    <w:p w:rsidR="00000000" w:rsidRPr="003A468D" w:rsidP="003A468D">
      <w:pPr>
        <w:pStyle w:val="Heading1"/>
      </w:pPr>
      <w:bookmarkStart w:id="2" w:name="O_197990"/>
      <w:bookmarkEnd w:id="2"/>
      <w:r w:rsidRPr="003A468D">
        <w:t>Unit Descriptor</w:t>
      </w:r>
    </w:p>
    <w:tbl>
      <w:tblPr>
        <w:tblW w:w="0" w:type="auto"/>
        <w:tblLayout w:type="fixed"/>
        <w:tblCellMar>
          <w:left w:w="62" w:type="dxa"/>
          <w:right w:w="62" w:type="dxa"/>
        </w:tblCellMar>
        <w:tblLook w:val="0000"/>
      </w:tblPr>
      <w:tblGrid>
        <w:gridCol w:w="2627"/>
        <w:gridCol w:w="5895"/>
      </w:tblGrid>
      <w:tr w:rsidTr="00AE6B28">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Unit descriptor</w:t>
            </w:r>
          </w:p>
        </w:tc>
        <w:tc>
          <w:tcPr>
            <w:tcW w:w="5895"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 xml:space="preserve">This unit specifies the outcomes required to erect, alter and dismantle scaffolding at the Intermediate level which includes use and operation of Cantilevered crane-loading platforms, Cantilevered and spurred scaffolds, Barrow ramps and sloping platforms, </w:t>
            </w:r>
            <w:r w:rsidRPr="003A468D">
              <w:t>perimeter safety screens and shutters Mast climbers, and tube and coupler scaffolds (including tube and coupler covered ways and gantries) for licensing purposes.</w:t>
            </w:r>
          </w:p>
        </w:tc>
      </w:tr>
    </w:tbl>
    <w:p w:rsidR="00AE6B28" w:rsidP="003A468D">
      <w:pPr>
        <w:pStyle w:val="BodyText"/>
      </w:pPr>
    </w:p>
    <w:p w:rsidR="00AE6B28" w:rsidP="003A468D">
      <w:pPr>
        <w:pStyle w:val="BodyText"/>
      </w:pPr>
    </w:p>
    <w:p w:rsidR="00000000" w:rsidRPr="003A468D" w:rsidP="003A468D">
      <w:pPr>
        <w:pStyle w:val="Heading1"/>
      </w:pPr>
      <w:bookmarkStart w:id="3" w:name="O_197994"/>
      <w:bookmarkEnd w:id="3"/>
      <w:r w:rsidRPr="003A468D">
        <w:t>Application of the Unit</w:t>
      </w:r>
    </w:p>
    <w:tbl>
      <w:tblPr>
        <w:tblW w:w="0" w:type="auto"/>
        <w:tblLayout w:type="fixed"/>
        <w:tblCellMar>
          <w:left w:w="62" w:type="dxa"/>
          <w:right w:w="62" w:type="dxa"/>
        </w:tblCellMar>
        <w:tblLook w:val="0000"/>
      </w:tblPr>
      <w:tblGrid>
        <w:gridCol w:w="2678"/>
        <w:gridCol w:w="5844"/>
      </w:tblGrid>
      <w:tr w:rsidTr="00AE6B28">
        <w:tblPrEx>
          <w:tblW w:w="0" w:type="auto"/>
          <w:tblLayout w:type="fixed"/>
          <w:tblCellMar>
            <w:left w:w="62" w:type="dxa"/>
            <w:right w:w="62" w:type="dxa"/>
          </w:tblCellMar>
          <w:tblLook w:val="0000"/>
        </w:tblPrEx>
        <w:tc>
          <w:tcPr>
            <w:tcW w:w="267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Application of the unit</w:t>
            </w:r>
          </w:p>
        </w:tc>
        <w:tc>
          <w:tcPr>
            <w:tcW w:w="5844"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This unit covers the scop</w:t>
            </w:r>
            <w:r w:rsidRPr="003A468D">
              <w:t xml:space="preserve">e of work to plan the job, select and inspect equipment, set up task, erect scaffold and scaffold equipment and dismantle scaffold and scaffolding equipment. </w:t>
            </w:r>
          </w:p>
          <w:p w:rsidR="00000000" w:rsidRPr="003A468D" w:rsidP="003A468D">
            <w:pPr>
              <w:pStyle w:val="BodyText"/>
            </w:pPr>
            <w:r w:rsidRPr="003A468D">
              <w:t xml:space="preserve">This unit is based upon the National Standard for Licensing Persons Performing High Risk Work. </w:t>
            </w:r>
          </w:p>
          <w:p w:rsidR="00000000" w:rsidRPr="003A468D" w:rsidP="003A468D">
            <w:pPr>
              <w:pStyle w:val="BodyText"/>
            </w:pPr>
            <w:r w:rsidRPr="003A468D">
              <w:t>T</w:t>
            </w:r>
            <w:r w:rsidRPr="003A468D">
              <w:t>his unit in its current form meets state and territory licensing requirements. Any alteration will result in a unit which is not acceptable to regulators for the purpose of licensing.</w:t>
            </w:r>
          </w:p>
          <w:p w:rsidR="00000000" w:rsidRPr="003A468D" w:rsidP="003A468D">
            <w:pPr>
              <w:pStyle w:val="BodyText"/>
            </w:pPr>
            <w:r w:rsidRPr="003A468D">
              <w:t>This unit has a pre-requisite requirement. This requirement may be met b</w:t>
            </w:r>
            <w:r w:rsidRPr="003A468D">
              <w:t xml:space="preserve">y either the successful completion of the unit </w:t>
            </w:r>
            <w:r w:rsidRPr="003A468D">
              <w:rPr>
                <w:rStyle w:val="Emphasis"/>
              </w:rPr>
              <w:t>CPCCLSF2001A Licence to erect</w:t>
            </w:r>
            <w:r w:rsidRPr="003A468D">
              <w:t xml:space="preserve">, </w:t>
            </w:r>
            <w:r w:rsidRPr="003A468D">
              <w:rPr>
                <w:rStyle w:val="Emphasis"/>
              </w:rPr>
              <w:t>alter and dismantle scaffolding basic level</w:t>
            </w:r>
            <w:r w:rsidRPr="003A468D">
              <w:t xml:space="preserve"> or holding a valid licence for basic scaffolding. </w:t>
            </w:r>
          </w:p>
        </w:tc>
      </w:tr>
    </w:tbl>
    <w:p w:rsidR="00AE6B28" w:rsidP="003A468D">
      <w:pPr>
        <w:pStyle w:val="BodyText"/>
      </w:pPr>
    </w:p>
    <w:p w:rsidR="00AE6B28" w:rsidP="003A468D">
      <w:pPr>
        <w:pStyle w:val="BodyText"/>
      </w:pPr>
    </w:p>
    <w:p w:rsidR="00000000" w:rsidRPr="003A468D" w:rsidP="003A468D">
      <w:pPr>
        <w:pStyle w:val="Heading1"/>
      </w:pPr>
      <w:bookmarkStart w:id="4" w:name="O_277850"/>
      <w:bookmarkEnd w:id="4"/>
      <w:r w:rsidRPr="003A468D">
        <w:t>Licensing/Regulatory Information</w:t>
      </w:r>
    </w:p>
    <w:p w:rsidR="00000000" w:rsidRPr="003A468D" w:rsidP="003A468D">
      <w:pPr>
        <w:pStyle w:val="BodyText"/>
      </w:pPr>
      <w:r w:rsidRPr="003A468D">
        <w:t>Refer to Unit Descriptor</w:t>
      </w:r>
    </w:p>
    <w:p w:rsidR="00000000" w:rsidRPr="003A468D" w:rsidP="003A468D">
      <w:pPr>
        <w:pStyle w:val="AllowPageBreak"/>
      </w:pPr>
    </w:p>
    <w:p w:rsidR="00000000" w:rsidRPr="003A468D" w:rsidP="003A468D">
      <w:pPr>
        <w:pStyle w:val="Heading1"/>
      </w:pPr>
      <w:bookmarkStart w:id="5" w:name="O_197992"/>
      <w:bookmarkEnd w:id="5"/>
      <w:r w:rsidRPr="003A468D">
        <w:t>Pre-Requisites</w:t>
      </w:r>
    </w:p>
    <w:tbl>
      <w:tblPr>
        <w:tblW w:w="0" w:type="auto"/>
        <w:tblLayout w:type="fixed"/>
        <w:tblCellMar>
          <w:left w:w="62" w:type="dxa"/>
          <w:right w:w="62" w:type="dxa"/>
        </w:tblCellMar>
        <w:tblLook w:val="0000"/>
      </w:tblPr>
      <w:tblGrid>
        <w:gridCol w:w="2614"/>
        <w:gridCol w:w="2670"/>
        <w:gridCol w:w="3238"/>
      </w:tblGrid>
      <w:tr w:rsidTr="00AE6B28">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Prerequisite units</w:t>
            </w:r>
          </w:p>
        </w:tc>
        <w:tc>
          <w:tcPr>
            <w:tcW w:w="5908" w:type="dxa"/>
            <w:gridSpan w:val="2"/>
            <w:tcBorders>
              <w:top w:val="nil"/>
              <w:left w:val="nil"/>
              <w:bottom w:val="nil"/>
              <w:right w:val="nil"/>
            </w:tcBorders>
            <w:tcMar>
              <w:top w:w="0" w:type="dxa"/>
              <w:left w:w="62" w:type="dxa"/>
              <w:bottom w:w="0" w:type="dxa"/>
              <w:right w:w="62" w:type="dxa"/>
            </w:tcMar>
          </w:tcPr>
          <w:p w:rsidR="00000000" w:rsidP="003A468D">
            <w:pPr>
              <w:pStyle w:val="BodyText"/>
              <w:rPr>
                <w:lang w:val="en-NZ"/>
              </w:rPr>
            </w:pPr>
          </w:p>
        </w:tc>
      </w:tr>
      <w:tr w:rsidTr="00AE6B28">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70"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t>CPCCLSF2001A</w:t>
            </w:r>
          </w:p>
        </w:tc>
        <w:tc>
          <w:tcPr>
            <w:tcW w:w="323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t>Licence to erect, alter and dismantle scaffolding basic level</w:t>
            </w:r>
          </w:p>
        </w:tc>
      </w:tr>
      <w:tr w:rsidTr="00AE6B28">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38" w:type="dxa"/>
            <w:tcBorders>
              <w:top w:val="nil"/>
              <w:left w:val="nil"/>
              <w:bottom w:val="nil"/>
              <w:right w:val="nil"/>
            </w:tcBorders>
            <w:tcMar>
              <w:top w:w="0" w:type="dxa"/>
              <w:left w:w="62" w:type="dxa"/>
              <w:bottom w:w="0" w:type="dxa"/>
              <w:right w:w="62" w:type="dxa"/>
            </w:tcMar>
          </w:tcPr>
          <w:p w:rsidR="00000000" w:rsidRPr="003A468D" w:rsidP="003A468D">
            <w:pPr>
              <w:pStyle w:val="BodyText"/>
            </w:pPr>
          </w:p>
        </w:tc>
      </w:tr>
    </w:tbl>
    <w:p w:rsidR="00AE6B28" w:rsidP="003A468D">
      <w:pPr>
        <w:pStyle w:val="BodyText"/>
      </w:pPr>
    </w:p>
    <w:p w:rsidR="00AE6B28" w:rsidP="003A468D">
      <w:pPr>
        <w:pStyle w:val="BodyText"/>
      </w:pPr>
    </w:p>
    <w:p w:rsidR="00000000" w:rsidRPr="003A468D" w:rsidP="003A468D">
      <w:pPr>
        <w:pStyle w:val="Heading1"/>
      </w:pPr>
      <w:bookmarkStart w:id="6" w:name="O_197991"/>
      <w:bookmarkEnd w:id="6"/>
      <w:r w:rsidRPr="003A468D">
        <w:t>Employability Skills Information</w:t>
      </w:r>
    </w:p>
    <w:tbl>
      <w:tblPr>
        <w:tblW w:w="0" w:type="auto"/>
        <w:tblLayout w:type="fixed"/>
        <w:tblCellMar>
          <w:left w:w="62" w:type="dxa"/>
          <w:right w:w="62" w:type="dxa"/>
        </w:tblCellMar>
        <w:tblLook w:val="0000"/>
      </w:tblPr>
      <w:tblGrid>
        <w:gridCol w:w="2728"/>
        <w:gridCol w:w="5794"/>
      </w:tblGrid>
      <w:tr w:rsidTr="00AE6B28">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Employability skills</w:t>
            </w:r>
          </w:p>
        </w:tc>
        <w:tc>
          <w:tcPr>
            <w:tcW w:w="5794"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This unit contains employability skills.</w:t>
            </w:r>
          </w:p>
        </w:tc>
      </w:tr>
    </w:tbl>
    <w:p w:rsidR="00AE6B28" w:rsidP="003A468D">
      <w:pPr>
        <w:pStyle w:val="BodyText"/>
      </w:pPr>
    </w:p>
    <w:p w:rsidR="00AE6B28" w:rsidP="003A468D">
      <w:pPr>
        <w:pStyle w:val="BodyText"/>
      </w:pPr>
    </w:p>
    <w:p w:rsidR="00000000" w:rsidRPr="003A468D" w:rsidP="003A468D">
      <w:pPr>
        <w:pStyle w:val="Heading1"/>
      </w:pPr>
      <w:bookmarkStart w:id="7" w:name="O_287636"/>
      <w:bookmarkEnd w:id="7"/>
      <w:r w:rsidRPr="003A468D">
        <w:t>Elements and Performance Criteria Pre-Content</w:t>
      </w:r>
    </w:p>
    <w:tbl>
      <w:tblPr>
        <w:tblW w:w="0" w:type="auto"/>
        <w:tblLayout w:type="fixed"/>
        <w:tblCellMar>
          <w:left w:w="62" w:type="dxa"/>
          <w:right w:w="62" w:type="dxa"/>
        </w:tblCellMar>
        <w:tblLook w:val="0000"/>
      </w:tblPr>
      <w:tblGrid>
        <w:gridCol w:w="2575"/>
        <w:gridCol w:w="5947"/>
      </w:tblGrid>
      <w:tr w:rsidTr="00AE6B28">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3A468D">
            <w:pPr>
              <w:pStyle w:val="BodyText"/>
              <w:rPr>
                <w:lang w:val="en-NZ"/>
              </w:rPr>
            </w:pPr>
            <w:r w:rsidRPr="003A468D">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3A468D" w:rsidP="003A468D">
            <w:pPr>
              <w:pStyle w:val="BodyText"/>
            </w:pPr>
            <w:r w:rsidRPr="003A468D">
              <w:t>Performance criteria describe the performance needed to demonstrate achievement of the element. Where bold italicised text is used, further information is detailed in the required skills and knowledge section and the range statement. Assessment of performa</w:t>
            </w:r>
            <w:r w:rsidRPr="003A468D">
              <w:t>nce is to be consistent with the evidence guide.</w:t>
            </w:r>
          </w:p>
        </w:tc>
      </w:tr>
    </w:tbl>
    <w:p w:rsidR="00000000" w:rsidRPr="003A468D" w:rsidP="003A468D">
      <w:pPr>
        <w:pStyle w:val="BodyText"/>
      </w:pPr>
    </w:p>
    <w:p w:rsidR="00000000" w:rsidRPr="003A468D" w:rsidP="003A468D">
      <w:pPr>
        <w:pStyle w:val="AllowPageBreak"/>
      </w:pPr>
    </w:p>
    <w:p w:rsidR="00000000" w:rsidRPr="003A468D" w:rsidP="003A468D">
      <w:pPr>
        <w:pStyle w:val="Heading1"/>
      </w:pPr>
      <w:bookmarkStart w:id="8" w:name="O_234303"/>
      <w:bookmarkEnd w:id="8"/>
      <w:r w:rsidRPr="003A468D">
        <w:t>Elements and Performance Criteria</w:t>
      </w:r>
    </w:p>
    <w:tbl>
      <w:tblPr>
        <w:tblW w:w="0" w:type="auto"/>
        <w:tblLayout w:type="fixed"/>
        <w:tblCellMar>
          <w:left w:w="62" w:type="dxa"/>
          <w:right w:w="62" w:type="dxa"/>
        </w:tblCellMar>
        <w:tblLook w:val="0000"/>
      </w:tblPr>
      <w:tblGrid>
        <w:gridCol w:w="2575"/>
        <w:gridCol w:w="5947"/>
      </w:tblGrid>
      <w:tr w:rsidTr="00AE6B28">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3A468D" w:rsidP="003A468D">
            <w:pPr>
              <w:pStyle w:val="BodyText"/>
            </w:pPr>
            <w:r w:rsidRPr="003A468D">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3A468D">
            <w:pPr>
              <w:pStyle w:val="BodyText"/>
              <w:rPr>
                <w:lang w:val="en-NZ"/>
              </w:rPr>
            </w:pPr>
            <w:r w:rsidRPr="003A468D">
              <w:rPr>
                <w:rStyle w:val="SpecialBold"/>
              </w:rPr>
              <w:t>PERFORMANCE CRITERIA</w:t>
            </w:r>
          </w:p>
        </w:tc>
      </w:tr>
      <w:tr w:rsidTr="00AE6B2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A468D">
            <w:pPr>
              <w:pStyle w:val="List"/>
              <w:rPr>
                <w:lang w:val="en-NZ"/>
              </w:rPr>
            </w:pPr>
            <w:r w:rsidRPr="003A468D">
              <w:t>1.</w:t>
            </w:r>
            <w:r w:rsidRPr="003A468D">
              <w:tab/>
              <w:t>Plan job.</w:t>
            </w:r>
          </w:p>
        </w:tc>
        <w:tc>
          <w:tcPr>
            <w:tcW w:w="5947" w:type="dxa"/>
            <w:tcBorders>
              <w:top w:val="nil"/>
              <w:left w:val="nil"/>
              <w:bottom w:val="nil"/>
              <w:right w:val="nil"/>
            </w:tcBorders>
            <w:tcMar>
              <w:top w:w="0" w:type="dxa"/>
              <w:left w:w="62" w:type="dxa"/>
              <w:bottom w:w="0" w:type="dxa"/>
              <w:right w:w="62" w:type="dxa"/>
            </w:tcMar>
          </w:tcPr>
          <w:p w:rsidR="00000000" w:rsidRPr="003A468D" w:rsidP="003A468D">
            <w:pPr>
              <w:pStyle w:val="List2"/>
            </w:pPr>
            <w:r w:rsidRPr="003A468D">
              <w:t>1.1.</w:t>
            </w:r>
            <w:r w:rsidRPr="003A468D">
              <w:tab/>
              <w:t>Task to be undertaken is assessed.</w:t>
            </w:r>
          </w:p>
          <w:p w:rsidR="00000000" w:rsidRPr="003A468D" w:rsidP="003A468D">
            <w:pPr>
              <w:pStyle w:val="List2"/>
            </w:pPr>
            <w:r w:rsidRPr="003A468D">
              <w:t>1.2.</w:t>
            </w:r>
            <w:r w:rsidRPr="003A468D">
              <w:tab/>
              <w:t xml:space="preserve">Potential workplace </w:t>
            </w:r>
            <w:r w:rsidRPr="003A468D">
              <w:rPr>
                <w:rStyle w:val="BoldandItalics"/>
              </w:rPr>
              <w:t>hazards</w:t>
            </w:r>
            <w:r w:rsidRPr="003A468D">
              <w:t xml:space="preserve"> are identified. </w:t>
            </w:r>
          </w:p>
          <w:p w:rsidR="00000000" w:rsidRPr="003A468D" w:rsidP="003A468D">
            <w:pPr>
              <w:pStyle w:val="List2"/>
            </w:pPr>
            <w:r w:rsidRPr="003A468D">
              <w:t>1.3.</w:t>
            </w:r>
            <w:r w:rsidRPr="003A468D">
              <w:tab/>
            </w:r>
            <w:r w:rsidRPr="003A468D">
              <w:rPr>
                <w:rStyle w:val="BoldandItalics"/>
              </w:rPr>
              <w:t>Hazard control measures</w:t>
            </w:r>
            <w:r w:rsidRPr="003A468D">
              <w:t xml:space="preserve"> are identified consistent with </w:t>
            </w:r>
            <w:r w:rsidRPr="003A468D">
              <w:rPr>
                <w:rStyle w:val="BoldandItalics"/>
              </w:rPr>
              <w:t>appropriate standards</w:t>
            </w:r>
            <w:r w:rsidRPr="003A468D">
              <w:t xml:space="preserve"> to ensure the safety of personnel and equipment. </w:t>
            </w:r>
          </w:p>
          <w:p w:rsidR="00000000" w:rsidRPr="003A468D" w:rsidP="003A468D">
            <w:pPr>
              <w:pStyle w:val="List2"/>
            </w:pPr>
            <w:r w:rsidRPr="003A468D">
              <w:t>1.4.</w:t>
            </w:r>
            <w:r w:rsidRPr="003A468D">
              <w:tab/>
              <w:t xml:space="preserve">Site information is obtained. </w:t>
            </w:r>
          </w:p>
          <w:p w:rsidR="00000000" w:rsidRPr="003A468D" w:rsidP="003A468D">
            <w:pPr>
              <w:pStyle w:val="List2"/>
            </w:pPr>
            <w:r w:rsidRPr="003A468D">
              <w:t>1.5.</w:t>
            </w:r>
            <w:r w:rsidRPr="003A468D">
              <w:tab/>
            </w:r>
            <w:r w:rsidRPr="003A468D">
              <w:rPr>
                <w:rStyle w:val="BoldandItalics"/>
              </w:rPr>
              <w:t>Scaffold</w:t>
            </w:r>
            <w:r w:rsidRPr="003A468D">
              <w:t xml:space="preserve">, </w:t>
            </w:r>
            <w:r w:rsidRPr="003A468D">
              <w:rPr>
                <w:rStyle w:val="BoldandItalics"/>
              </w:rPr>
              <w:t>associated equipment</w:t>
            </w:r>
            <w:r w:rsidRPr="003A468D">
              <w:t xml:space="preserve"> and </w:t>
            </w:r>
            <w:r w:rsidRPr="003A468D">
              <w:rPr>
                <w:rStyle w:val="BoldandItalics"/>
              </w:rPr>
              <w:t>scaffold equipment</w:t>
            </w:r>
            <w:r w:rsidRPr="003A468D">
              <w:t xml:space="preserve"> are identified from site information and in consultation with appropriate </w:t>
            </w:r>
            <w:r w:rsidRPr="003A468D">
              <w:rPr>
                <w:rStyle w:val="BoldandItalics"/>
              </w:rPr>
              <w:t>personnel</w:t>
            </w:r>
            <w:r w:rsidRPr="003A468D">
              <w:t xml:space="preserve"> (where applicable). </w:t>
            </w:r>
          </w:p>
          <w:p w:rsidR="00000000" w:rsidRPr="003A468D" w:rsidP="003A468D">
            <w:pPr>
              <w:pStyle w:val="List2"/>
            </w:pPr>
            <w:r w:rsidRPr="003A468D">
              <w:t>1.6.</w:t>
            </w:r>
            <w:r w:rsidRPr="003A468D">
              <w:tab/>
            </w:r>
            <w:r w:rsidRPr="003A468D">
              <w:rPr>
                <w:rStyle w:val="BoldandItalics"/>
              </w:rPr>
              <w:t>Safety equipment</w:t>
            </w:r>
            <w:r w:rsidRPr="003A468D">
              <w:t xml:space="preserve"> is identified. </w:t>
            </w:r>
          </w:p>
          <w:p w:rsidR="00000000" w:rsidRPr="003A468D" w:rsidP="003A468D">
            <w:pPr>
              <w:pStyle w:val="List2"/>
            </w:pPr>
            <w:r w:rsidRPr="003A468D">
              <w:t>1.7.</w:t>
            </w:r>
            <w:r w:rsidRPr="003A468D">
              <w:tab/>
              <w:t xml:space="preserve">All </w:t>
            </w:r>
            <w:r w:rsidRPr="003A468D">
              <w:rPr>
                <w:rStyle w:val="BoldandItalics"/>
              </w:rPr>
              <w:t>forces and loads</w:t>
            </w:r>
            <w:r w:rsidRPr="003A468D">
              <w:t xml:space="preserve"> exerted on and by the scaffold and/or scaffolding equipment are determined and calcula</w:t>
            </w:r>
            <w:r w:rsidRPr="003A468D">
              <w:t xml:space="preserve">ted. </w:t>
            </w:r>
          </w:p>
          <w:p w:rsidR="00000000" w:rsidP="003A468D">
            <w:pPr>
              <w:pStyle w:val="List2"/>
              <w:rPr>
                <w:lang w:val="en-NZ"/>
              </w:rPr>
            </w:pPr>
            <w:r w:rsidRPr="003A468D">
              <w:t>1.8.</w:t>
            </w:r>
            <w:r w:rsidRPr="003A468D">
              <w:tab/>
              <w:t xml:space="preserve">Appropriate </w:t>
            </w:r>
            <w:r w:rsidRPr="003A468D">
              <w:rPr>
                <w:rStyle w:val="BoldandItalics"/>
              </w:rPr>
              <w:t>communication methods</w:t>
            </w:r>
            <w:r w:rsidRPr="003A468D">
              <w:t xml:space="preserve"> are identified with appropriate personnel. </w:t>
            </w:r>
          </w:p>
        </w:tc>
      </w:tr>
      <w:tr w:rsidTr="00AE6B2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A468D">
            <w:pPr>
              <w:pStyle w:val="List"/>
              <w:rPr>
                <w:lang w:val="en-NZ"/>
              </w:rPr>
            </w:pPr>
            <w:r w:rsidRPr="003A468D">
              <w:t>2.</w:t>
            </w:r>
            <w:r w:rsidRPr="003A468D">
              <w:tab/>
              <w:t>Select and inspect equipment.</w:t>
            </w:r>
          </w:p>
        </w:tc>
        <w:tc>
          <w:tcPr>
            <w:tcW w:w="5947" w:type="dxa"/>
            <w:tcBorders>
              <w:top w:val="nil"/>
              <w:left w:val="nil"/>
              <w:bottom w:val="nil"/>
              <w:right w:val="nil"/>
            </w:tcBorders>
            <w:tcMar>
              <w:top w:w="0" w:type="dxa"/>
              <w:left w:w="62" w:type="dxa"/>
              <w:bottom w:w="0" w:type="dxa"/>
              <w:right w:w="62" w:type="dxa"/>
            </w:tcMar>
          </w:tcPr>
          <w:p w:rsidR="00000000" w:rsidRPr="003A468D" w:rsidP="003A468D">
            <w:pPr>
              <w:pStyle w:val="List2"/>
            </w:pPr>
            <w:r w:rsidRPr="003A468D">
              <w:t>2.1.</w:t>
            </w:r>
            <w:r w:rsidRPr="003A468D">
              <w:tab/>
              <w:t xml:space="preserve">Scaffold, associated equipment and scaffold equipment are selected and inspected according to </w:t>
            </w:r>
            <w:r w:rsidRPr="003A468D">
              <w:rPr>
                <w:rStyle w:val="BoldandItalics"/>
              </w:rPr>
              <w:t>procedures</w:t>
            </w:r>
            <w:r w:rsidRPr="003A468D">
              <w:t xml:space="preserve"> and site information. </w:t>
            </w:r>
          </w:p>
          <w:p w:rsidR="00000000" w:rsidRPr="003A468D" w:rsidP="003A468D">
            <w:pPr>
              <w:pStyle w:val="List2"/>
            </w:pPr>
            <w:r w:rsidRPr="003A468D">
              <w:t>2.2.</w:t>
            </w:r>
            <w:r w:rsidRPr="003A468D">
              <w:tab/>
              <w:t>Safety equipment is selected and inspected according to procedures.</w:t>
            </w:r>
          </w:p>
          <w:p w:rsidR="00000000" w:rsidRPr="003A468D" w:rsidP="003A468D">
            <w:pPr>
              <w:pStyle w:val="List2"/>
            </w:pPr>
            <w:r w:rsidRPr="003A468D">
              <w:t>2.3.</w:t>
            </w:r>
            <w:r w:rsidRPr="003A468D">
              <w:tab/>
              <w:t>All defective scaffold, associated equipment, scaffold equipment and safety equipment are isolated according to procedures.</w:t>
            </w:r>
          </w:p>
          <w:p w:rsidR="00000000" w:rsidRPr="003A468D" w:rsidP="003A468D">
            <w:pPr>
              <w:pStyle w:val="List2"/>
            </w:pPr>
            <w:r w:rsidRPr="003A468D">
              <w:t>2.4.</w:t>
            </w:r>
            <w:r w:rsidRPr="003A468D">
              <w:tab/>
              <w:t>All defective scaffold, associated equipment, sca</w:t>
            </w:r>
            <w:r w:rsidRPr="003A468D">
              <w:t>ffold equipment and safety equipment are reported and recorded according to procedures.</w:t>
            </w:r>
          </w:p>
          <w:p w:rsidR="00000000" w:rsidP="003A468D">
            <w:pPr>
              <w:pStyle w:val="List2"/>
              <w:rPr>
                <w:lang w:val="en-NZ"/>
              </w:rPr>
            </w:pPr>
            <w:r w:rsidRPr="003A468D">
              <w:t>2.5.</w:t>
            </w:r>
            <w:r w:rsidRPr="003A468D">
              <w:tab/>
            </w:r>
            <w:r w:rsidRPr="003A468D">
              <w:rPr>
                <w:rStyle w:val="BoldandItalics"/>
              </w:rPr>
              <w:t>Communication equipment</w:t>
            </w:r>
            <w:r w:rsidRPr="003A468D">
              <w:t xml:space="preserve"> is selected and inspected for serviceability (where applicable). </w:t>
            </w:r>
          </w:p>
        </w:tc>
      </w:tr>
      <w:tr w:rsidTr="00AE6B2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A468D">
            <w:pPr>
              <w:pStyle w:val="List"/>
              <w:rPr>
                <w:lang w:val="en-NZ"/>
              </w:rPr>
            </w:pPr>
            <w:r w:rsidRPr="003A468D">
              <w:t>3.</w:t>
            </w:r>
            <w:r w:rsidRPr="003A468D">
              <w:tab/>
              <w:t>Set up task.</w:t>
            </w:r>
          </w:p>
        </w:tc>
        <w:tc>
          <w:tcPr>
            <w:tcW w:w="5947" w:type="dxa"/>
            <w:tcBorders>
              <w:top w:val="nil"/>
              <w:left w:val="nil"/>
              <w:bottom w:val="nil"/>
              <w:right w:val="nil"/>
            </w:tcBorders>
            <w:tcMar>
              <w:top w:w="0" w:type="dxa"/>
              <w:left w:w="62" w:type="dxa"/>
              <w:bottom w:w="0" w:type="dxa"/>
              <w:right w:w="62" w:type="dxa"/>
            </w:tcMar>
          </w:tcPr>
          <w:p w:rsidR="00000000" w:rsidRPr="003A468D" w:rsidP="003A468D">
            <w:pPr>
              <w:pStyle w:val="List2"/>
            </w:pPr>
            <w:r w:rsidRPr="003A468D">
              <w:t>3.1.</w:t>
            </w:r>
            <w:r w:rsidRPr="003A468D">
              <w:tab/>
              <w:t xml:space="preserve">Appropriate </w:t>
            </w:r>
            <w:r w:rsidRPr="003A468D">
              <w:rPr>
                <w:rStyle w:val="BoldandItalics"/>
              </w:rPr>
              <w:t>hazard prevention</w:t>
            </w:r>
            <w:r w:rsidRPr="003A468D">
              <w:t>/</w:t>
            </w:r>
            <w:r w:rsidRPr="003A468D">
              <w:rPr>
                <w:rStyle w:val="BoldandItalics"/>
              </w:rPr>
              <w:t>control measures</w:t>
            </w:r>
            <w:r w:rsidRPr="003A468D">
              <w:t xml:space="preserve"> are </w:t>
            </w:r>
            <w:r w:rsidRPr="003A468D">
              <w:t xml:space="preserve">applied to the work area according to procedures. </w:t>
            </w:r>
          </w:p>
          <w:p w:rsidR="00000000" w:rsidRPr="003A468D" w:rsidP="003A468D">
            <w:pPr>
              <w:pStyle w:val="List2"/>
            </w:pPr>
            <w:r w:rsidRPr="003A468D">
              <w:t>3.2.</w:t>
            </w:r>
            <w:r w:rsidRPr="003A468D">
              <w:tab/>
              <w:t xml:space="preserve">Ground suitability is checked. </w:t>
            </w:r>
          </w:p>
          <w:p w:rsidR="00000000" w:rsidRPr="003A468D" w:rsidP="003A468D">
            <w:pPr>
              <w:pStyle w:val="List2"/>
            </w:pPr>
            <w:r w:rsidRPr="003A468D">
              <w:t>3.3.</w:t>
            </w:r>
            <w:r w:rsidRPr="003A468D">
              <w:tab/>
              <w:t>Appropriate footings are prepared to support scaffold and scaffold equipment according to procedures and the appropriate standard.</w:t>
            </w:r>
          </w:p>
          <w:p w:rsidR="00000000" w:rsidRPr="003A468D" w:rsidP="003A468D">
            <w:pPr>
              <w:pStyle w:val="List2"/>
            </w:pPr>
            <w:r w:rsidRPr="003A468D">
              <w:t>3.4.</w:t>
            </w:r>
            <w:r w:rsidRPr="003A468D">
              <w:tab/>
            </w:r>
            <w:r w:rsidRPr="003A468D">
              <w:t>Scaffold and scaffold equipment are prepared for erection</w:t>
            </w:r>
          </w:p>
          <w:p w:rsidR="00000000" w:rsidRPr="003A468D" w:rsidP="003A468D">
            <w:pPr>
              <w:pStyle w:val="List2"/>
            </w:pPr>
            <w:r w:rsidRPr="003A468D">
              <w:t>3.5.</w:t>
            </w:r>
            <w:r w:rsidRPr="003A468D">
              <w:tab/>
              <w:t>Fit safety equipment and secure according to procedures (where applicable).</w:t>
            </w:r>
          </w:p>
          <w:p w:rsidR="00000000" w:rsidP="003A468D">
            <w:pPr>
              <w:pStyle w:val="List2"/>
              <w:rPr>
                <w:lang w:val="en-NZ"/>
              </w:rPr>
            </w:pPr>
            <w:r w:rsidRPr="003A468D">
              <w:t>3.6.</w:t>
            </w:r>
            <w:r w:rsidRPr="003A468D">
              <w:tab/>
              <w:t xml:space="preserve">Scaffold and scaffold equipment are positioned for work application and </w:t>
            </w:r>
            <w:r w:rsidRPr="003A468D">
              <w:rPr>
                <w:rStyle w:val="BoldandItalics"/>
              </w:rPr>
              <w:t>stability</w:t>
            </w:r>
            <w:r w:rsidRPr="003A468D">
              <w:t xml:space="preserve"> according to procedures and th</w:t>
            </w:r>
            <w:r w:rsidRPr="003A468D">
              <w:t xml:space="preserve">e appropriate standard. </w:t>
            </w:r>
          </w:p>
        </w:tc>
      </w:tr>
      <w:tr w:rsidTr="00AE6B2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A468D">
            <w:pPr>
              <w:pStyle w:val="List"/>
              <w:rPr>
                <w:lang w:val="en-NZ"/>
              </w:rPr>
            </w:pPr>
            <w:r w:rsidRPr="003A468D">
              <w:t>4.</w:t>
            </w:r>
            <w:r w:rsidRPr="003A468D">
              <w:tab/>
              <w:t>Erect scaffold and scaffolding equipment.</w:t>
            </w:r>
          </w:p>
        </w:tc>
        <w:tc>
          <w:tcPr>
            <w:tcW w:w="5947" w:type="dxa"/>
            <w:tcBorders>
              <w:top w:val="nil"/>
              <w:left w:val="nil"/>
              <w:bottom w:val="nil"/>
              <w:right w:val="nil"/>
            </w:tcBorders>
            <w:tcMar>
              <w:top w:w="0" w:type="dxa"/>
              <w:left w:w="62" w:type="dxa"/>
              <w:bottom w:w="0" w:type="dxa"/>
              <w:right w:w="62" w:type="dxa"/>
            </w:tcMar>
          </w:tcPr>
          <w:p w:rsidR="00000000" w:rsidRPr="003A468D" w:rsidP="003A468D">
            <w:pPr>
              <w:pStyle w:val="List2"/>
            </w:pPr>
            <w:r w:rsidRPr="003A468D">
              <w:t>4.1.</w:t>
            </w:r>
            <w:r w:rsidRPr="003A468D">
              <w:tab/>
              <w:t>Scaffold and scaffold equipment are erected according to procedures and the appropriate standard.</w:t>
            </w:r>
          </w:p>
          <w:p w:rsidR="00000000" w:rsidRPr="003A468D" w:rsidP="003A468D">
            <w:pPr>
              <w:pStyle w:val="List2"/>
            </w:pPr>
            <w:r w:rsidRPr="003A468D">
              <w:t>4.2.</w:t>
            </w:r>
            <w:r w:rsidRPr="003A468D">
              <w:tab/>
              <w:t>Work is conducted safely at heights including safe and effective use of safet</w:t>
            </w:r>
            <w:r w:rsidRPr="003A468D">
              <w:t>y equipment.</w:t>
            </w:r>
          </w:p>
          <w:p w:rsidR="00000000" w:rsidRPr="003A468D" w:rsidP="003A468D">
            <w:pPr>
              <w:pStyle w:val="List2"/>
            </w:pPr>
            <w:r w:rsidRPr="003A468D">
              <w:t>4.3.</w:t>
            </w:r>
            <w:r w:rsidRPr="003A468D">
              <w:tab/>
              <w:t>Scaffold and scaffold equipment are erected consistent with site information.</w:t>
            </w:r>
          </w:p>
          <w:p w:rsidR="00000000" w:rsidRPr="003A468D" w:rsidP="003A468D">
            <w:pPr>
              <w:pStyle w:val="List2"/>
            </w:pPr>
            <w:r w:rsidRPr="003A468D">
              <w:t>4.4.</w:t>
            </w:r>
            <w:r w:rsidRPr="003A468D">
              <w:tab/>
              <w:t>Appropriate communication methods are used to coordinate the tasks.</w:t>
            </w:r>
          </w:p>
          <w:p w:rsidR="00000000" w:rsidRPr="003A468D" w:rsidP="003A468D">
            <w:pPr>
              <w:pStyle w:val="List2"/>
            </w:pPr>
            <w:r w:rsidRPr="003A468D">
              <w:t>4.5.</w:t>
            </w:r>
            <w:r w:rsidRPr="003A468D">
              <w:tab/>
              <w:t>Completed tasks are inspected for compliance with the appropriate standard.</w:t>
            </w:r>
          </w:p>
          <w:p w:rsidR="00000000" w:rsidRPr="003A468D" w:rsidP="003A468D">
            <w:pPr>
              <w:pStyle w:val="List2"/>
            </w:pPr>
            <w:r w:rsidRPr="003A468D">
              <w:t>4.6.</w:t>
            </w:r>
            <w:r w:rsidRPr="003A468D">
              <w:tab/>
              <w:t>H</w:t>
            </w:r>
            <w:r w:rsidRPr="003A468D">
              <w:t>andover certificate is completed as required and handed to appropriate personnel.</w:t>
            </w:r>
          </w:p>
          <w:p w:rsidR="00000000" w:rsidP="003A468D">
            <w:pPr>
              <w:pStyle w:val="List2"/>
              <w:rPr>
                <w:lang w:val="en-NZ"/>
              </w:rPr>
            </w:pPr>
            <w:r w:rsidRPr="003A468D">
              <w:t>4.7.</w:t>
            </w:r>
            <w:r w:rsidRPr="003A468D">
              <w:tab/>
              <w:t>Excess materials from the work area are removed (where applicable).</w:t>
            </w:r>
          </w:p>
        </w:tc>
      </w:tr>
      <w:tr w:rsidTr="00AE6B2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A468D">
            <w:pPr>
              <w:pStyle w:val="List"/>
              <w:rPr>
                <w:lang w:val="en-NZ"/>
              </w:rPr>
            </w:pPr>
            <w:r w:rsidRPr="003A468D">
              <w:t>5.</w:t>
            </w:r>
            <w:r w:rsidRPr="003A468D">
              <w:tab/>
              <w:t>Dismantle scaffold and scaffolding equipment.</w:t>
            </w:r>
          </w:p>
        </w:tc>
        <w:tc>
          <w:tcPr>
            <w:tcW w:w="5947" w:type="dxa"/>
            <w:tcBorders>
              <w:top w:val="nil"/>
              <w:left w:val="nil"/>
              <w:bottom w:val="nil"/>
              <w:right w:val="nil"/>
            </w:tcBorders>
            <w:tcMar>
              <w:top w:w="0" w:type="dxa"/>
              <w:left w:w="62" w:type="dxa"/>
              <w:bottom w:w="0" w:type="dxa"/>
              <w:right w:w="62" w:type="dxa"/>
            </w:tcMar>
          </w:tcPr>
          <w:p w:rsidR="00000000" w:rsidRPr="003A468D" w:rsidP="003A468D">
            <w:pPr>
              <w:pStyle w:val="List2"/>
            </w:pPr>
            <w:r w:rsidRPr="003A468D">
              <w:t>5.1.</w:t>
            </w:r>
            <w:r w:rsidRPr="003A468D">
              <w:tab/>
              <w:t>Scaffold and scaffold equipment are dismantled</w:t>
            </w:r>
            <w:r w:rsidRPr="003A468D">
              <w:t xml:space="preserve"> according to procedures and the appropriate standard.</w:t>
            </w:r>
          </w:p>
          <w:p w:rsidR="00000000" w:rsidRPr="003A468D" w:rsidP="003A468D">
            <w:pPr>
              <w:pStyle w:val="List2"/>
            </w:pPr>
            <w:r w:rsidRPr="003A468D">
              <w:t>5.2.</w:t>
            </w:r>
            <w:r w:rsidRPr="003A468D">
              <w:tab/>
              <w:t>Work is conducted safely at heights including safe and effective use of safety equipment.</w:t>
            </w:r>
          </w:p>
          <w:p w:rsidR="00000000" w:rsidRPr="003A468D" w:rsidP="003A468D">
            <w:pPr>
              <w:pStyle w:val="List2"/>
            </w:pPr>
            <w:r w:rsidRPr="003A468D">
              <w:t>5.3.</w:t>
            </w:r>
            <w:r w:rsidRPr="003A468D">
              <w:tab/>
              <w:t>Scaffold, associated equipment and scaffold equipment are inspected for damage and defects.</w:t>
            </w:r>
          </w:p>
          <w:p w:rsidR="00000000" w:rsidRPr="003A468D" w:rsidP="003A468D">
            <w:pPr>
              <w:pStyle w:val="List2"/>
            </w:pPr>
            <w:r w:rsidRPr="003A468D">
              <w:t>5.4.</w:t>
            </w:r>
            <w:r w:rsidRPr="003A468D">
              <w:tab/>
              <w:t xml:space="preserve">All </w:t>
            </w:r>
            <w:r w:rsidRPr="003A468D">
              <w:t>damaged and defective scaffold, associated equipment and scaffold equipment are tagged and isolated according to procedures.</w:t>
            </w:r>
          </w:p>
          <w:p w:rsidR="00000000" w:rsidRPr="003A468D" w:rsidP="003A468D">
            <w:pPr>
              <w:pStyle w:val="List2"/>
            </w:pPr>
            <w:r w:rsidRPr="003A468D">
              <w:t>5.5.</w:t>
            </w:r>
            <w:r w:rsidRPr="003A468D">
              <w:tab/>
              <w:t>Hazard prevention/control measures are removed (where appropriate).</w:t>
            </w:r>
          </w:p>
          <w:p w:rsidR="00000000" w:rsidRPr="003A468D" w:rsidP="003A468D">
            <w:pPr>
              <w:pStyle w:val="List2"/>
            </w:pPr>
            <w:r w:rsidRPr="003A468D">
              <w:t>5.6.</w:t>
            </w:r>
            <w:r w:rsidRPr="003A468D">
              <w:tab/>
            </w:r>
            <w:r w:rsidRPr="003A468D">
              <w:t>All damaged and defective scaffold, associated equipment and scaffold equipment are reported and recorded according to procedures and appropriate action taken.</w:t>
            </w:r>
          </w:p>
        </w:tc>
      </w:tr>
    </w:tbl>
    <w:p w:rsidR="00AE6B28" w:rsidP="003A468D">
      <w:pPr>
        <w:pStyle w:val="BodyText"/>
      </w:pPr>
    </w:p>
    <w:p w:rsidR="00AE6B28" w:rsidP="003A468D">
      <w:pPr>
        <w:pStyle w:val="BodyText"/>
      </w:pPr>
    </w:p>
    <w:p w:rsidR="00000000" w:rsidRPr="003A468D" w:rsidP="003A468D">
      <w:pPr>
        <w:pStyle w:val="Heading1"/>
      </w:pPr>
      <w:bookmarkStart w:id="9" w:name="O_258253"/>
      <w:bookmarkEnd w:id="9"/>
      <w:r w:rsidRPr="003A468D">
        <w:t>Required Skills and Knowledge</w:t>
      </w:r>
    </w:p>
    <w:tbl>
      <w:tblPr>
        <w:tblW w:w="0" w:type="auto"/>
        <w:tblLayout w:type="fixed"/>
        <w:tblCellMar>
          <w:left w:w="62" w:type="dxa"/>
          <w:right w:w="62" w:type="dxa"/>
        </w:tblCellMar>
        <w:tblLook w:val="0000"/>
      </w:tblPr>
      <w:tblGrid>
        <w:gridCol w:w="8522"/>
      </w:tblGrid>
      <w:tr w:rsidTr="00AE6B2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REQUIRED SKILLS AND KNOWLEDGE</w:t>
            </w:r>
          </w:p>
        </w:tc>
      </w:tr>
      <w:tr w:rsidTr="00AE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t>This section describes the skills and knowledge required for this unit.</w:t>
            </w:r>
          </w:p>
        </w:tc>
      </w:tr>
      <w:tr w:rsidTr="00AE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Required skills</w:t>
            </w:r>
          </w:p>
        </w:tc>
      </w:tr>
      <w:tr w:rsidTr="00AE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Required skills for this unit are:</w:t>
            </w:r>
          </w:p>
          <w:p w:rsidR="00000000" w:rsidRPr="003A468D" w:rsidP="003A468D">
            <w:pPr>
              <w:pStyle w:val="ListBullet"/>
            </w:pPr>
            <w:r w:rsidRPr="003A468D">
              <w:t>ability to erect scaffold and scaffolding equipment within the scope of the intermediate scaffolder</w:t>
            </w:r>
          </w:p>
          <w:p w:rsidR="00000000" w:rsidRPr="003A468D" w:rsidP="003A468D">
            <w:pPr>
              <w:pStyle w:val="ListBullet"/>
            </w:pPr>
            <w:r w:rsidRPr="003A468D">
              <w:t>ability to erect, level, plumb and stabilise scaffolds and scaffold equipment within the scope of the intermediate scaffolder</w:t>
            </w:r>
          </w:p>
          <w:p w:rsidR="00000000" w:rsidRPr="003A468D" w:rsidP="003A468D">
            <w:pPr>
              <w:pStyle w:val="ListBullet"/>
            </w:pPr>
            <w:r w:rsidRPr="003A468D">
              <w:t>ability to interpret manufacturer's specifications for plant and equipment</w:t>
            </w:r>
          </w:p>
          <w:p w:rsidR="00000000" w:rsidRPr="003A468D" w:rsidP="003A468D">
            <w:pPr>
              <w:pStyle w:val="ListBullet"/>
            </w:pPr>
            <w:r w:rsidRPr="003A468D">
              <w:t>ability to work safely at heights</w:t>
            </w:r>
          </w:p>
          <w:p w:rsidR="00000000" w:rsidRPr="003A468D" w:rsidP="003A468D">
            <w:pPr>
              <w:pStyle w:val="ListBullet"/>
            </w:pPr>
            <w:r w:rsidRPr="003A468D">
              <w:t>accurate interpretati</w:t>
            </w:r>
            <w:r w:rsidRPr="003A468D">
              <w:t>on of basic structural charts and structural plans</w:t>
            </w:r>
          </w:p>
          <w:p w:rsidR="00000000" w:rsidRPr="003A468D" w:rsidP="003A468D">
            <w:pPr>
              <w:pStyle w:val="ListBullet"/>
            </w:pPr>
            <w:r w:rsidRPr="003A468D">
              <w:t>correct application of all scaffolding equipment</w:t>
            </w:r>
          </w:p>
          <w:p w:rsidR="00000000" w:rsidP="003A468D">
            <w:pPr>
              <w:pStyle w:val="ListBullet"/>
              <w:rPr>
                <w:lang w:val="en-NZ"/>
              </w:rPr>
            </w:pPr>
            <w:r w:rsidRPr="003A468D">
              <w:t>verify problems and equipment faults and demonstrate appropriate response.</w:t>
            </w:r>
          </w:p>
        </w:tc>
      </w:tr>
      <w:tr w:rsidTr="00AE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Required knowledge</w:t>
            </w:r>
          </w:p>
        </w:tc>
      </w:tr>
      <w:tr w:rsidTr="00AE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Required knowledge for this unit is:</w:t>
            </w:r>
          </w:p>
          <w:p w:rsidR="00000000" w:rsidRPr="003A468D" w:rsidP="003A468D">
            <w:pPr>
              <w:pStyle w:val="ListBullet"/>
            </w:pPr>
            <w:r w:rsidRPr="003A468D">
              <w:t>use of appropriate mat</w:t>
            </w:r>
            <w:r w:rsidRPr="003A468D">
              <w:t>hematical procedures for estimation and measurement of loads</w:t>
            </w:r>
          </w:p>
          <w:p w:rsidR="00000000" w:rsidRPr="003A468D" w:rsidP="003A468D">
            <w:pPr>
              <w:pStyle w:val="ListBullet"/>
            </w:pPr>
            <w:r w:rsidRPr="003A468D">
              <w:t xml:space="preserve">Commonwealth, state or territory OHS legislation and local government regulations, including standards and codes of practice relevant to the full range of techniques for undertaking intermediate </w:t>
            </w:r>
            <w:r w:rsidRPr="003A468D">
              <w:t>scaffolding activities</w:t>
            </w:r>
          </w:p>
          <w:p w:rsidR="00000000" w:rsidRPr="003A468D" w:rsidP="003A468D">
            <w:pPr>
              <w:pStyle w:val="ListBullet"/>
            </w:pPr>
            <w:r w:rsidRPr="003A468D">
              <w:t>knowledge of principles relating to plant and equipment stability</w:t>
            </w:r>
          </w:p>
          <w:p w:rsidR="00000000" w:rsidRPr="003A468D" w:rsidP="003A468D">
            <w:pPr>
              <w:pStyle w:val="ListBullet"/>
            </w:pPr>
            <w:r w:rsidRPr="003A468D">
              <w:t>knowledge of types of scaffolding and their application</w:t>
            </w:r>
          </w:p>
          <w:p w:rsidR="00000000" w:rsidRPr="003A468D" w:rsidP="003A468D">
            <w:pPr>
              <w:pStyle w:val="ListBullet"/>
            </w:pPr>
            <w:r w:rsidRPr="003A468D">
              <w:t>knowledge of scaffold and scaffold equipment erection and dismantling techniques</w:t>
            </w:r>
          </w:p>
          <w:p w:rsidR="00000000" w:rsidRPr="003A468D" w:rsidP="003A468D">
            <w:pPr>
              <w:pStyle w:val="ListBullet"/>
            </w:pPr>
            <w:r w:rsidRPr="003A468D">
              <w:t>knowledge of types of scaffold and scaffold equipment, associated with intermediate scaffolding and their use/s</w:t>
            </w:r>
          </w:p>
          <w:p w:rsidR="00000000" w:rsidRPr="003A468D" w:rsidP="003A468D">
            <w:pPr>
              <w:pStyle w:val="ListBullet"/>
            </w:pPr>
            <w:r w:rsidRPr="003A468D">
              <w:t>risk assessment and control, including understanding of the hierarchy of control</w:t>
            </w:r>
          </w:p>
          <w:p w:rsidR="00000000" w:rsidRPr="003A468D" w:rsidP="003A468D">
            <w:pPr>
              <w:pStyle w:val="ListBullet"/>
            </w:pPr>
            <w:r w:rsidRPr="003A468D">
              <w:t>load capabilities of different types of scaffolding constructio</w:t>
            </w:r>
            <w:r w:rsidRPr="003A468D">
              <w:t>ns</w:t>
            </w:r>
          </w:p>
          <w:p w:rsidR="00000000" w:rsidRPr="003A468D" w:rsidP="003A468D">
            <w:pPr>
              <w:pStyle w:val="ListBullet"/>
            </w:pPr>
            <w:r w:rsidRPr="003A468D">
              <w:t>understanding and application of organisational and workplace standards, requirements, policies and procedures for scaffolding</w:t>
            </w:r>
          </w:p>
          <w:p w:rsidR="00000000" w:rsidRPr="003A468D" w:rsidP="003A468D">
            <w:pPr>
              <w:pStyle w:val="ListBullet"/>
            </w:pPr>
            <w:r w:rsidRPr="003A468D">
              <w:t>application of safety equipment applicable to scaffolding</w:t>
            </w:r>
          </w:p>
          <w:p w:rsidR="00000000" w:rsidRPr="003A468D" w:rsidP="003A468D">
            <w:pPr>
              <w:pStyle w:val="ListBullet"/>
            </w:pPr>
            <w:r w:rsidRPr="003A468D">
              <w:t>understanding and application of the inspection and maintenance requ</w:t>
            </w:r>
            <w:r w:rsidRPr="003A468D">
              <w:t>irements for intermediate scaffold, associated equipment and scaffold equipment</w:t>
            </w:r>
          </w:p>
          <w:p w:rsidR="00000000" w:rsidRPr="003A468D" w:rsidP="003A468D">
            <w:pPr>
              <w:pStyle w:val="ListBullet"/>
            </w:pPr>
            <w:r w:rsidRPr="003A468D">
              <w:t>uses and limitations of tools and equipment, appropriate to scaffolding tasks and activities.</w:t>
            </w:r>
          </w:p>
        </w:tc>
      </w:tr>
    </w:tbl>
    <w:p w:rsidR="00AE6B28" w:rsidP="003A468D">
      <w:pPr>
        <w:pStyle w:val="BodyText"/>
      </w:pPr>
    </w:p>
    <w:p w:rsidR="00AE6B28" w:rsidP="003A468D">
      <w:pPr>
        <w:pStyle w:val="BodyText"/>
      </w:pPr>
    </w:p>
    <w:p w:rsidR="00000000" w:rsidRPr="003A468D" w:rsidP="003A468D">
      <w:pPr>
        <w:pStyle w:val="Heading1"/>
      </w:pPr>
      <w:bookmarkStart w:id="10" w:name="O_242287"/>
      <w:bookmarkEnd w:id="10"/>
      <w:r w:rsidRPr="003A468D">
        <w:t>Evidence Guide</w:t>
      </w:r>
    </w:p>
    <w:tbl>
      <w:tblPr>
        <w:tblW w:w="0" w:type="auto"/>
        <w:tblLayout w:type="fixed"/>
        <w:tblCellMar>
          <w:left w:w="62" w:type="dxa"/>
          <w:right w:w="62" w:type="dxa"/>
        </w:tblCellMar>
        <w:tblLook w:val="0000"/>
      </w:tblPr>
      <w:tblGrid>
        <w:gridCol w:w="3441"/>
        <w:gridCol w:w="5081"/>
      </w:tblGrid>
      <w:tr w:rsidTr="00AE6B2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A468D">
            <w:pPr>
              <w:pStyle w:val="BodyText"/>
              <w:rPr>
                <w:lang w:val="en-NZ"/>
              </w:rPr>
            </w:pPr>
            <w:r w:rsidRPr="003A468D">
              <w:rPr>
                <w:rStyle w:val="SpecialBold"/>
              </w:rPr>
              <w:t>EVIDENCE GUIDE</w:t>
            </w:r>
          </w:p>
        </w:tc>
      </w:tr>
      <w:tr w:rsidTr="00AE6B2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A468D">
            <w:pPr>
              <w:pStyle w:val="BodyText"/>
              <w:rPr>
                <w:lang w:val="en-NZ"/>
              </w:rPr>
            </w:pPr>
            <w:r w:rsidRPr="003A468D">
              <w:t>The evidence guide provides advice on assessment and must be read in conjunction with the performance criteria, required skills and knowledge, range statement and the Assessment Guidelines for the Training Package.</w:t>
            </w:r>
          </w:p>
        </w:tc>
      </w:tr>
      <w:tr w:rsidTr="00AE6B28">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 xml:space="preserve">Successful assessment of this unit meets the competency requirement of the National Standard for licensing Persons Performing High Risk Work. </w:t>
            </w:r>
          </w:p>
          <w:p w:rsidR="00000000" w:rsidP="003A468D">
            <w:pPr>
              <w:pStyle w:val="BodyText"/>
              <w:rPr>
                <w:lang w:val="en-NZ"/>
              </w:rPr>
            </w:pPr>
            <w:r w:rsidRPr="003A468D">
              <w:t>State/Territory OHS regulators have mandated the use of Assessment Instruments and Instructions for Assessment en</w:t>
            </w:r>
            <w:r w:rsidRPr="003A468D">
              <w:t xml:space="preserve">dorsed by the national body responsible for OHS matters for the assessment of this unit. </w:t>
            </w:r>
          </w:p>
        </w:tc>
      </w:tr>
      <w:tr w:rsidTr="00AE6B28">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A person who demonstrates competency in this unit must be able to provid</w:t>
            </w:r>
            <w:r w:rsidRPr="003A468D">
              <w:t xml:space="preserve">e evidence of the ability to: </w:t>
            </w:r>
          </w:p>
          <w:p w:rsidR="00000000" w:rsidRPr="003A468D" w:rsidP="003A468D">
            <w:pPr>
              <w:pStyle w:val="ListBullet"/>
            </w:pPr>
            <w:r w:rsidRPr="003A468D">
              <w:t>Effectively communicate and work safely with others in the work area.</w:t>
            </w:r>
          </w:p>
          <w:p w:rsidR="00000000" w:rsidRPr="003A468D" w:rsidP="003A468D">
            <w:pPr>
              <w:pStyle w:val="ListBullet"/>
            </w:pPr>
            <w:r w:rsidRPr="003A468D">
              <w:t>Effectively apply risk assessment and hazard management procedures at an intermediate scaffolder level.</w:t>
            </w:r>
          </w:p>
          <w:p w:rsidR="00000000" w:rsidRPr="003A468D" w:rsidP="003A468D">
            <w:pPr>
              <w:pStyle w:val="ListBullet"/>
            </w:pPr>
            <w:r w:rsidRPr="003A468D">
              <w:t>Effectively complete the planning, erection and di</w:t>
            </w:r>
            <w:r w:rsidRPr="003A468D">
              <w:t>smantling of scaffolding systems, in accordance with procedures, including a minimum of erect and dismantle the following:</w:t>
            </w:r>
          </w:p>
          <w:p w:rsidR="00000000" w:rsidRPr="003A468D" w:rsidP="003A468D">
            <w:pPr>
              <w:pStyle w:val="ListBullet2"/>
            </w:pPr>
            <w:r w:rsidRPr="003A468D">
              <w:t>Cantilevered and spurred scaffolds</w:t>
            </w:r>
          </w:p>
          <w:p w:rsidR="00000000" w:rsidRPr="003A468D" w:rsidP="003A468D">
            <w:pPr>
              <w:pStyle w:val="ListBullet2"/>
            </w:pPr>
            <w:r w:rsidRPr="003A468D">
              <w:t>Barrow ramps and/ or sloping platforms</w:t>
            </w:r>
          </w:p>
          <w:p w:rsidR="00000000" w:rsidRPr="003A468D" w:rsidP="003A468D">
            <w:pPr>
              <w:pStyle w:val="ListBullet2"/>
            </w:pPr>
            <w:r w:rsidRPr="003A468D">
              <w:t>Tube and coupler scaffolds</w:t>
            </w:r>
          </w:p>
          <w:p w:rsidR="00000000" w:rsidRPr="003A468D" w:rsidP="003A468D">
            <w:pPr>
              <w:pStyle w:val="ListBullet2"/>
            </w:pPr>
            <w:r w:rsidRPr="003A468D">
              <w:t>Cantilevered crane-loading platforms</w:t>
            </w:r>
          </w:p>
          <w:p w:rsidR="00000000" w:rsidRPr="003A468D" w:rsidP="003A468D">
            <w:pPr>
              <w:pStyle w:val="ListBullet2"/>
            </w:pPr>
            <w:r w:rsidRPr="003A468D">
              <w:t>Mast climbers</w:t>
            </w:r>
          </w:p>
          <w:p w:rsidR="00000000" w:rsidRPr="003A468D" w:rsidP="003A468D">
            <w:pPr>
              <w:pStyle w:val="BodyText"/>
            </w:pPr>
            <w:r w:rsidRPr="003A468D">
              <w:t>Cantilevered, spurred and tube and coupler scaffolds to be of a minimum height of 5.0 metres above the supporting surface with full edge protection, for each work platform including toe boards and handrail</w:t>
            </w:r>
            <w:r w:rsidRPr="003A468D">
              <w:t xml:space="preserve">s. </w:t>
            </w:r>
          </w:p>
          <w:p w:rsidR="00000000" w:rsidRPr="003A468D" w:rsidP="003A468D">
            <w:pPr>
              <w:pStyle w:val="ListBullet"/>
            </w:pPr>
            <w:r w:rsidRPr="003A468D">
              <w:t>Apply safety screen to tube and coupler scaffold.</w:t>
            </w:r>
          </w:p>
          <w:p w:rsidR="00000000" w:rsidRPr="003A468D" w:rsidP="003A468D">
            <w:pPr>
              <w:pStyle w:val="ListBullet"/>
            </w:pPr>
            <w:r w:rsidRPr="003A468D">
              <w:t>Effectively conduct compliance inspections of scaffold and scaffold equipment for intermediate scaffolding.</w:t>
            </w:r>
          </w:p>
          <w:p w:rsidR="00000000" w:rsidP="003A468D">
            <w:pPr>
              <w:pStyle w:val="ListBullet"/>
              <w:rPr>
                <w:lang w:val="en-NZ"/>
              </w:rPr>
            </w:pPr>
            <w:r w:rsidRPr="003A468D">
              <w:t>Complete handover certificate as required.</w:t>
            </w:r>
          </w:p>
        </w:tc>
      </w:tr>
      <w:tr w:rsidTr="00AE6B28">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Assessment of the safe and effective application of knowledge and skill to workplace tasks (performance) must be undertaken using the National OHS endorsed Assessment Instrument.</w:t>
            </w:r>
          </w:p>
          <w:p w:rsidR="00000000" w:rsidRPr="003A468D" w:rsidP="003A468D">
            <w:pPr>
              <w:pStyle w:val="ListBullet"/>
            </w:pPr>
            <w:r w:rsidRPr="003A468D">
              <w:t>Assessment of performance must be undertaken either in the workplace or in a</w:t>
            </w:r>
            <w:r w:rsidRPr="003A468D">
              <w:t xml:space="preserve"> realistically simulated workplace setting.</w:t>
            </w:r>
          </w:p>
          <w:p w:rsidR="00000000" w:rsidRPr="003A468D" w:rsidP="003A468D">
            <w:pPr>
              <w:pStyle w:val="ListBullet"/>
            </w:pPr>
            <w:r w:rsidRPr="003A468D">
              <w:t>Assessors must ensure that the assessment in the workplace is organised to ensure that all the required equipment and materials and a suitable working area is made available to suit the assessment and the workpla</w:t>
            </w:r>
            <w:r w:rsidRPr="003A468D">
              <w:t>ce.</w:t>
            </w:r>
          </w:p>
          <w:p w:rsidR="00000000" w:rsidRPr="003A468D" w:rsidP="003A468D">
            <w:pPr>
              <w:pStyle w:val="ListBullet"/>
            </w:pPr>
            <w:r w:rsidRPr="003A468D">
              <w:t>Assessment must occur under standard and authorised work practices, safety requirements and environmental constraints for intermediate scaffolding.</w:t>
            </w:r>
          </w:p>
          <w:p w:rsidR="00000000" w:rsidRPr="003A468D" w:rsidP="003A468D">
            <w:pPr>
              <w:pStyle w:val="ListBullet"/>
            </w:pPr>
            <w:r w:rsidRPr="003A468D">
              <w:t>Applicants must have access to:</w:t>
            </w:r>
          </w:p>
          <w:p w:rsidR="00000000" w:rsidRPr="003A468D" w:rsidP="003A468D">
            <w:pPr>
              <w:pStyle w:val="ListBullet2"/>
            </w:pPr>
            <w:r w:rsidRPr="003A468D">
              <w:t xml:space="preserve">personal protective equipment (PPE) for the purpose of the Performance </w:t>
            </w:r>
            <w:r w:rsidRPr="003A468D">
              <w:t>Assessment</w:t>
            </w:r>
          </w:p>
          <w:p w:rsidR="00000000" w:rsidRPr="003A468D" w:rsidP="003A468D">
            <w:pPr>
              <w:pStyle w:val="ListBullet2"/>
            </w:pPr>
            <w:r w:rsidRPr="003A468D">
              <w:t>appropriate safety equipment in safe condition</w:t>
            </w:r>
          </w:p>
          <w:p w:rsidR="00000000" w:rsidRPr="003A468D" w:rsidP="003A468D">
            <w:pPr>
              <w:pStyle w:val="ListBullet2"/>
            </w:pPr>
            <w:r w:rsidRPr="003A468D">
              <w:t>appropriate scaffold and scaffold equipment in safe condition</w:t>
            </w:r>
          </w:p>
          <w:p w:rsidR="00000000" w:rsidRPr="003A468D" w:rsidP="003A468D">
            <w:pPr>
              <w:pStyle w:val="ListBullet2"/>
            </w:pPr>
            <w:r w:rsidRPr="003A468D">
              <w:t>site information as described in the mandated assessment instrument</w:t>
            </w:r>
          </w:p>
          <w:p w:rsidR="00000000" w:rsidRPr="003A468D" w:rsidP="003A468D">
            <w:pPr>
              <w:pStyle w:val="ListBullet2"/>
            </w:pPr>
            <w:r w:rsidRPr="003A468D">
              <w:t>communication equipment (e.g. fixed channel two way radios) where applicable</w:t>
            </w:r>
          </w:p>
          <w:p w:rsidR="00000000" w:rsidP="003A468D">
            <w:pPr>
              <w:pStyle w:val="ListBullet2"/>
              <w:rPr>
                <w:lang w:val="en-NZ"/>
              </w:rPr>
            </w:pPr>
            <w:r w:rsidRPr="003A468D">
              <w:t>appropriate personnel to assist with the erecting and dismantling of scaffold and scaffold equipment.</w:t>
            </w:r>
          </w:p>
        </w:tc>
      </w:tr>
      <w:tr w:rsidTr="00AE6B28">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Assessment must be conducted using the national OHS end</w:t>
            </w:r>
            <w:r w:rsidRPr="003A468D">
              <w:t xml:space="preserve">orsed Assessment Instruments. These Instruments provide advice on their application. </w:t>
            </w:r>
          </w:p>
          <w:p w:rsidR="00000000" w:rsidRPr="003A468D" w:rsidP="003A468D">
            <w:pPr>
              <w:pStyle w:val="BodyText"/>
            </w:pPr>
            <w:r w:rsidRPr="003A468D">
              <w:t xml:space="preserve">Assessment may be in conjunction with the assessment of other units of competency. </w:t>
            </w:r>
          </w:p>
          <w:p w:rsidR="00000000" w:rsidRPr="003A468D" w:rsidP="003A468D">
            <w:pPr>
              <w:pStyle w:val="BodyText"/>
            </w:pPr>
            <w:r w:rsidRPr="003A468D">
              <w:t xml:space="preserve">The use of </w:t>
            </w:r>
            <w:r w:rsidRPr="003A468D">
              <w:rPr>
                <w:rStyle w:val="SpecialBold"/>
              </w:rPr>
              <w:t>'simulators'</w:t>
            </w:r>
            <w:r w:rsidRPr="003A468D">
              <w:t xml:space="preserve"> in the assessment of this unit of competency is </w:t>
            </w:r>
            <w:r w:rsidRPr="003A468D">
              <w:rPr>
                <w:rStyle w:val="SpecialBold"/>
              </w:rPr>
              <w:t>not acceptable</w:t>
            </w:r>
            <w:r w:rsidRPr="003A468D">
              <w:t>.</w:t>
            </w:r>
          </w:p>
          <w:p w:rsidR="00000000" w:rsidRPr="003A468D" w:rsidP="003A468D">
            <w:pPr>
              <w:pStyle w:val="BodyText"/>
            </w:pPr>
            <w:r w:rsidRPr="003A468D">
              <w:t xml:space="preserve">Assessment methods must confirm consistency and accuracy of performance together with application of underpinning knowledge. </w:t>
            </w:r>
          </w:p>
          <w:p w:rsidR="00000000" w:rsidP="003A468D">
            <w:pPr>
              <w:pStyle w:val="BodyText"/>
              <w:rPr>
                <w:lang w:val="en-NZ"/>
              </w:rPr>
            </w:pPr>
            <w:r w:rsidRPr="003A468D">
              <w:t>Assessment must confirm a reasonable inference that competency is not only able to be satisfied under the particular circumstanc</w:t>
            </w:r>
            <w:r w:rsidRPr="003A468D">
              <w:t xml:space="preserve">e, but is able to be transferred to other circumstances. </w:t>
            </w:r>
          </w:p>
        </w:tc>
      </w:tr>
      <w:tr w:rsidTr="00AE6B28">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Guidance information for assessment</w:t>
            </w:r>
          </w:p>
        </w:tc>
        <w:tc>
          <w:tcPr>
            <w:tcW w:w="5081"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 xml:space="preserve">Further information about endorsed assessment instruments may be obtained from state/territory OHS regulators. </w:t>
            </w:r>
          </w:p>
        </w:tc>
      </w:tr>
    </w:tbl>
    <w:p w:rsidR="00AE6B28" w:rsidP="003A468D">
      <w:pPr>
        <w:pStyle w:val="BodyText"/>
      </w:pPr>
    </w:p>
    <w:p w:rsidR="00AE6B28" w:rsidP="003A468D">
      <w:pPr>
        <w:pStyle w:val="BodyText"/>
      </w:pPr>
    </w:p>
    <w:p w:rsidR="00000000" w:rsidRPr="003A468D" w:rsidP="003A468D">
      <w:pPr>
        <w:pStyle w:val="Heading1"/>
      </w:pPr>
      <w:bookmarkStart w:id="11" w:name="O_250270"/>
      <w:bookmarkEnd w:id="11"/>
      <w:r w:rsidRPr="003A468D">
        <w:t>Range Statement</w:t>
      </w:r>
    </w:p>
    <w:tbl>
      <w:tblPr>
        <w:tblW w:w="0" w:type="auto"/>
        <w:tblLayout w:type="fixed"/>
        <w:tblCellMar>
          <w:left w:w="62" w:type="dxa"/>
          <w:right w:w="62" w:type="dxa"/>
        </w:tblCellMar>
        <w:tblLook w:val="0000"/>
      </w:tblPr>
      <w:tblGrid>
        <w:gridCol w:w="3558"/>
        <w:gridCol w:w="4964"/>
      </w:tblGrid>
      <w:tr w:rsidTr="00AE6B2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A468D">
            <w:pPr>
              <w:pStyle w:val="BodyText"/>
              <w:rPr>
                <w:lang w:val="en-NZ"/>
              </w:rPr>
            </w:pPr>
            <w:r w:rsidRPr="003A468D">
              <w:rPr>
                <w:rStyle w:val="SpecialBold"/>
              </w:rPr>
              <w:t>RANGE STATEMENT</w:t>
            </w:r>
          </w:p>
        </w:tc>
      </w:tr>
      <w:tr w:rsidTr="00AE6B2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A468D">
            <w:pPr>
              <w:pStyle w:val="BodyText"/>
              <w:rPr>
                <w:lang w:val="en-NZ"/>
              </w:rPr>
            </w:pPr>
            <w:r w:rsidRPr="003A468D">
              <w:t>The range statement relates to the unit of competency as a whole. It allows for different work environments and situations that may affect performance. Bold italicised wording, if used in the performance criteria, is detailed below. Essen</w:t>
            </w:r>
            <w:r w:rsidRPr="003A468D">
              <w:t>tial operating conditions that may be present with training and assessment (depending on the work situation, needs of the candidate, accessibility of the item, and local industry and regional contexts) may also be included.</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Hazards</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ground conditions (e.g. ground bearing pressure/s, back filled trenches, underground services, slopes)</w:t>
            </w:r>
          </w:p>
          <w:p w:rsidR="00000000" w:rsidRPr="003A468D" w:rsidP="003A468D">
            <w:pPr>
              <w:pStyle w:val="ListBullet"/>
            </w:pPr>
            <w:r w:rsidRPr="003A468D">
              <w:t>overhead hazards (e.g. power lines, service pipes) (minimum clearance distance from powerlines or electrical equipment</w:t>
            </w:r>
            <w:r w:rsidRPr="003A468D">
              <w:t xml:space="preserve"> as determined by relevant state authority or electrical supply authority.)</w:t>
            </w:r>
          </w:p>
          <w:p w:rsidR="00000000" w:rsidRPr="003A468D" w:rsidP="003A468D">
            <w:pPr>
              <w:pStyle w:val="ListBullet"/>
            </w:pPr>
            <w:r w:rsidRPr="003A468D">
              <w:t>traffic (e.g. pedestrians, vehicles, other plant)</w:t>
            </w:r>
          </w:p>
          <w:p w:rsidR="00000000" w:rsidRPr="003A468D" w:rsidP="003A468D">
            <w:pPr>
              <w:pStyle w:val="ListBullet"/>
            </w:pPr>
            <w:r w:rsidRPr="003A468D">
              <w:t>insufficient lighting</w:t>
            </w:r>
          </w:p>
          <w:p w:rsidR="00000000" w:rsidRPr="003A468D" w:rsidP="003A468D">
            <w:pPr>
              <w:pStyle w:val="ListBullet"/>
            </w:pPr>
            <w:r w:rsidRPr="003A468D">
              <w:t>environmental conditions (e.g. wind, lightning, storms)</w:t>
            </w:r>
          </w:p>
          <w:p w:rsidR="00000000" w:rsidP="003A468D">
            <w:pPr>
              <w:pStyle w:val="ListBullet"/>
              <w:rPr>
                <w:lang w:val="en-NZ"/>
              </w:rPr>
            </w:pPr>
            <w:r w:rsidRPr="003A468D">
              <w:t>other site specific hazards (e.g. hazardous material</w:t>
            </w:r>
            <w:r w:rsidRPr="003A468D">
              <w:t>s).</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Hazard control measures</w:t>
            </w:r>
            <w:r w:rsidRPr="003A468D">
              <w:t>:</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 xml:space="preserve">Refers to the systematic process of eliminating or reducing the risk to personnel and property through the application of controls. </w:t>
            </w:r>
          </w:p>
          <w:p w:rsidR="00000000" w:rsidRPr="003A468D" w:rsidP="003A468D">
            <w:pPr>
              <w:pStyle w:val="BodyText"/>
            </w:pPr>
            <w:r w:rsidRPr="003A468D">
              <w:t xml:space="preserve">It includes the application of the hierarchy of control, the six-step preference of control measures to manage and control risk: </w:t>
            </w:r>
          </w:p>
          <w:p w:rsidR="00000000" w:rsidRPr="003A468D" w:rsidP="003A468D">
            <w:pPr>
              <w:pStyle w:val="ListBullet"/>
            </w:pPr>
            <w:r w:rsidRPr="003A468D">
              <w:t>elimination</w:t>
            </w:r>
          </w:p>
          <w:p w:rsidR="00000000" w:rsidRPr="003A468D" w:rsidP="003A468D">
            <w:pPr>
              <w:pStyle w:val="ListBullet"/>
            </w:pPr>
            <w:r w:rsidRPr="003A468D">
              <w:t>substitution</w:t>
            </w:r>
          </w:p>
          <w:p w:rsidR="00000000" w:rsidRPr="003A468D" w:rsidP="003A468D">
            <w:pPr>
              <w:pStyle w:val="ListBullet"/>
            </w:pPr>
            <w:r w:rsidRPr="003A468D">
              <w:t>isolation</w:t>
            </w:r>
          </w:p>
          <w:p w:rsidR="00000000" w:rsidRPr="003A468D" w:rsidP="003A468D">
            <w:pPr>
              <w:pStyle w:val="ListBullet"/>
            </w:pPr>
            <w:r w:rsidRPr="003A468D">
              <w:t>engineering control measures</w:t>
            </w:r>
          </w:p>
          <w:p w:rsidR="00000000" w:rsidRPr="003A468D" w:rsidP="003A468D">
            <w:pPr>
              <w:pStyle w:val="ListBullet"/>
            </w:pPr>
            <w:r w:rsidRPr="003A468D">
              <w:t>using safe work practices</w:t>
            </w:r>
          </w:p>
          <w:p w:rsidR="00000000" w:rsidP="003A468D">
            <w:pPr>
              <w:pStyle w:val="ListBullet"/>
              <w:rPr>
                <w:lang w:val="en-NZ"/>
              </w:rPr>
            </w:pPr>
            <w:r w:rsidRPr="003A468D">
              <w:t>personal protective equipment.</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App</w:t>
            </w:r>
            <w:r w:rsidRPr="003A468D">
              <w:rPr>
                <w:rStyle w:val="BoldandItalics"/>
              </w:rPr>
              <w:t>ropriate standards</w:t>
            </w:r>
            <w:r w:rsidRPr="003A468D">
              <w:t xml:space="preserve"> may include: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codes of practice</w:t>
            </w:r>
          </w:p>
          <w:p w:rsidR="00000000" w:rsidRPr="003A468D" w:rsidP="003A468D">
            <w:pPr>
              <w:pStyle w:val="ListBullet"/>
            </w:pPr>
            <w:r w:rsidRPr="003A468D">
              <w:t>legislation</w:t>
            </w:r>
          </w:p>
          <w:p w:rsidR="00000000" w:rsidRPr="003A468D" w:rsidP="003A468D">
            <w:pPr>
              <w:pStyle w:val="ListBullet"/>
            </w:pPr>
            <w:r w:rsidRPr="003A468D">
              <w:t>Australian Standards</w:t>
            </w:r>
          </w:p>
          <w:p w:rsidR="00000000" w:rsidRPr="003A468D" w:rsidP="003A468D">
            <w:pPr>
              <w:pStyle w:val="ListBullet"/>
            </w:pPr>
            <w:r w:rsidRPr="003A468D">
              <w:t>manufacturer's specifications</w:t>
            </w:r>
          </w:p>
          <w:p w:rsidR="00000000" w:rsidP="003A468D">
            <w:pPr>
              <w:pStyle w:val="ListBullet"/>
              <w:rPr>
                <w:lang w:val="en-NZ"/>
              </w:rPr>
            </w:pPr>
            <w:r w:rsidRPr="003A468D">
              <w:t>industry standards (where applicable).</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Site Information</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local conditions such as access and egress</w:t>
            </w:r>
          </w:p>
          <w:p w:rsidR="00000000" w:rsidRPr="003A468D" w:rsidP="003A468D">
            <w:pPr>
              <w:pStyle w:val="ListBullet"/>
            </w:pPr>
            <w:r w:rsidRPr="003A468D">
              <w:t>work method statements</w:t>
            </w:r>
          </w:p>
          <w:p w:rsidR="00000000" w:rsidRPr="003A468D" w:rsidP="003A468D">
            <w:pPr>
              <w:pStyle w:val="ListBullet"/>
            </w:pPr>
            <w:r w:rsidRPr="003A468D">
              <w:t>site-specific job safety analyses and other documentation as required</w:t>
            </w:r>
          </w:p>
          <w:p w:rsidR="00000000" w:rsidP="003A468D">
            <w:pPr>
              <w:pStyle w:val="ListBullet"/>
              <w:rPr>
                <w:lang w:val="en-NZ"/>
              </w:rPr>
            </w:pPr>
            <w:r w:rsidRPr="003A468D">
              <w:t>task plans.</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Scaffold</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all scaffolds at the basis level</w:t>
            </w:r>
          </w:p>
          <w:p w:rsidR="00000000" w:rsidRPr="003A468D" w:rsidP="003A468D">
            <w:pPr>
              <w:pStyle w:val="ListBullet"/>
            </w:pPr>
            <w:r w:rsidRPr="003A468D">
              <w:t>cantilevered and spurred scaffolds</w:t>
            </w:r>
          </w:p>
          <w:p w:rsidR="00000000" w:rsidRPr="003A468D" w:rsidP="003A468D">
            <w:pPr>
              <w:pStyle w:val="ListBullet"/>
            </w:pPr>
            <w:r w:rsidRPr="003A468D">
              <w:t>barrow ramps and sloping platforms</w:t>
            </w:r>
          </w:p>
          <w:p w:rsidR="00000000" w:rsidRPr="003A468D" w:rsidP="003A468D">
            <w:pPr>
              <w:pStyle w:val="ListBullet"/>
            </w:pPr>
            <w:r w:rsidRPr="003A468D">
              <w:t>tube</w:t>
            </w:r>
            <w:r w:rsidRPr="003A468D">
              <w:t xml:space="preserve"> and coupler scaffolds (including tube and coupler covered ways and gantries)</w:t>
            </w:r>
          </w:p>
          <w:p w:rsidR="00000000" w:rsidP="003A468D">
            <w:pPr>
              <w:pStyle w:val="ListBullet"/>
              <w:rPr>
                <w:lang w:val="en-NZ"/>
              </w:rPr>
            </w:pPr>
            <w:r w:rsidRPr="003A468D">
              <w:t>cantilever loading platforms.</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Associated equipment</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all associated equipment from basic scaffolding level</w:t>
            </w:r>
          </w:p>
          <w:p w:rsidR="00000000" w:rsidP="003A468D">
            <w:pPr>
              <w:pStyle w:val="ListBullet"/>
              <w:rPr>
                <w:lang w:val="en-NZ"/>
              </w:rPr>
            </w:pPr>
            <w:r w:rsidRPr="003A468D">
              <w:t>independent adjustable props.</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Scaffold equipment</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all scaffold equipment at the basic level</w:t>
            </w:r>
          </w:p>
          <w:p w:rsidR="00000000" w:rsidRPr="003A468D" w:rsidP="003A468D">
            <w:pPr>
              <w:pStyle w:val="ListBullet"/>
            </w:pPr>
            <w:r w:rsidRPr="003A468D">
              <w:t>mast climbers</w:t>
            </w:r>
          </w:p>
          <w:p w:rsidR="00000000" w:rsidP="003A468D">
            <w:pPr>
              <w:pStyle w:val="ListBullet"/>
              <w:rPr>
                <w:lang w:val="en-NZ"/>
              </w:rPr>
            </w:pPr>
            <w:r w:rsidRPr="003A468D">
              <w:t>screen and shutters.</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Appropriate personnel</w:t>
            </w:r>
            <w:r w:rsidRPr="003A468D">
              <w:t xml:space="preserve"> may include, but are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supervisors</w:t>
            </w:r>
          </w:p>
          <w:p w:rsidR="00000000" w:rsidRPr="003A468D" w:rsidP="003A468D">
            <w:pPr>
              <w:pStyle w:val="ListBullet"/>
            </w:pPr>
            <w:r w:rsidRPr="003A468D">
              <w:t>colleagues</w:t>
            </w:r>
          </w:p>
          <w:p w:rsidR="00000000" w:rsidRPr="003A468D" w:rsidP="003A468D">
            <w:pPr>
              <w:pStyle w:val="ListBullet"/>
            </w:pPr>
            <w:r w:rsidRPr="003A468D">
              <w:t>managers who are authorised to take respo</w:t>
            </w:r>
            <w:r w:rsidRPr="003A468D">
              <w:t>nsibility for the workplace or operations</w:t>
            </w:r>
          </w:p>
          <w:p w:rsidR="00000000" w:rsidRPr="003A468D" w:rsidP="003A468D">
            <w:pPr>
              <w:pStyle w:val="ListBullet"/>
            </w:pPr>
            <w:r w:rsidRPr="003A468D">
              <w:t>other scaffolders</w:t>
            </w:r>
          </w:p>
          <w:p w:rsidR="00000000" w:rsidP="003A468D">
            <w:pPr>
              <w:pStyle w:val="ListBullet"/>
              <w:rPr>
                <w:lang w:val="en-NZ"/>
              </w:rPr>
            </w:pPr>
            <w:r w:rsidRPr="003A468D">
              <w:t>other site personnel as applicable.</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Safety equipment</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safety harness</w:t>
            </w:r>
          </w:p>
          <w:p w:rsidR="00000000" w:rsidRPr="003A468D" w:rsidP="003A468D">
            <w:pPr>
              <w:pStyle w:val="ListBullet"/>
            </w:pPr>
            <w:r w:rsidRPr="003A468D">
              <w:t>energy absorber</w:t>
            </w:r>
          </w:p>
          <w:p w:rsidR="00000000" w:rsidRPr="003A468D" w:rsidP="003A468D">
            <w:pPr>
              <w:pStyle w:val="ListBullet"/>
            </w:pPr>
            <w:r w:rsidRPr="003A468D">
              <w:t>lanyard</w:t>
            </w:r>
          </w:p>
          <w:p w:rsidR="00000000" w:rsidP="003A468D">
            <w:pPr>
              <w:pStyle w:val="ListBullet"/>
              <w:rPr>
                <w:lang w:val="en-NZ"/>
              </w:rPr>
            </w:pPr>
            <w:r w:rsidRPr="003A468D">
              <w:t>inertia reel.</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Forces and Loads</w:t>
            </w:r>
            <w:r w:rsidRPr="003A468D">
              <w:t xml:space="preserve"> may include, but are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dead loads</w:t>
            </w:r>
          </w:p>
          <w:p w:rsidR="00000000" w:rsidRPr="003A468D" w:rsidP="003A468D">
            <w:pPr>
              <w:pStyle w:val="ListBullet"/>
            </w:pPr>
            <w:r w:rsidRPr="003A468D">
              <w:t>live loads</w:t>
            </w:r>
          </w:p>
          <w:p w:rsidR="00000000" w:rsidRPr="003A468D" w:rsidP="003A468D">
            <w:pPr>
              <w:pStyle w:val="ListBullet"/>
            </w:pPr>
            <w:r w:rsidRPr="003A468D">
              <w:t>static load</w:t>
            </w:r>
          </w:p>
          <w:p w:rsidR="00000000" w:rsidRPr="003A468D" w:rsidP="003A468D">
            <w:pPr>
              <w:pStyle w:val="ListBullet"/>
            </w:pPr>
            <w:r w:rsidRPr="003A468D">
              <w:t>dynamic loads</w:t>
            </w:r>
          </w:p>
          <w:p w:rsidR="00000000" w:rsidP="003A468D">
            <w:pPr>
              <w:pStyle w:val="ListBullet"/>
              <w:rPr>
                <w:lang w:val="en-NZ"/>
              </w:rPr>
            </w:pPr>
            <w:r w:rsidRPr="003A468D">
              <w:t>wind loads.</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Communication Methods</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verbal and non-verbal language</w:t>
            </w:r>
          </w:p>
          <w:p w:rsidR="00000000" w:rsidRPr="003A468D" w:rsidP="003A468D">
            <w:pPr>
              <w:pStyle w:val="ListBullet"/>
            </w:pPr>
            <w:r w:rsidRPr="003A468D">
              <w:t>written instructions</w:t>
            </w:r>
          </w:p>
          <w:p w:rsidR="00000000" w:rsidRPr="003A468D" w:rsidP="003A468D">
            <w:pPr>
              <w:pStyle w:val="ListBullet"/>
            </w:pPr>
            <w:r w:rsidRPr="003A468D">
              <w:t>signage</w:t>
            </w:r>
          </w:p>
          <w:p w:rsidR="00000000" w:rsidRPr="003A468D" w:rsidP="003A468D">
            <w:pPr>
              <w:pStyle w:val="ListBullet"/>
            </w:pPr>
            <w:r w:rsidRPr="003A468D">
              <w:t>communication signals</w:t>
            </w:r>
          </w:p>
          <w:p w:rsidR="00000000" w:rsidRPr="003A468D" w:rsidP="003A468D">
            <w:pPr>
              <w:pStyle w:val="ListBullet"/>
            </w:pPr>
            <w:r w:rsidRPr="003A468D">
              <w:t>listening</w:t>
            </w:r>
          </w:p>
          <w:p w:rsidR="00000000" w:rsidP="003A468D">
            <w:pPr>
              <w:pStyle w:val="ListBullet"/>
              <w:rPr>
                <w:lang w:val="en-NZ"/>
              </w:rPr>
            </w:pPr>
            <w:r w:rsidRPr="003A468D">
              <w:t>questioning to confirm understanding, and appropriate worksite protocol.</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Procedures</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manufacturer's guidelines (instructions, specifications or checklists)</w:t>
            </w:r>
          </w:p>
          <w:p w:rsidR="00000000" w:rsidRPr="003A468D" w:rsidP="003A468D">
            <w:pPr>
              <w:pStyle w:val="ListBullet"/>
            </w:pPr>
            <w:r w:rsidRPr="003A468D">
              <w:t>industry operating procedures, relevant codes of practice</w:t>
            </w:r>
          </w:p>
          <w:p w:rsidR="00000000" w:rsidRPr="003A468D" w:rsidP="003A468D">
            <w:pPr>
              <w:pStyle w:val="ListBullet"/>
            </w:pPr>
            <w:r w:rsidRPr="003A468D">
              <w:t>workplac</w:t>
            </w:r>
            <w:r w:rsidRPr="003A468D">
              <w:t>e procedures (work instructions, operating procedures, checklists)</w:t>
            </w:r>
          </w:p>
          <w:p w:rsidR="00000000" w:rsidP="003A468D">
            <w:pPr>
              <w:pStyle w:val="ListBullet"/>
              <w:rPr>
                <w:lang w:val="en-NZ"/>
              </w:rPr>
            </w:pPr>
            <w:r w:rsidRPr="003A468D">
              <w:t>reporting and recording procedures such as e.g. scaffold and scaffold equipment defects.</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Communication equipment</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fixed frequency two way radios</w:t>
            </w:r>
          </w:p>
          <w:p w:rsidR="00000000" w:rsidP="003A468D">
            <w:pPr>
              <w:pStyle w:val="ListBullet"/>
              <w:rPr>
                <w:lang w:val="en-NZ"/>
              </w:rPr>
            </w:pPr>
            <w:r w:rsidRPr="003A468D">
              <w:t>mobile phones.</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Hazard prevention</w:t>
            </w:r>
            <w:r w:rsidRPr="003A468D">
              <w:t>/</w:t>
            </w:r>
            <w:r w:rsidRPr="003A468D">
              <w:rPr>
                <w:rStyle w:val="BoldandItalics"/>
              </w:rPr>
              <w:t>control measures</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safety tags on electrical switches/isolators</w:t>
            </w:r>
          </w:p>
          <w:p w:rsidR="00000000" w:rsidRPr="003A468D" w:rsidP="003A468D">
            <w:pPr>
              <w:pStyle w:val="ListBullet"/>
            </w:pPr>
            <w:r w:rsidRPr="003A468D">
              <w:t>safety observer used inside exclusion zone (e.g. Spotter), to include the use of power line warning systems (e.g. Tiger tails)</w:t>
            </w:r>
          </w:p>
          <w:p w:rsidR="00000000" w:rsidRPr="003A468D" w:rsidP="003A468D">
            <w:pPr>
              <w:pStyle w:val="ListBullet"/>
            </w:pPr>
            <w:r w:rsidRPr="003A468D">
              <w:t>power disconnected by competent authority where applicable.</w:t>
            </w:r>
          </w:p>
          <w:p w:rsidR="00000000" w:rsidRPr="003A468D" w:rsidP="003A468D">
            <w:pPr>
              <w:pStyle w:val="ListBullet"/>
            </w:pPr>
            <w:r w:rsidRPr="003A468D">
              <w:t>traffic and pedestrian barricades and controls</w:t>
            </w:r>
          </w:p>
          <w:p w:rsidR="00000000" w:rsidRPr="003A468D" w:rsidP="003A468D">
            <w:pPr>
              <w:pStyle w:val="ListBullet"/>
            </w:pPr>
            <w:r w:rsidRPr="003A468D">
              <w:t>safe and adequate access / egress is established</w:t>
            </w:r>
          </w:p>
          <w:p w:rsidR="00000000" w:rsidRPr="003A468D" w:rsidP="003A468D">
            <w:pPr>
              <w:pStyle w:val="ListBullet"/>
            </w:pPr>
            <w:r w:rsidRPr="003A468D">
              <w:t>personal protective equipment</w:t>
            </w:r>
          </w:p>
          <w:p w:rsidR="00000000" w:rsidP="003A468D">
            <w:pPr>
              <w:pStyle w:val="ListBullet"/>
              <w:rPr>
                <w:lang w:val="en-NZ"/>
              </w:rPr>
            </w:pPr>
            <w:r w:rsidRPr="003A468D">
              <w:t>adequate illumination.</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Ground suitability</w:t>
            </w:r>
            <w:r w:rsidRPr="003A468D">
              <w:t xml:space="preserve"> may include but not limite</w:t>
            </w:r>
            <w:r w:rsidRPr="003A468D">
              <w:t xml:space="preserv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rough uneven ground</w:t>
            </w:r>
          </w:p>
          <w:p w:rsidR="00000000" w:rsidRPr="003A468D" w:rsidP="003A468D">
            <w:pPr>
              <w:pStyle w:val="ListBullet"/>
            </w:pPr>
            <w:r w:rsidRPr="003A468D">
              <w:t>backfilled ground</w:t>
            </w:r>
          </w:p>
          <w:p w:rsidR="00000000" w:rsidRPr="003A468D" w:rsidP="003A468D">
            <w:pPr>
              <w:pStyle w:val="ListBullet"/>
            </w:pPr>
            <w:r w:rsidRPr="003A468D">
              <w:t>soft soils</w:t>
            </w:r>
          </w:p>
          <w:p w:rsidR="00000000" w:rsidRPr="003A468D" w:rsidP="003A468D">
            <w:pPr>
              <w:pStyle w:val="ListBullet"/>
            </w:pPr>
            <w:r w:rsidRPr="003A468D">
              <w:t>hard compacted soil</w:t>
            </w:r>
          </w:p>
          <w:p w:rsidR="00000000" w:rsidRPr="003A468D" w:rsidP="003A468D">
            <w:pPr>
              <w:pStyle w:val="ListBullet"/>
            </w:pPr>
            <w:r w:rsidRPr="003A468D">
              <w:t>rock</w:t>
            </w:r>
          </w:p>
          <w:p w:rsidR="00000000" w:rsidRPr="003A468D" w:rsidP="003A468D">
            <w:pPr>
              <w:pStyle w:val="ListBullet"/>
            </w:pPr>
            <w:r w:rsidRPr="003A468D">
              <w:t>bitumen</w:t>
            </w:r>
          </w:p>
          <w:p w:rsidR="00000000" w:rsidP="003A468D">
            <w:pPr>
              <w:pStyle w:val="ListBullet"/>
              <w:rPr>
                <w:lang w:val="en-NZ"/>
              </w:rPr>
            </w:pPr>
            <w:r w:rsidRPr="003A468D">
              <w:t>concrete.</w:t>
            </w:r>
          </w:p>
        </w:tc>
      </w:tr>
      <w:tr w:rsidTr="00AE6B28">
        <w:tblPrEx>
          <w:tblW w:w="0" w:type="auto"/>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BoldandItalics"/>
              </w:rPr>
              <w:t>Stability</w:t>
            </w:r>
            <w:r w:rsidRPr="003A468D">
              <w:t xml:space="preserve"> may include but not limited to: </w:t>
            </w:r>
          </w:p>
        </w:tc>
        <w:tc>
          <w:tcPr>
            <w:tcW w:w="4964" w:type="dxa"/>
            <w:tcBorders>
              <w:top w:val="nil"/>
              <w:left w:val="nil"/>
              <w:bottom w:val="nil"/>
              <w:right w:val="nil"/>
            </w:tcBorders>
            <w:tcMar>
              <w:top w:w="0" w:type="dxa"/>
              <w:left w:w="62" w:type="dxa"/>
              <w:bottom w:w="0" w:type="dxa"/>
              <w:right w:w="62" w:type="dxa"/>
            </w:tcMar>
          </w:tcPr>
          <w:p w:rsidR="00000000" w:rsidRPr="003A468D" w:rsidP="003A468D">
            <w:pPr>
              <w:pStyle w:val="ListBullet"/>
            </w:pPr>
            <w:r w:rsidRPr="003A468D">
              <w:t>ground bearing pressure</w:t>
            </w:r>
          </w:p>
          <w:p w:rsidR="00000000" w:rsidRPr="003A468D" w:rsidP="003A468D">
            <w:pPr>
              <w:pStyle w:val="ListBullet"/>
            </w:pPr>
            <w:r w:rsidRPr="003A468D">
              <w:t>sole plates/boards</w:t>
            </w:r>
          </w:p>
          <w:p w:rsidR="00000000" w:rsidRPr="003A468D" w:rsidP="003A468D">
            <w:pPr>
              <w:pStyle w:val="ListBullet"/>
            </w:pPr>
            <w:r w:rsidRPr="003A468D">
              <w:t>screw jacks</w:t>
            </w:r>
          </w:p>
          <w:p w:rsidR="00000000" w:rsidRPr="003A468D" w:rsidP="003A468D">
            <w:pPr>
              <w:pStyle w:val="ListBullet"/>
            </w:pPr>
            <w:r w:rsidRPr="003A468D">
              <w:t>levelling</w:t>
            </w:r>
          </w:p>
          <w:p w:rsidR="00000000" w:rsidRPr="003A468D" w:rsidP="003A468D">
            <w:pPr>
              <w:pStyle w:val="ListBullet"/>
            </w:pPr>
            <w:r w:rsidRPr="003A468D">
              <w:t>ties/guys.</w:t>
            </w:r>
          </w:p>
        </w:tc>
      </w:tr>
    </w:tbl>
    <w:p w:rsidR="00AE6B28" w:rsidP="003A468D">
      <w:pPr>
        <w:pStyle w:val="BodyText"/>
      </w:pPr>
    </w:p>
    <w:p w:rsidR="00AE6B28" w:rsidP="003A468D">
      <w:pPr>
        <w:pStyle w:val="BodyText"/>
      </w:pPr>
    </w:p>
    <w:p w:rsidR="00000000" w:rsidRPr="003A468D" w:rsidP="003A468D">
      <w:pPr>
        <w:pStyle w:val="Heading1"/>
      </w:pPr>
      <w:bookmarkStart w:id="12" w:name="O_197996"/>
      <w:bookmarkEnd w:id="12"/>
      <w:r w:rsidRPr="003A468D">
        <w:t>Unit Sector(s)</w:t>
      </w:r>
    </w:p>
    <w:tbl>
      <w:tblPr>
        <w:tblW w:w="0" w:type="auto"/>
        <w:tblLayout w:type="fixed"/>
        <w:tblCellMar>
          <w:left w:w="62" w:type="dxa"/>
          <w:right w:w="62" w:type="dxa"/>
        </w:tblCellMar>
        <w:tblLook w:val="0000"/>
      </w:tblPr>
      <w:tblGrid>
        <w:gridCol w:w="2588"/>
        <w:gridCol w:w="5934"/>
      </w:tblGrid>
      <w:tr w:rsidTr="00AE6B28">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Unit sector</w:t>
            </w:r>
          </w:p>
        </w:tc>
        <w:tc>
          <w:tcPr>
            <w:tcW w:w="5934" w:type="dxa"/>
            <w:tcBorders>
              <w:top w:val="nil"/>
              <w:left w:val="nil"/>
              <w:bottom w:val="nil"/>
              <w:right w:val="nil"/>
            </w:tcBorders>
            <w:tcMar>
              <w:top w:w="0" w:type="dxa"/>
              <w:left w:w="62" w:type="dxa"/>
              <w:bottom w:w="0" w:type="dxa"/>
              <w:right w:w="62" w:type="dxa"/>
            </w:tcMar>
          </w:tcPr>
          <w:p w:rsidR="00000000" w:rsidRPr="003A468D" w:rsidP="003A468D">
            <w:pPr>
              <w:pStyle w:val="BodyText"/>
            </w:pPr>
            <w:r w:rsidRPr="003A468D">
              <w:t>Construction</w:t>
            </w:r>
          </w:p>
        </w:tc>
      </w:tr>
    </w:tbl>
    <w:p w:rsidR="00AE6B28" w:rsidP="003A468D">
      <w:pPr>
        <w:pStyle w:val="BodyText"/>
      </w:pPr>
    </w:p>
    <w:p w:rsidR="00AE6B28" w:rsidP="003A468D">
      <w:pPr>
        <w:pStyle w:val="BodyText"/>
      </w:pPr>
    </w:p>
    <w:p w:rsidR="00000000" w:rsidRPr="003A468D" w:rsidP="003A468D">
      <w:pPr>
        <w:pStyle w:val="Heading1"/>
      </w:pPr>
      <w:bookmarkStart w:id="13" w:name="O_197993"/>
      <w:bookmarkEnd w:id="13"/>
      <w:r w:rsidRPr="003A468D">
        <w:t>Co-requisite units</w:t>
      </w:r>
    </w:p>
    <w:tbl>
      <w:tblPr>
        <w:tblW w:w="0" w:type="auto"/>
        <w:tblLayout w:type="fixed"/>
        <w:tblCellMar>
          <w:left w:w="62" w:type="dxa"/>
          <w:right w:w="62" w:type="dxa"/>
        </w:tblCellMar>
        <w:tblLook w:val="0000"/>
      </w:tblPr>
      <w:tblGrid>
        <w:gridCol w:w="2603"/>
        <w:gridCol w:w="2072"/>
        <w:gridCol w:w="3847"/>
      </w:tblGrid>
      <w:tr w:rsidTr="00AE6B2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Co-requisite units</w:t>
            </w:r>
          </w:p>
        </w:tc>
        <w:tc>
          <w:tcPr>
            <w:tcW w:w="5919" w:type="dxa"/>
            <w:gridSpan w:val="2"/>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t>Nil</w:t>
            </w:r>
          </w:p>
        </w:tc>
      </w:tr>
      <w:tr w:rsidTr="00AE6B2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7"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p>
        </w:tc>
      </w:tr>
      <w:tr w:rsidTr="00AE6B2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7" w:type="dxa"/>
            <w:tcBorders>
              <w:top w:val="nil"/>
              <w:left w:val="nil"/>
              <w:bottom w:val="nil"/>
              <w:right w:val="nil"/>
            </w:tcBorders>
            <w:tcMar>
              <w:top w:w="0" w:type="dxa"/>
              <w:left w:w="62" w:type="dxa"/>
              <w:bottom w:w="0" w:type="dxa"/>
              <w:right w:w="62" w:type="dxa"/>
            </w:tcMar>
          </w:tcPr>
          <w:p w:rsidR="00000000" w:rsidRPr="003A468D" w:rsidP="003A468D">
            <w:pPr>
              <w:pStyle w:val="BodyText"/>
            </w:pPr>
          </w:p>
        </w:tc>
      </w:tr>
    </w:tbl>
    <w:p w:rsidR="00AE6B28" w:rsidP="003A468D">
      <w:pPr>
        <w:pStyle w:val="BodyText"/>
      </w:pPr>
    </w:p>
    <w:p w:rsidR="00AE6B28" w:rsidP="003A468D">
      <w:pPr>
        <w:pStyle w:val="BodyText"/>
      </w:pPr>
    </w:p>
    <w:p w:rsidR="00000000" w:rsidRPr="003A468D" w:rsidP="003A468D">
      <w:pPr>
        <w:pStyle w:val="Heading1"/>
      </w:pPr>
      <w:bookmarkStart w:id="14" w:name="O_197995"/>
      <w:bookmarkEnd w:id="14"/>
      <w:r w:rsidRPr="003A468D">
        <w:t>Functional area</w:t>
      </w:r>
    </w:p>
    <w:tbl>
      <w:tblPr>
        <w:tblW w:w="0" w:type="auto"/>
        <w:tblLayout w:type="fixed"/>
        <w:tblCellMar>
          <w:left w:w="62" w:type="dxa"/>
          <w:right w:w="62" w:type="dxa"/>
        </w:tblCellMar>
        <w:tblLook w:val="0000"/>
      </w:tblPr>
      <w:tblGrid>
        <w:gridCol w:w="2693"/>
        <w:gridCol w:w="5829"/>
      </w:tblGrid>
      <w:tr w:rsidTr="00AE6B28">
        <w:tblPrEx>
          <w:tblW w:w="0" w:type="auto"/>
          <w:tblLayout w:type="fixed"/>
          <w:tblCellMar>
            <w:left w:w="62" w:type="dxa"/>
            <w:right w:w="62" w:type="dxa"/>
          </w:tblCellMar>
          <w:tblLook w:val="0000"/>
        </w:tblPrEx>
        <w:trPr>
          <w:tblHeader/>
        </w:trPr>
        <w:tc>
          <w:tcPr>
            <w:tcW w:w="2693" w:type="dxa"/>
            <w:tcBorders>
              <w:top w:val="nil"/>
              <w:left w:val="nil"/>
              <w:bottom w:val="nil"/>
              <w:right w:val="nil"/>
            </w:tcBorders>
            <w:tcMar>
              <w:top w:w="0" w:type="dxa"/>
              <w:left w:w="62" w:type="dxa"/>
              <w:bottom w:w="0" w:type="dxa"/>
              <w:right w:w="62" w:type="dxa"/>
            </w:tcMar>
          </w:tcPr>
          <w:p w:rsidR="00000000" w:rsidP="003A468D">
            <w:pPr>
              <w:pStyle w:val="BodyText"/>
              <w:rPr>
                <w:lang w:val="en-NZ"/>
              </w:rPr>
            </w:pPr>
            <w:r w:rsidRPr="003A468D">
              <w:rPr>
                <w:rStyle w:val="SpecialBold"/>
              </w:rPr>
              <w:t>Functional area</w:t>
            </w:r>
          </w:p>
        </w:tc>
        <w:tc>
          <w:tcPr>
            <w:tcW w:w="5829" w:type="dxa"/>
            <w:tcBorders>
              <w:top w:val="nil"/>
              <w:left w:val="nil"/>
              <w:bottom w:val="nil"/>
              <w:right w:val="nil"/>
            </w:tcBorders>
            <w:tcMar>
              <w:top w:w="0" w:type="dxa"/>
              <w:left w:w="62" w:type="dxa"/>
              <w:bottom w:w="0" w:type="dxa"/>
              <w:right w:w="62" w:type="dxa"/>
            </w:tcMar>
          </w:tcPr>
          <w:p w:rsidR="00000000" w:rsidRPr="003A468D" w:rsidP="003A468D">
            <w:pPr>
              <w:pStyle w:val="BodyText"/>
            </w:pPr>
          </w:p>
        </w:tc>
      </w:tr>
    </w:tbl>
    <w:p w:rsidR="00AE6B28" w:rsidP="003A468D">
      <w:pPr>
        <w:pStyle w:val="BodyText"/>
      </w:pPr>
    </w:p>
    <w:p w:rsidR="00AE6B28" w:rsidP="003A468D">
      <w:pPr>
        <w:pStyle w:val="BodyText"/>
      </w:pPr>
    </w:p>
    <w:p w:rsidR="00000000" w:rsidRPr="003A468D" w:rsidP="003A468D"/>
    <w:sectPr w:rsidSect="003A4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8D" w:rsidRPr="00AE6B28" w:rsidP="00AE6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B28" w:rsidP="003A4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E6B28" w:rsidP="003A468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E6B28" w:rsidP="003A4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8D" w:rsidRPr="00AE6B28" w:rsidP="00AE6B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B28" w:rsidRPr="002D2AF8" w:rsidP="003A468D">
    <w:pPr>
      <w:pStyle w:val="Header"/>
      <w:framePr w:wrap="around"/>
    </w:pPr>
    <w:r>
      <w:fldChar w:fldCharType="begin"/>
    </w:r>
    <w:r>
      <w:instrText xml:space="preserve"> TITLE   \* MERGEFORMAT </w:instrText>
    </w:r>
    <w:r>
      <w:fldChar w:fldCharType="separate"/>
    </w:r>
    <w:r>
      <w:t>CPCCLSF3001A Licence to erect, alter and dismantle scaffolding intermediate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March 2015</w:t>
    </w:r>
    <w:r>
      <w:fldChar w:fldCharType="end"/>
    </w:r>
  </w:p>
  <w:p w:rsidR="00AE6B28" w:rsidP="003A4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68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85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C8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68D"/>
    <w:pPr>
      <w:spacing w:before="360" w:after="60"/>
      <w:outlineLvl w:val="0"/>
    </w:pPr>
    <w:rPr>
      <w:sz w:val="32"/>
    </w:rPr>
  </w:style>
  <w:style w:type="paragraph" w:styleId="Heading2">
    <w:name w:val="heading 2"/>
    <w:basedOn w:val="HeadingBase"/>
    <w:next w:val="BodyText"/>
    <w:link w:val="Heading2Char"/>
    <w:qFormat/>
    <w:rsid w:val="003A468D"/>
    <w:pPr>
      <w:keepLines/>
      <w:spacing w:before="240" w:after="120"/>
      <w:outlineLvl w:val="1"/>
    </w:pPr>
    <w:rPr>
      <w:sz w:val="28"/>
      <w:szCs w:val="40"/>
    </w:rPr>
  </w:style>
  <w:style w:type="paragraph" w:styleId="Heading3">
    <w:name w:val="heading 3"/>
    <w:basedOn w:val="HeadingBase"/>
    <w:next w:val="BodyText"/>
    <w:link w:val="Heading3Char"/>
    <w:qFormat/>
    <w:rsid w:val="003A468D"/>
    <w:pPr>
      <w:spacing w:before="180" w:after="120"/>
      <w:outlineLvl w:val="2"/>
    </w:pPr>
    <w:rPr>
      <w:spacing w:val="-10"/>
      <w:kern w:val="32"/>
    </w:rPr>
  </w:style>
  <w:style w:type="paragraph" w:styleId="Heading4">
    <w:name w:val="heading 4"/>
    <w:basedOn w:val="HeadingBase"/>
    <w:next w:val="BodyText"/>
    <w:link w:val="Heading4Char"/>
    <w:qFormat/>
    <w:rsid w:val="003A468D"/>
    <w:pPr>
      <w:spacing w:before="160" w:after="120"/>
      <w:outlineLvl w:val="3"/>
    </w:pPr>
    <w:rPr>
      <w:sz w:val="22"/>
    </w:rPr>
  </w:style>
  <w:style w:type="paragraph" w:styleId="Heading5">
    <w:name w:val="heading 5"/>
    <w:basedOn w:val="HeadingBase"/>
    <w:next w:val="Normal"/>
    <w:link w:val="Heading5Char"/>
    <w:qFormat/>
    <w:rsid w:val="003A468D"/>
    <w:pPr>
      <w:spacing w:before="80"/>
      <w:outlineLvl w:val="4"/>
    </w:pPr>
    <w:rPr>
      <w:color w:val="918585"/>
      <w:sz w:val="20"/>
    </w:rPr>
  </w:style>
  <w:style w:type="paragraph" w:styleId="Heading6">
    <w:name w:val="heading 6"/>
    <w:basedOn w:val="HeadingBase"/>
    <w:next w:val="Normal"/>
    <w:link w:val="Heading6Char"/>
    <w:qFormat/>
    <w:rsid w:val="003A468D"/>
    <w:pPr>
      <w:spacing w:before="60"/>
      <w:outlineLvl w:val="5"/>
    </w:pPr>
    <w:rPr>
      <w:color w:val="918585"/>
      <w:sz w:val="20"/>
    </w:rPr>
  </w:style>
  <w:style w:type="paragraph" w:styleId="Heading7">
    <w:name w:val="heading 7"/>
    <w:basedOn w:val="Normal"/>
    <w:next w:val="Normal"/>
    <w:link w:val="Heading7Char"/>
    <w:qFormat/>
    <w:rsid w:val="003A468D"/>
    <w:pPr>
      <w:ind w:left="720"/>
      <w:outlineLvl w:val="6"/>
    </w:pPr>
    <w:rPr>
      <w:i/>
    </w:rPr>
  </w:style>
  <w:style w:type="paragraph" w:styleId="Heading8">
    <w:name w:val="heading 8"/>
    <w:basedOn w:val="Normal"/>
    <w:next w:val="Normal"/>
    <w:link w:val="Heading8Char"/>
    <w:qFormat/>
    <w:rsid w:val="003A468D"/>
    <w:pPr>
      <w:ind w:left="720"/>
      <w:outlineLvl w:val="7"/>
    </w:pPr>
    <w:rPr>
      <w:i/>
    </w:rPr>
  </w:style>
  <w:style w:type="paragraph" w:styleId="Heading9">
    <w:name w:val="heading 9"/>
    <w:basedOn w:val="Normal"/>
    <w:next w:val="Normal"/>
    <w:link w:val="Heading9Char"/>
    <w:qFormat/>
    <w:rsid w:val="003A468D"/>
    <w:pPr>
      <w:ind w:left="720"/>
      <w:outlineLvl w:val="8"/>
    </w:pPr>
    <w:rPr>
      <w:i/>
    </w:rPr>
  </w:style>
  <w:style w:type="character" w:default="1" w:styleId="DefaultParagraphFont">
    <w:name w:val="Default Paragraph Font"/>
    <w:uiPriority w:val="1"/>
    <w:unhideWhenUsed/>
    <w:rsid w:val="003A4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68D"/>
  </w:style>
  <w:style w:type="character" w:customStyle="1" w:styleId="Heading1Char">
    <w:name w:val="Heading 1 Char"/>
    <w:basedOn w:val="DefaultParagraphFont"/>
    <w:link w:val="Heading1"/>
    <w:rsid w:val="003A468D"/>
    <w:rPr>
      <w:rFonts w:ascii="Times New Roman" w:eastAsia="Times New Roman" w:hAnsi="Times New Roman" w:cs="Times New Roman"/>
      <w:b/>
      <w:sz w:val="32"/>
      <w:szCs w:val="20"/>
      <w:lang w:eastAsia="en-US"/>
    </w:rPr>
  </w:style>
  <w:style w:type="paragraph" w:styleId="BodyText">
    <w:name w:val="Body Text"/>
    <w:basedOn w:val="Normal"/>
    <w:link w:val="BodyTextChar"/>
    <w:rsid w:val="003A46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68D"/>
    <w:rPr>
      <w:rFonts w:ascii="Times New Roman" w:eastAsia="Times New Roman" w:hAnsi="Times New Roman" w:cs="Times New Roman"/>
      <w:sz w:val="24"/>
      <w:lang w:eastAsia="en-US"/>
    </w:rPr>
  </w:style>
  <w:style w:type="paragraph" w:styleId="List">
    <w:name w:val="List"/>
    <w:basedOn w:val="BodyText"/>
    <w:next w:val="BodyText"/>
    <w:rsid w:val="003A468D"/>
    <w:pPr>
      <w:tabs>
        <w:tab w:val="left" w:pos="340"/>
      </w:tabs>
      <w:spacing w:before="60" w:after="60"/>
      <w:ind w:left="340" w:hanging="340"/>
    </w:pPr>
  </w:style>
  <w:style w:type="paragraph" w:styleId="ListBullet">
    <w:name w:val="List Bullet"/>
    <w:basedOn w:val="List"/>
    <w:rsid w:val="003A468D"/>
    <w:pPr>
      <w:numPr>
        <w:numId w:val="13"/>
      </w:numPr>
      <w:tabs>
        <w:tab w:val="clear" w:pos="340"/>
      </w:tabs>
      <w:spacing w:before="40" w:after="40"/>
    </w:pPr>
  </w:style>
  <w:style w:type="character" w:customStyle="1" w:styleId="SpecialBold">
    <w:name w:val="Special Bold"/>
    <w:basedOn w:val="DefaultParagraphFont"/>
    <w:rsid w:val="003A468D"/>
    <w:rPr>
      <w:b/>
      <w:spacing w:val="0"/>
    </w:rPr>
  </w:style>
  <w:style w:type="paragraph" w:styleId="ListBullet2">
    <w:name w:val="List Bullet 2"/>
    <w:basedOn w:val="List2"/>
    <w:rsid w:val="003A468D"/>
    <w:pPr>
      <w:numPr>
        <w:numId w:val="14"/>
      </w:numPr>
      <w:tabs>
        <w:tab w:val="clear" w:pos="680"/>
      </w:tabs>
    </w:pPr>
  </w:style>
  <w:style w:type="character" w:styleId="Emphasis">
    <w:name w:val="Emphasis"/>
    <w:basedOn w:val="DefaultParagraphFont"/>
    <w:qFormat/>
    <w:rsid w:val="003A468D"/>
    <w:rPr>
      <w:i/>
    </w:rPr>
  </w:style>
  <w:style w:type="paragraph" w:customStyle="1" w:styleId="SuperHeading">
    <w:name w:val="SuperHeading"/>
    <w:basedOn w:val="Normal"/>
    <w:rsid w:val="003A468D"/>
    <w:pPr>
      <w:spacing w:before="240" w:after="120"/>
      <w:outlineLvl w:val="0"/>
    </w:pPr>
    <w:rPr>
      <w:rFonts w:ascii="Times New Roman" w:hAnsi="Times New Roman"/>
      <w:b/>
      <w:sz w:val="32"/>
    </w:rPr>
  </w:style>
  <w:style w:type="paragraph" w:customStyle="1" w:styleId="AllowPageBreak">
    <w:name w:val="AllowPageBreak"/>
    <w:rsid w:val="003A46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468D"/>
    <w:pPr>
      <w:tabs>
        <w:tab w:val="left" w:pos="680"/>
      </w:tabs>
      <w:spacing w:before="60" w:after="60"/>
      <w:ind w:left="680" w:hanging="340"/>
    </w:pPr>
  </w:style>
  <w:style w:type="character" w:customStyle="1" w:styleId="BoldandItalics">
    <w:name w:val="Bold and Italics"/>
    <w:qFormat/>
    <w:rsid w:val="003A468D"/>
    <w:rPr>
      <w:b/>
      <w:i/>
      <w:u w:val="none"/>
    </w:rPr>
  </w:style>
  <w:style w:type="character" w:customStyle="1" w:styleId="Heading2Char">
    <w:name w:val="Heading 2 Char"/>
    <w:basedOn w:val="DefaultParagraphFont"/>
    <w:link w:val="Heading2"/>
    <w:rsid w:val="003A4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68D"/>
    <w:rPr>
      <w:rFonts w:ascii="Courier New" w:eastAsia="Times New Roman" w:hAnsi="Courier New" w:cs="Times New Roman"/>
      <w:i/>
      <w:szCs w:val="20"/>
      <w:lang w:eastAsia="en-US"/>
    </w:rPr>
  </w:style>
  <w:style w:type="paragraph" w:customStyle="1" w:styleId="HeadingBase">
    <w:name w:val="Heading Base"/>
    <w:rsid w:val="003A4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68D"/>
    <w:pPr>
      <w:tabs>
        <w:tab w:val="right" w:leader="dot" w:pos="9072"/>
      </w:tabs>
      <w:ind w:left="567"/>
    </w:pPr>
    <w:rPr>
      <w:szCs w:val="22"/>
    </w:rPr>
  </w:style>
  <w:style w:type="paragraph" w:customStyle="1" w:styleId="TOCBase">
    <w:name w:val="TOC Base"/>
    <w:rsid w:val="003A4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68D"/>
    <w:pPr>
      <w:tabs>
        <w:tab w:val="right" w:leader="dot" w:pos="9072"/>
      </w:tabs>
      <w:spacing w:before="40" w:after="40"/>
      <w:ind w:left="284"/>
    </w:pPr>
    <w:rPr>
      <w:rFonts w:ascii="Times New Roman" w:hAnsi="Times New Roman"/>
    </w:rPr>
  </w:style>
  <w:style w:type="paragraph" w:styleId="TOC1">
    <w:name w:val="toc 1"/>
    <w:basedOn w:val="TOCBase"/>
    <w:next w:val="Normal"/>
    <w:rsid w:val="003A4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68D"/>
    <w:rPr>
      <w:rFonts w:ascii="Times New Roman" w:eastAsia="Times New Roman" w:hAnsi="Times New Roman" w:cs="Times New Roman"/>
      <w:sz w:val="16"/>
      <w:lang w:eastAsia="en-US"/>
    </w:rPr>
  </w:style>
  <w:style w:type="paragraph" w:styleId="Title">
    <w:name w:val="Title"/>
    <w:basedOn w:val="HeadingBase"/>
    <w:link w:val="TitleChar"/>
    <w:qFormat/>
    <w:rsid w:val="003A468D"/>
    <w:pPr>
      <w:spacing w:before="5040"/>
      <w:jc w:val="center"/>
    </w:pPr>
    <w:rPr>
      <w:sz w:val="48"/>
      <w:szCs w:val="72"/>
      <w:lang w:val="en-US"/>
    </w:rPr>
  </w:style>
  <w:style w:type="character" w:customStyle="1" w:styleId="TitleChar">
    <w:name w:val="Title Char"/>
    <w:basedOn w:val="DefaultParagraphFont"/>
    <w:link w:val="Title"/>
    <w:rsid w:val="003A4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68D"/>
    <w:pPr>
      <w:tabs>
        <w:tab w:val="left" w:pos="3600"/>
        <w:tab w:val="left" w:pos="3958"/>
      </w:tabs>
    </w:pPr>
  </w:style>
  <w:style w:type="paragraph" w:customStyle="1" w:styleId="Note">
    <w:name w:val="Note"/>
    <w:basedOn w:val="BodyText"/>
    <w:rsid w:val="003A4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68D"/>
    <w:pPr>
      <w:framePr w:wrap="auto" w:hAnchor="text" w:y="6049"/>
    </w:pPr>
    <w:rPr>
      <w:color w:val="000000"/>
      <w:sz w:val="40"/>
    </w:rPr>
  </w:style>
  <w:style w:type="paragraph" w:customStyle="1" w:styleId="TOCTitle">
    <w:name w:val="TOCTitle"/>
    <w:basedOn w:val="Heading1"/>
    <w:rsid w:val="003A468D"/>
    <w:pPr>
      <w:spacing w:after="240"/>
      <w:jc w:val="center"/>
      <w:outlineLvl w:val="9"/>
    </w:pPr>
    <w:rPr>
      <w:caps/>
    </w:rPr>
  </w:style>
  <w:style w:type="paragraph" w:customStyle="1" w:styleId="Version">
    <w:name w:val="Version"/>
    <w:rsid w:val="003A46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68D"/>
    <w:pPr>
      <w:keepNext w:val="0"/>
      <w:tabs>
        <w:tab w:val="right" w:pos="4176"/>
      </w:tabs>
      <w:ind w:left="198" w:hanging="198"/>
    </w:pPr>
    <w:rPr>
      <w:rFonts w:ascii="Garamond" w:hAnsi="Garamond"/>
    </w:rPr>
  </w:style>
  <w:style w:type="paragraph" w:styleId="IndexHeading">
    <w:name w:val="index heading"/>
    <w:basedOn w:val="Normal"/>
    <w:next w:val="Index1"/>
    <w:semiHidden/>
    <w:rsid w:val="003A468D"/>
    <w:pPr>
      <w:spacing w:before="120" w:after="120"/>
    </w:pPr>
    <w:rPr>
      <w:rFonts w:ascii="Arial" w:hAnsi="Arial"/>
      <w:b/>
      <w:color w:val="918585"/>
      <w:sz w:val="24"/>
    </w:rPr>
  </w:style>
  <w:style w:type="paragraph" w:styleId="Header">
    <w:name w:val="header"/>
    <w:basedOn w:val="Normal"/>
    <w:link w:val="HeaderChar"/>
    <w:rsid w:val="003A4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68D"/>
    <w:rPr>
      <w:rFonts w:ascii="Times New Roman" w:eastAsia="Times New Roman" w:hAnsi="Times New Roman" w:cs="Times New Roman"/>
      <w:sz w:val="16"/>
      <w:szCs w:val="20"/>
      <w:lang w:val="en-GB" w:eastAsia="en-US"/>
    </w:rPr>
  </w:style>
  <w:style w:type="paragraph" w:customStyle="1" w:styleId="Chapter">
    <w:name w:val="Chapter"/>
    <w:basedOn w:val="Normal"/>
    <w:rsid w:val="003A468D"/>
    <w:pPr>
      <w:spacing w:before="240"/>
    </w:pPr>
    <w:rPr>
      <w:rFonts w:ascii="Times New Roman" w:hAnsi="Times New Roman"/>
      <w:smallCaps/>
      <w:spacing w:val="80"/>
      <w:sz w:val="28"/>
    </w:rPr>
  </w:style>
  <w:style w:type="paragraph" w:customStyle="1" w:styleId="InChapter">
    <w:name w:val="InChapter"/>
    <w:basedOn w:val="Heading3"/>
    <w:rsid w:val="003A468D"/>
    <w:pPr>
      <w:spacing w:after="240"/>
      <w:outlineLvl w:val="9"/>
    </w:pPr>
    <w:rPr>
      <w:noProof/>
    </w:rPr>
  </w:style>
  <w:style w:type="paragraph" w:styleId="Index2">
    <w:name w:val="index 2"/>
    <w:basedOn w:val="Normal"/>
    <w:next w:val="Normal"/>
    <w:semiHidden/>
    <w:rsid w:val="003A468D"/>
    <w:pPr>
      <w:tabs>
        <w:tab w:val="right" w:pos="4176"/>
      </w:tabs>
      <w:ind w:left="568" w:hanging="284"/>
    </w:pPr>
    <w:rPr>
      <w:rFonts w:ascii="Garamond" w:hAnsi="Garamond"/>
    </w:rPr>
  </w:style>
  <w:style w:type="paragraph" w:customStyle="1" w:styleId="Byline">
    <w:name w:val="Byline"/>
    <w:rsid w:val="003A4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68D"/>
    <w:pPr>
      <w:tabs>
        <w:tab w:val="clear" w:pos="3600"/>
        <w:tab w:val="clear" w:pos="3958"/>
      </w:tabs>
      <w:jc w:val="right"/>
    </w:pPr>
  </w:style>
  <w:style w:type="paragraph" w:styleId="Caption">
    <w:name w:val="caption"/>
    <w:basedOn w:val="BodyText"/>
    <w:next w:val="Normal"/>
    <w:qFormat/>
    <w:rsid w:val="003A468D"/>
    <w:pPr>
      <w:framePr w:w="2268" w:hSpace="181" w:vSpace="181" w:wrap="around" w:vAnchor="text" w:hAnchor="page" w:x="1135" w:y="285" w:anchorLock="1"/>
    </w:pPr>
    <w:rPr>
      <w:i/>
    </w:rPr>
  </w:style>
  <w:style w:type="paragraph" w:customStyle="1" w:styleId="MiniTOCTitle">
    <w:name w:val="MiniTOCTitle"/>
    <w:basedOn w:val="Heading4"/>
    <w:rsid w:val="003A468D"/>
    <w:pPr>
      <w:spacing w:before="240"/>
      <w:outlineLvl w:val="9"/>
    </w:pPr>
    <w:rPr>
      <w:noProof/>
      <w:sz w:val="24"/>
    </w:rPr>
  </w:style>
  <w:style w:type="paragraph" w:customStyle="1" w:styleId="MiniTOCItem">
    <w:name w:val="MiniTOCItem"/>
    <w:basedOn w:val="ListBullet"/>
    <w:rsid w:val="003A468D"/>
    <w:pPr>
      <w:numPr>
        <w:numId w:val="0"/>
      </w:numPr>
      <w:tabs>
        <w:tab w:val="right" w:leader="dot" w:pos="6521"/>
      </w:tabs>
      <w:spacing w:before="0" w:after="0"/>
    </w:pPr>
  </w:style>
  <w:style w:type="paragraph" w:customStyle="1" w:styleId="TOFTitle">
    <w:name w:val="TOFTitle"/>
    <w:basedOn w:val="TOCTitle"/>
    <w:rsid w:val="003A468D"/>
  </w:style>
  <w:style w:type="paragraph" w:styleId="TableofFigures">
    <w:name w:val="table of figures"/>
    <w:basedOn w:val="Normal"/>
    <w:next w:val="Normal"/>
    <w:semiHidden/>
    <w:rsid w:val="003A468D"/>
    <w:pPr>
      <w:tabs>
        <w:tab w:val="right" w:leader="dot" w:pos="9072"/>
      </w:tabs>
      <w:ind w:left="970" w:hanging="403"/>
    </w:pPr>
    <w:rPr>
      <w:rFonts w:ascii="Times New Roman" w:hAnsi="Times New Roman"/>
      <w:b/>
    </w:rPr>
  </w:style>
  <w:style w:type="paragraph" w:styleId="ListNumber">
    <w:name w:val="List Number"/>
    <w:basedOn w:val="List"/>
    <w:rsid w:val="003A468D"/>
    <w:pPr>
      <w:numPr>
        <w:numId w:val="11"/>
      </w:numPr>
    </w:pPr>
  </w:style>
  <w:style w:type="character" w:customStyle="1" w:styleId="WingdingSymbols">
    <w:name w:val="Wingding Symbols"/>
    <w:rsid w:val="003A468D"/>
    <w:rPr>
      <w:rFonts w:ascii="Wingdings" w:hAnsi="Wingdings"/>
    </w:rPr>
  </w:style>
  <w:style w:type="paragraph" w:customStyle="1" w:styleId="TableHeading">
    <w:name w:val="Table Heading"/>
    <w:basedOn w:val="HeadingBase"/>
    <w:rsid w:val="003A468D"/>
    <w:pPr>
      <w:keepLines/>
      <w:pBdr>
        <w:bottom w:val="single" w:sz="6" w:space="1" w:color="918585"/>
      </w:pBdr>
      <w:spacing w:before="240"/>
    </w:pPr>
  </w:style>
  <w:style w:type="character" w:customStyle="1" w:styleId="HotSpot">
    <w:name w:val="HotSpot"/>
    <w:rsid w:val="003A468D"/>
    <w:rPr>
      <w:color w:val="0033CC"/>
      <w:u w:val="none"/>
    </w:rPr>
  </w:style>
  <w:style w:type="paragraph" w:customStyle="1" w:styleId="BodyTextRight">
    <w:name w:val="Body Text Right"/>
    <w:basedOn w:val="BodyText"/>
    <w:rsid w:val="003A468D"/>
    <w:pPr>
      <w:spacing w:before="0" w:after="0"/>
      <w:jc w:val="right"/>
    </w:pPr>
  </w:style>
  <w:style w:type="paragraph" w:styleId="Index3">
    <w:name w:val="index 3"/>
    <w:basedOn w:val="ListNumber2"/>
    <w:next w:val="Normal"/>
    <w:semiHidden/>
    <w:rsid w:val="003A468D"/>
    <w:pPr>
      <w:numPr>
        <w:numId w:val="0"/>
      </w:numPr>
      <w:tabs>
        <w:tab w:val="right" w:leader="dot" w:pos="4176"/>
      </w:tabs>
    </w:pPr>
  </w:style>
  <w:style w:type="paragraph" w:styleId="ListNumber2">
    <w:name w:val="List Number 2"/>
    <w:basedOn w:val="List2"/>
    <w:rsid w:val="003A468D"/>
    <w:pPr>
      <w:numPr>
        <w:numId w:val="10"/>
      </w:numPr>
      <w:tabs>
        <w:tab w:val="clear" w:pos="1060"/>
      </w:tabs>
    </w:pPr>
  </w:style>
  <w:style w:type="paragraph" w:customStyle="1" w:styleId="MarginNote">
    <w:name w:val="Margin Note"/>
    <w:basedOn w:val="BodyText"/>
    <w:rsid w:val="003A4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68D"/>
    <w:rPr>
      <w:sz w:val="32"/>
    </w:rPr>
  </w:style>
  <w:style w:type="paragraph" w:customStyle="1" w:styleId="HeadingProcedure">
    <w:name w:val="Heading Procedure"/>
    <w:basedOn w:val="HeadingBase"/>
    <w:next w:val="Normal"/>
    <w:rsid w:val="003A468D"/>
    <w:pPr>
      <w:tabs>
        <w:tab w:val="left" w:pos="0"/>
      </w:tabs>
      <w:spacing w:before="120" w:after="60"/>
    </w:pPr>
    <w:rPr>
      <w:i/>
      <w:color w:val="918585"/>
      <w:sz w:val="22"/>
    </w:rPr>
  </w:style>
  <w:style w:type="paragraph" w:customStyle="1" w:styleId="TableBodyText">
    <w:name w:val="Table Body Text"/>
    <w:basedOn w:val="BodyText"/>
    <w:rsid w:val="003A468D"/>
    <w:pPr>
      <w:spacing w:before="60" w:after="60"/>
    </w:pPr>
  </w:style>
  <w:style w:type="paragraph" w:styleId="ListContinue">
    <w:name w:val="List Continue"/>
    <w:basedOn w:val="List"/>
    <w:rsid w:val="003A468D"/>
    <w:pPr>
      <w:ind w:firstLine="0"/>
    </w:pPr>
  </w:style>
  <w:style w:type="paragraph" w:customStyle="1" w:styleId="ListNote">
    <w:name w:val="List Note"/>
    <w:basedOn w:val="List"/>
    <w:rsid w:val="003A468D"/>
    <w:pPr>
      <w:pBdr>
        <w:top w:val="single" w:sz="6" w:space="2" w:color="918585"/>
        <w:bottom w:val="single" w:sz="6" w:space="2" w:color="918585"/>
      </w:pBdr>
      <w:tabs>
        <w:tab w:val="left" w:pos="1021"/>
      </w:tabs>
      <w:ind w:firstLine="0"/>
    </w:pPr>
  </w:style>
  <w:style w:type="paragraph" w:customStyle="1" w:styleId="Warning">
    <w:name w:val="Warning"/>
    <w:basedOn w:val="BodyText"/>
    <w:rsid w:val="003A468D"/>
    <w:pPr>
      <w:shd w:val="clear" w:color="auto" w:fill="D9D9D9"/>
      <w:tabs>
        <w:tab w:val="left" w:pos="992"/>
      </w:tabs>
      <w:ind w:left="119" w:right="119"/>
    </w:pPr>
    <w:rPr>
      <w:sz w:val="20"/>
    </w:rPr>
  </w:style>
  <w:style w:type="paragraph" w:customStyle="1" w:styleId="MarginIcons">
    <w:name w:val="Margin Icons"/>
    <w:basedOn w:val="BodyText"/>
    <w:rsid w:val="003A4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68D"/>
    <w:rPr>
      <w:rFonts w:ascii="Courier New" w:hAnsi="Courier New"/>
    </w:rPr>
  </w:style>
  <w:style w:type="paragraph" w:customStyle="1" w:styleId="NoteBullet">
    <w:name w:val="Note Bullet"/>
    <w:basedOn w:val="Note"/>
    <w:rsid w:val="003A468D"/>
    <w:pPr>
      <w:tabs>
        <w:tab w:val="clear" w:pos="680"/>
      </w:tabs>
      <w:spacing w:before="60" w:after="60"/>
    </w:pPr>
  </w:style>
  <w:style w:type="paragraph" w:customStyle="1" w:styleId="SubHeading2">
    <w:name w:val="SubHeading2"/>
    <w:basedOn w:val="HeadingBase"/>
    <w:rsid w:val="003A468D"/>
    <w:pPr>
      <w:spacing w:before="240" w:after="60"/>
    </w:pPr>
    <w:rPr>
      <w:sz w:val="20"/>
    </w:rPr>
  </w:style>
  <w:style w:type="paragraph" w:customStyle="1" w:styleId="SubHeading1">
    <w:name w:val="SubHeading1"/>
    <w:basedOn w:val="HeadingBase"/>
    <w:rsid w:val="003A468D"/>
    <w:pPr>
      <w:spacing w:before="240" w:after="60"/>
    </w:pPr>
    <w:rPr>
      <w:color w:val="918585"/>
      <w:sz w:val="22"/>
    </w:rPr>
  </w:style>
  <w:style w:type="paragraph" w:customStyle="1" w:styleId="SideHeading">
    <w:name w:val="Side Heading"/>
    <w:basedOn w:val="HeadingBase"/>
    <w:rsid w:val="003A4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68D"/>
    <w:pPr>
      <w:numPr>
        <w:numId w:val="12"/>
      </w:numPr>
    </w:pPr>
  </w:style>
  <w:style w:type="paragraph" w:styleId="PlainText">
    <w:name w:val="Plain Text"/>
    <w:basedOn w:val="Normal"/>
    <w:link w:val="PlainTextChar"/>
    <w:rsid w:val="003A468D"/>
    <w:rPr>
      <w:sz w:val="20"/>
    </w:rPr>
  </w:style>
  <w:style w:type="character" w:customStyle="1" w:styleId="PlainTextChar">
    <w:name w:val="Plain Text Char"/>
    <w:basedOn w:val="DefaultParagraphFont"/>
    <w:link w:val="PlainText"/>
    <w:rsid w:val="003A468D"/>
    <w:rPr>
      <w:rFonts w:ascii="Courier New" w:eastAsia="Times New Roman" w:hAnsi="Courier New" w:cs="Times New Roman"/>
      <w:sz w:val="20"/>
      <w:szCs w:val="20"/>
      <w:lang w:eastAsia="en-US"/>
    </w:rPr>
  </w:style>
  <w:style w:type="character" w:customStyle="1" w:styleId="MenuOption">
    <w:name w:val="Menu Option"/>
    <w:basedOn w:val="DefaultParagraphFont"/>
    <w:rsid w:val="003A468D"/>
    <w:rPr>
      <w:b/>
      <w:smallCaps/>
    </w:rPr>
  </w:style>
  <w:style w:type="paragraph" w:customStyle="1" w:styleId="TableListNumber">
    <w:name w:val="Table List Number"/>
    <w:basedOn w:val="ListNumber"/>
    <w:rsid w:val="003A468D"/>
    <w:pPr>
      <w:numPr>
        <w:numId w:val="0"/>
      </w:numPr>
    </w:pPr>
  </w:style>
  <w:style w:type="paragraph" w:styleId="TOC4">
    <w:name w:val="toc 4"/>
    <w:basedOn w:val="TOCBase"/>
    <w:next w:val="Normal"/>
    <w:semiHidden/>
    <w:rsid w:val="003A468D"/>
    <w:pPr>
      <w:tabs>
        <w:tab w:val="right" w:leader="dot" w:pos="9071"/>
      </w:tabs>
      <w:ind w:left="1701"/>
    </w:pPr>
  </w:style>
  <w:style w:type="paragraph" w:customStyle="1" w:styleId="ListAlpha">
    <w:name w:val="List Alpha"/>
    <w:basedOn w:val="List"/>
    <w:rsid w:val="003A468D"/>
    <w:pPr>
      <w:numPr>
        <w:numId w:val="9"/>
      </w:numPr>
    </w:pPr>
  </w:style>
  <w:style w:type="paragraph" w:customStyle="1" w:styleId="ListAlpha2">
    <w:name w:val="List Alpha 2"/>
    <w:basedOn w:val="List2"/>
    <w:rsid w:val="003A468D"/>
    <w:pPr>
      <w:numPr>
        <w:numId w:val="8"/>
      </w:numPr>
    </w:pPr>
  </w:style>
  <w:style w:type="paragraph" w:styleId="List3">
    <w:name w:val="List 3"/>
    <w:basedOn w:val="BodyText"/>
    <w:rsid w:val="003A468D"/>
    <w:pPr>
      <w:tabs>
        <w:tab w:val="left" w:pos="1021"/>
      </w:tabs>
      <w:spacing w:before="60" w:after="60"/>
      <w:ind w:left="1020" w:hanging="340"/>
    </w:pPr>
  </w:style>
  <w:style w:type="paragraph" w:styleId="List4">
    <w:name w:val="List 4"/>
    <w:basedOn w:val="BodyText"/>
    <w:rsid w:val="003A468D"/>
    <w:pPr>
      <w:tabs>
        <w:tab w:val="left" w:pos="1361"/>
      </w:tabs>
      <w:spacing w:before="60" w:after="60"/>
      <w:ind w:left="1361" w:hanging="340"/>
    </w:pPr>
  </w:style>
  <w:style w:type="paragraph" w:styleId="List5">
    <w:name w:val="List 5"/>
    <w:basedOn w:val="BodyText"/>
    <w:rsid w:val="003A468D"/>
    <w:pPr>
      <w:tabs>
        <w:tab w:val="left" w:pos="1701"/>
      </w:tabs>
      <w:spacing w:before="60" w:after="60"/>
      <w:ind w:left="1701" w:hanging="340"/>
    </w:pPr>
  </w:style>
  <w:style w:type="paragraph" w:styleId="ListBullet3">
    <w:name w:val="List Bullet 3"/>
    <w:basedOn w:val="List3"/>
    <w:rsid w:val="003A468D"/>
    <w:pPr>
      <w:numPr>
        <w:numId w:val="15"/>
      </w:numPr>
      <w:tabs>
        <w:tab w:val="clear" w:pos="1021"/>
      </w:tabs>
      <w:ind w:left="1037" w:hanging="357"/>
    </w:pPr>
  </w:style>
  <w:style w:type="paragraph" w:styleId="ListBullet4">
    <w:name w:val="List Bullet 4"/>
    <w:basedOn w:val="List4"/>
    <w:rsid w:val="003A468D"/>
    <w:pPr>
      <w:numPr>
        <w:numId w:val="3"/>
      </w:numPr>
      <w:tabs>
        <w:tab w:val="clear" w:pos="1361"/>
      </w:tabs>
    </w:pPr>
  </w:style>
  <w:style w:type="paragraph" w:styleId="ListBullet5">
    <w:name w:val="List Bullet 5"/>
    <w:basedOn w:val="List5"/>
    <w:rsid w:val="003A468D"/>
    <w:pPr>
      <w:numPr>
        <w:numId w:val="4"/>
      </w:numPr>
    </w:pPr>
  </w:style>
  <w:style w:type="paragraph" w:styleId="ListContinue2">
    <w:name w:val="List Continue 2"/>
    <w:basedOn w:val="List2"/>
    <w:rsid w:val="003A468D"/>
    <w:pPr>
      <w:ind w:firstLine="0"/>
    </w:pPr>
  </w:style>
  <w:style w:type="paragraph" w:styleId="ListContinue3">
    <w:name w:val="List Continue 3"/>
    <w:basedOn w:val="List3"/>
    <w:rsid w:val="003A468D"/>
    <w:pPr>
      <w:ind w:left="1021" w:firstLine="0"/>
    </w:pPr>
  </w:style>
  <w:style w:type="paragraph" w:styleId="ListContinue4">
    <w:name w:val="List Continue 4"/>
    <w:basedOn w:val="List4"/>
    <w:rsid w:val="003A468D"/>
    <w:pPr>
      <w:ind w:firstLine="0"/>
    </w:pPr>
  </w:style>
  <w:style w:type="paragraph" w:styleId="ListContinue5">
    <w:name w:val="List Continue 5"/>
    <w:basedOn w:val="List5"/>
    <w:rsid w:val="003A468D"/>
    <w:pPr>
      <w:ind w:firstLine="0"/>
    </w:pPr>
  </w:style>
  <w:style w:type="paragraph" w:styleId="ListNumber3">
    <w:name w:val="List Number 3"/>
    <w:basedOn w:val="List3"/>
    <w:rsid w:val="003A468D"/>
    <w:pPr>
      <w:numPr>
        <w:numId w:val="5"/>
      </w:numPr>
    </w:pPr>
  </w:style>
  <w:style w:type="paragraph" w:styleId="ListNumber4">
    <w:name w:val="List Number 4"/>
    <w:basedOn w:val="List4"/>
    <w:rsid w:val="003A468D"/>
    <w:pPr>
      <w:numPr>
        <w:numId w:val="6"/>
      </w:numPr>
    </w:pPr>
  </w:style>
  <w:style w:type="paragraph" w:styleId="ListNumber5">
    <w:name w:val="List Number 5"/>
    <w:basedOn w:val="List5"/>
    <w:rsid w:val="003A468D"/>
    <w:pPr>
      <w:numPr>
        <w:numId w:val="7"/>
      </w:numPr>
    </w:pPr>
  </w:style>
  <w:style w:type="paragraph" w:styleId="BlockText">
    <w:name w:val="Block Text"/>
    <w:basedOn w:val="Normal"/>
    <w:rsid w:val="003A468D"/>
    <w:pPr>
      <w:spacing w:after="120"/>
      <w:ind w:left="1440" w:right="1440"/>
    </w:pPr>
  </w:style>
  <w:style w:type="character" w:customStyle="1" w:styleId="Subscript">
    <w:name w:val="Subscript"/>
    <w:basedOn w:val="DefaultParagraphFont"/>
    <w:rsid w:val="003A468D"/>
    <w:rPr>
      <w:sz w:val="16"/>
      <w:vertAlign w:val="subscript"/>
    </w:rPr>
  </w:style>
  <w:style w:type="character" w:customStyle="1" w:styleId="Superscript">
    <w:name w:val="Superscript"/>
    <w:basedOn w:val="DefaultParagraphFont"/>
    <w:rsid w:val="003A468D"/>
    <w:rPr>
      <w:sz w:val="16"/>
      <w:vertAlign w:val="superscript"/>
    </w:rPr>
  </w:style>
  <w:style w:type="character" w:customStyle="1" w:styleId="Symbols">
    <w:name w:val="Symbols"/>
    <w:basedOn w:val="DefaultParagraphFont"/>
    <w:rsid w:val="003A468D"/>
    <w:rPr>
      <w:rFonts w:ascii="Symbol" w:hAnsi="Symbol"/>
    </w:rPr>
  </w:style>
  <w:style w:type="character" w:customStyle="1" w:styleId="MenuOptions">
    <w:name w:val="Menu Options"/>
    <w:basedOn w:val="DefaultParagraphFont"/>
    <w:rsid w:val="003A468D"/>
    <w:rPr>
      <w:rFonts w:ascii="Arial Narrow" w:hAnsi="Arial Narrow"/>
      <w:smallCaps/>
    </w:rPr>
  </w:style>
  <w:style w:type="character" w:customStyle="1" w:styleId="Buttons">
    <w:name w:val="Buttons"/>
    <w:basedOn w:val="DefaultParagraphFont"/>
    <w:rsid w:val="003A468D"/>
    <w:rPr>
      <w:b/>
    </w:rPr>
  </w:style>
  <w:style w:type="character" w:customStyle="1" w:styleId="Underlined">
    <w:name w:val="Underlined"/>
    <w:basedOn w:val="DefaultParagraphFont"/>
    <w:rsid w:val="003A468D"/>
    <w:rPr>
      <w:u w:val="single"/>
    </w:rPr>
  </w:style>
  <w:style w:type="paragraph" w:customStyle="1" w:styleId="TableBodyTextRight">
    <w:name w:val="Table Body Text Right"/>
    <w:basedOn w:val="TableBodyText"/>
    <w:rsid w:val="003A468D"/>
    <w:pPr>
      <w:widowControl w:val="0"/>
      <w:autoSpaceDE w:val="0"/>
      <w:autoSpaceDN w:val="0"/>
      <w:adjustRightInd w:val="0"/>
      <w:jc w:val="right"/>
    </w:pPr>
    <w:rPr>
      <w:rFonts w:cs="Arial"/>
      <w:szCs w:val="18"/>
    </w:rPr>
  </w:style>
  <w:style w:type="paragraph" w:customStyle="1" w:styleId="CopyrightText">
    <w:name w:val="Copyright Text"/>
    <w:basedOn w:val="BodyText"/>
    <w:rsid w:val="003A468D"/>
    <w:rPr>
      <w:sz w:val="18"/>
    </w:rPr>
  </w:style>
  <w:style w:type="paragraph" w:customStyle="1" w:styleId="BodySmallRight">
    <w:name w:val="Body Small Right"/>
    <w:basedOn w:val="BodyTextRight"/>
    <w:rsid w:val="003A468D"/>
    <w:rPr>
      <w:sz w:val="18"/>
      <w:szCs w:val="18"/>
    </w:rPr>
  </w:style>
  <w:style w:type="paragraph" w:customStyle="1" w:styleId="MarginEdition">
    <w:name w:val="Margin Edition"/>
    <w:basedOn w:val="MarginNote"/>
    <w:rsid w:val="003A468D"/>
    <w:pPr>
      <w:spacing w:before="0" w:after="0"/>
    </w:pPr>
    <w:rPr>
      <w:rFonts w:ascii="Times New Roman" w:hAnsi="Times New Roman"/>
      <w:color w:val="999999"/>
    </w:rPr>
  </w:style>
  <w:style w:type="paragraph" w:customStyle="1" w:styleId="Spacer">
    <w:name w:val="Spacer"/>
    <w:basedOn w:val="Normal"/>
    <w:rsid w:val="003A468D"/>
    <w:rPr>
      <w:sz w:val="2"/>
      <w:szCs w:val="2"/>
    </w:rPr>
  </w:style>
  <w:style w:type="character" w:customStyle="1" w:styleId="Small">
    <w:name w:val="Small"/>
    <w:basedOn w:val="DefaultParagraphFont"/>
    <w:rsid w:val="003A468D"/>
    <w:rPr>
      <w:sz w:val="16"/>
    </w:rPr>
  </w:style>
  <w:style w:type="paragraph" w:customStyle="1" w:styleId="WideTable">
    <w:name w:val="Wide Table"/>
    <w:basedOn w:val="Normal"/>
    <w:rsid w:val="003A468D"/>
    <w:pPr>
      <w:ind w:left="-1418"/>
    </w:pPr>
    <w:rPr>
      <w:sz w:val="2"/>
      <w:szCs w:val="2"/>
    </w:rPr>
  </w:style>
  <w:style w:type="character" w:styleId="PageNumber">
    <w:name w:val="page number"/>
    <w:basedOn w:val="DefaultParagraphFont"/>
    <w:rsid w:val="003A468D"/>
  </w:style>
  <w:style w:type="paragraph" w:styleId="Quote">
    <w:name w:val="Quote"/>
    <w:basedOn w:val="Heading1"/>
    <w:link w:val="QuoteChar"/>
    <w:qFormat/>
    <w:rsid w:val="003A468D"/>
    <w:rPr>
      <w:b w:val="0"/>
      <w:sz w:val="72"/>
      <w:szCs w:val="72"/>
      <w:lang w:val="en-NZ"/>
    </w:rPr>
  </w:style>
  <w:style w:type="character" w:customStyle="1" w:styleId="QuoteChar">
    <w:name w:val="Quote Char"/>
    <w:basedOn w:val="DefaultParagraphFont"/>
    <w:link w:val="Quote"/>
    <w:rsid w:val="003A4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68D"/>
    <w:pPr>
      <w:pageBreakBefore/>
    </w:pPr>
  </w:style>
  <w:style w:type="paragraph" w:customStyle="1" w:styleId="Border">
    <w:name w:val="Border"/>
    <w:basedOn w:val="Normal"/>
    <w:qFormat/>
    <w:rsid w:val="003A4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68D"/>
    <w:rPr>
      <w:b/>
      <w:bCs/>
      <w:i/>
      <w:iCs/>
      <w:color w:val="auto"/>
    </w:rPr>
  </w:style>
  <w:style w:type="paragraph" w:styleId="IntenseQuote">
    <w:name w:val="Intense Quote"/>
    <w:basedOn w:val="Normal"/>
    <w:next w:val="Normal"/>
    <w:link w:val="IntenseQuoteChar"/>
    <w:uiPriority w:val="30"/>
    <w:qFormat/>
    <w:rsid w:val="003A4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68D"/>
    <w:rPr>
      <w:smallCaps/>
      <w:color w:val="auto"/>
      <w:u w:val="single"/>
    </w:rPr>
  </w:style>
  <w:style w:type="character" w:styleId="IntenseReference">
    <w:name w:val="Intense Reference"/>
    <w:basedOn w:val="DefaultParagraphFont"/>
    <w:uiPriority w:val="32"/>
    <w:qFormat/>
    <w:rsid w:val="003A468D"/>
    <w:rPr>
      <w:b/>
      <w:bCs/>
      <w:smallCaps/>
      <w:color w:val="auto"/>
      <w:spacing w:val="5"/>
      <w:u w:val="single"/>
    </w:rPr>
  </w:style>
  <w:style w:type="paragraph" w:customStyle="1" w:styleId="2ColumnHeading">
    <w:name w:val="2Column Heading"/>
    <w:basedOn w:val="BodyText"/>
    <w:qFormat/>
    <w:rsid w:val="003A468D"/>
    <w:pPr>
      <w:spacing w:after="60"/>
      <w:ind w:left="-2268"/>
    </w:pPr>
    <w:rPr>
      <w:b/>
    </w:rPr>
  </w:style>
  <w:style w:type="paragraph" w:customStyle="1" w:styleId="Heading1TOC">
    <w:name w:val="Heading1 TOC"/>
    <w:basedOn w:val="Normal"/>
    <w:qFormat/>
    <w:rsid w:val="003A468D"/>
    <w:pPr>
      <w:spacing w:before="240" w:after="120"/>
    </w:pPr>
    <w:rPr>
      <w:rFonts w:ascii="Times New Roman" w:hAnsi="Times New Roman"/>
      <w:b/>
      <w:sz w:val="32"/>
    </w:rPr>
  </w:style>
  <w:style w:type="paragraph" w:customStyle="1" w:styleId="Heading2TOC">
    <w:name w:val="Heading2 TOC"/>
    <w:basedOn w:val="Normal"/>
    <w:qFormat/>
    <w:rsid w:val="003A468D"/>
    <w:pPr>
      <w:spacing w:before="240" w:after="60"/>
    </w:pPr>
    <w:rPr>
      <w:rFonts w:ascii="Times New Roman" w:hAnsi="Times New Roman"/>
      <w:b/>
      <w:sz w:val="28"/>
    </w:rPr>
  </w:style>
  <w:style w:type="character" w:customStyle="1" w:styleId="Underline">
    <w:name w:val="Underline"/>
    <w:basedOn w:val="DefaultParagraphFont"/>
    <w:qFormat/>
    <w:rsid w:val="003A468D"/>
    <w:rPr>
      <w:u w:val="single"/>
    </w:rPr>
  </w:style>
  <w:style w:type="paragraph" w:styleId="BalloonText">
    <w:name w:val="Balloon Text"/>
    <w:basedOn w:val="Normal"/>
    <w:link w:val="BalloonTextChar"/>
    <w:rsid w:val="003A468D"/>
    <w:rPr>
      <w:rFonts w:ascii="Tahoma" w:hAnsi="Tahoma" w:cs="Tahoma"/>
      <w:sz w:val="16"/>
      <w:szCs w:val="16"/>
    </w:rPr>
  </w:style>
  <w:style w:type="character" w:customStyle="1" w:styleId="BalloonTextChar">
    <w:name w:val="Balloon Text Char"/>
    <w:basedOn w:val="DefaultParagraphFont"/>
    <w:link w:val="BalloonText"/>
    <w:rsid w:val="003A4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6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68D"/>
    <w:rPr>
      <w:b/>
      <w:color w:val="660033"/>
      <w:spacing w:val="0"/>
    </w:rPr>
  </w:style>
  <w:style w:type="paragraph" w:customStyle="1" w:styleId="Nameditemlist">
    <w:name w:val="Named item list"/>
    <w:basedOn w:val="BodyText"/>
    <w:qFormat/>
    <w:rsid w:val="003A46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2078</Words>
  <Characters>13264</Characters>
  <Application>Microsoft Office Word</Application>
  <DocSecurity>0</DocSecurity>
  <Lines>465</Lines>
  <Paragraphs>237</Paragraphs>
  <ScaleCrop>false</ScaleCrop>
  <Company>Author-it Software Corporation Ltd.</Company>
  <LinksUpToDate>false</LinksUpToDate>
  <CharactersWithSpaces>15262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CPCCLSF3001A Licence to erect, alter and dismantle scaffolding intermediate level</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2015-03-10T12:46:00Z</dcterms:created>
  <dcterms:modified xsi:type="dcterms:W3CDTF">2015-03-10T12:46:00Z</dcterms:modified>
</cp:coreProperties>
</file>