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3495" w:rsidP="00DC3495">
      <w:pPr>
        <w:pStyle w:val="Title"/>
      </w:pPr>
      <w:bookmarkStart w:id="0" w:name="_GoBack"/>
      <w:bookmarkEnd w:id="0"/>
      <w:r>
        <w:fldChar w:fldCharType="begin"/>
      </w:r>
      <w:r>
        <w:instrText xml:space="preserve"> TITLE   \* MERGEFORMAT </w:instrText>
      </w:r>
      <w:r>
        <w:fldChar w:fldCharType="separate"/>
      </w:r>
      <w:r>
        <w:t>CPCCLSF2001A Licence to erect, alter and dismantle scaffolding basic level</w:t>
      </w:r>
      <w:r>
        <w:fldChar w:fldCharType="end"/>
      </w:r>
    </w:p>
    <w:p w:rsidR="00DC3495" w:rsidP="00DC3495">
      <w:pPr>
        <w:pStyle w:val="Version"/>
        <w:sectPr w:rsidSect="004A76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766F" w:rsidP="004A766F">
      <w:pPr>
        <w:pStyle w:val="SuperHeading"/>
      </w:pPr>
      <w:r w:rsidRPr="004A766F">
        <w:t>CPCCLSF2001A Licence to erect, alter and dismantle scaffolding basic level</w:t>
      </w:r>
    </w:p>
    <w:p w:rsidR="00000000" w:rsidRPr="004A766F" w:rsidP="004A766F">
      <w:pPr>
        <w:pStyle w:val="Heading1"/>
      </w:pPr>
      <w:bookmarkStart w:id="1" w:name="O_269589"/>
      <w:bookmarkEnd w:id="1"/>
      <w:r w:rsidRPr="004A766F">
        <w:t>Modification History</w:t>
      </w:r>
    </w:p>
    <w:p w:rsidR="00000000" w:rsidRPr="004A766F" w:rsidP="004A766F">
      <w:pPr>
        <w:pStyle w:val="BodyText"/>
      </w:pPr>
      <w:r w:rsidRPr="004A766F">
        <w:t>Not Applicable</w:t>
      </w:r>
    </w:p>
    <w:p w:rsidR="00000000" w:rsidRPr="004A766F" w:rsidP="004A766F">
      <w:pPr>
        <w:pStyle w:val="AllowPageBreak"/>
      </w:pPr>
    </w:p>
    <w:p w:rsidR="00000000" w:rsidRPr="004A766F" w:rsidP="004A766F">
      <w:pPr>
        <w:pStyle w:val="Heading1"/>
      </w:pPr>
      <w:bookmarkStart w:id="2" w:name="O_197983"/>
      <w:bookmarkEnd w:id="2"/>
      <w:r w:rsidRPr="004A766F">
        <w:t>Unit Descriptor</w:t>
      </w:r>
    </w:p>
    <w:tbl>
      <w:tblPr>
        <w:tblW w:w="0" w:type="auto"/>
        <w:tblLayout w:type="fixed"/>
        <w:tblCellMar>
          <w:left w:w="62" w:type="dxa"/>
          <w:right w:w="62" w:type="dxa"/>
        </w:tblCellMar>
        <w:tblLook w:val="0000"/>
      </w:tblPr>
      <w:tblGrid>
        <w:gridCol w:w="2670"/>
        <w:gridCol w:w="5852"/>
      </w:tblGrid>
      <w:tr w:rsidTr="00DC3495">
        <w:tblPrEx>
          <w:tblW w:w="0" w:type="auto"/>
          <w:tblLayout w:type="fixed"/>
          <w:tblCellMar>
            <w:left w:w="62" w:type="dxa"/>
            <w:right w:w="62" w:type="dxa"/>
          </w:tblCellMar>
          <w:tblLook w:val="0000"/>
        </w:tblPrEx>
        <w:tc>
          <w:tcPr>
            <w:tcW w:w="2670" w:type="dxa"/>
            <w:tcBorders>
              <w:top w:val="nil"/>
              <w:left w:val="nil"/>
              <w:bottom w:val="nil"/>
              <w:right w:val="nil"/>
            </w:tcBorders>
            <w:tcMar>
              <w:top w:w="0" w:type="dxa"/>
              <w:left w:w="62" w:type="dxa"/>
              <w:bottom w:w="0" w:type="dxa"/>
              <w:right w:w="62" w:type="dxa"/>
            </w:tcMar>
          </w:tcPr>
          <w:p w:rsidR="00000000" w:rsidP="004A766F">
            <w:pPr>
              <w:pStyle w:val="BodyText"/>
              <w:rPr>
                <w:lang w:val="en-NZ"/>
              </w:rPr>
            </w:pPr>
            <w:r w:rsidRPr="004A766F">
              <w:rPr>
                <w:rStyle w:val="SpecialBold"/>
              </w:rPr>
              <w:t>Unit d</w:t>
            </w:r>
            <w:r w:rsidRPr="004A766F">
              <w:rPr>
                <w:rStyle w:val="SpecialBold"/>
              </w:rPr>
              <w:t>escriptor</w:t>
            </w:r>
          </w:p>
        </w:tc>
        <w:tc>
          <w:tcPr>
            <w:tcW w:w="5852" w:type="dxa"/>
            <w:tcBorders>
              <w:top w:val="nil"/>
              <w:left w:val="nil"/>
              <w:bottom w:val="nil"/>
              <w:right w:val="nil"/>
            </w:tcBorders>
            <w:tcMar>
              <w:top w:w="0" w:type="dxa"/>
              <w:left w:w="62" w:type="dxa"/>
              <w:bottom w:w="0" w:type="dxa"/>
              <w:right w:w="62" w:type="dxa"/>
            </w:tcMar>
          </w:tcPr>
          <w:p w:rsidR="00000000" w:rsidRPr="004A766F" w:rsidP="004A766F">
            <w:pPr>
              <w:pStyle w:val="BodyText"/>
            </w:pPr>
            <w:r w:rsidRPr="004A766F">
              <w:t xml:space="preserve">This unit specifies the outcomes required to erect, alter and dismantle scaffolding at the basic level, consisting of scaffolding work connected with the operation or use of modular or pre-fabricated scaffolds, cantilevered materials hoists with </w:t>
            </w:r>
            <w:r w:rsidRPr="004A766F">
              <w:t>a maximum working load of 500kg, ropes and gin wheels, safety nets and static lines, and bracket scaffolds (tank and formwork) for licensing purposes.</w:t>
            </w:r>
          </w:p>
        </w:tc>
      </w:tr>
    </w:tbl>
    <w:p w:rsidR="00DC3495" w:rsidP="004A766F">
      <w:pPr>
        <w:pStyle w:val="BodyText"/>
      </w:pPr>
    </w:p>
    <w:p w:rsidR="00DC3495" w:rsidP="004A766F">
      <w:pPr>
        <w:pStyle w:val="BodyText"/>
      </w:pPr>
    </w:p>
    <w:p w:rsidR="00000000" w:rsidRPr="004A766F" w:rsidP="004A766F">
      <w:pPr>
        <w:pStyle w:val="Heading1"/>
      </w:pPr>
      <w:bookmarkStart w:id="3" w:name="O_197987"/>
      <w:bookmarkEnd w:id="3"/>
      <w:r w:rsidRPr="004A766F">
        <w:t>Application of the Unit</w:t>
      </w:r>
    </w:p>
    <w:tbl>
      <w:tblPr>
        <w:tblW w:w="0" w:type="auto"/>
        <w:tblLayout w:type="fixed"/>
        <w:tblCellMar>
          <w:left w:w="62" w:type="dxa"/>
          <w:right w:w="62" w:type="dxa"/>
        </w:tblCellMar>
        <w:tblLook w:val="0000"/>
      </w:tblPr>
      <w:tblGrid>
        <w:gridCol w:w="2734"/>
        <w:gridCol w:w="5788"/>
      </w:tblGrid>
      <w:tr w:rsidTr="00DC3495">
        <w:tblPrEx>
          <w:tblW w:w="0" w:type="auto"/>
          <w:tblLayout w:type="fixed"/>
          <w:tblCellMar>
            <w:left w:w="62" w:type="dxa"/>
            <w:right w:w="62" w:type="dxa"/>
          </w:tblCellMar>
          <w:tblLook w:val="0000"/>
        </w:tblPrEx>
        <w:tc>
          <w:tcPr>
            <w:tcW w:w="2734" w:type="dxa"/>
            <w:tcBorders>
              <w:top w:val="nil"/>
              <w:left w:val="nil"/>
              <w:bottom w:val="nil"/>
              <w:right w:val="nil"/>
            </w:tcBorders>
            <w:tcMar>
              <w:top w:w="0" w:type="dxa"/>
              <w:left w:w="62" w:type="dxa"/>
              <w:bottom w:w="0" w:type="dxa"/>
              <w:right w:w="62" w:type="dxa"/>
            </w:tcMar>
          </w:tcPr>
          <w:p w:rsidR="00000000" w:rsidP="004A766F">
            <w:pPr>
              <w:pStyle w:val="BodyText"/>
              <w:rPr>
                <w:lang w:val="en-NZ"/>
              </w:rPr>
            </w:pPr>
            <w:r w:rsidRPr="004A766F">
              <w:rPr>
                <w:rStyle w:val="SpecialBold"/>
              </w:rPr>
              <w:t>Application of the unit</w:t>
            </w:r>
          </w:p>
        </w:tc>
        <w:tc>
          <w:tcPr>
            <w:tcW w:w="5788" w:type="dxa"/>
            <w:tcBorders>
              <w:top w:val="nil"/>
              <w:left w:val="nil"/>
              <w:bottom w:val="nil"/>
              <w:right w:val="nil"/>
            </w:tcBorders>
            <w:tcMar>
              <w:top w:w="0" w:type="dxa"/>
              <w:left w:w="62" w:type="dxa"/>
              <w:bottom w:w="0" w:type="dxa"/>
              <w:right w:w="62" w:type="dxa"/>
            </w:tcMar>
          </w:tcPr>
          <w:p w:rsidR="00000000" w:rsidRPr="004A766F" w:rsidP="004A766F">
            <w:pPr>
              <w:pStyle w:val="BodyText"/>
            </w:pPr>
            <w:r w:rsidRPr="004A766F">
              <w:t xml:space="preserve">This unit covers the scope of work to plan the job, select and inspect equipment, set up task, erect scaffold and scaffold equipment and dismantle scaffold and scaffold equipment. </w:t>
            </w:r>
          </w:p>
          <w:p w:rsidR="00000000" w:rsidRPr="004A766F" w:rsidP="004A766F">
            <w:pPr>
              <w:pStyle w:val="BodyText"/>
            </w:pPr>
            <w:r w:rsidRPr="004A766F">
              <w:t>This unit is based upon the National Standard for Licensing Persons Perform</w:t>
            </w:r>
            <w:r w:rsidRPr="004A766F">
              <w:t xml:space="preserve">ing High Risk Work. </w:t>
            </w:r>
          </w:p>
          <w:p w:rsidR="00000000" w:rsidRPr="004A766F" w:rsidP="004A766F">
            <w:pPr>
              <w:pStyle w:val="BodyText"/>
            </w:pPr>
            <w:r w:rsidRPr="004A766F">
              <w:t xml:space="preserve">This unit in its current form it state and territory licensing requirements. Any alteration will result in a unit which is not acceptable to regulators for the purpose of licensing. </w:t>
            </w:r>
          </w:p>
        </w:tc>
      </w:tr>
    </w:tbl>
    <w:p w:rsidR="00DC3495" w:rsidP="004A766F">
      <w:pPr>
        <w:pStyle w:val="BodyText"/>
      </w:pPr>
    </w:p>
    <w:p w:rsidR="00DC3495" w:rsidP="004A766F">
      <w:pPr>
        <w:pStyle w:val="BodyText"/>
      </w:pPr>
    </w:p>
    <w:p w:rsidR="00000000" w:rsidRPr="004A766F" w:rsidP="004A766F">
      <w:pPr>
        <w:pStyle w:val="Heading1"/>
      </w:pPr>
      <w:bookmarkStart w:id="4" w:name="O_277849"/>
      <w:bookmarkEnd w:id="4"/>
      <w:r w:rsidRPr="004A766F">
        <w:t>Licensing/Regulatory Information</w:t>
      </w:r>
    </w:p>
    <w:p w:rsidR="00000000" w:rsidRPr="004A766F" w:rsidP="004A766F">
      <w:pPr>
        <w:pStyle w:val="BodyText"/>
      </w:pPr>
      <w:r w:rsidRPr="004A766F">
        <w:t>Refer to Unit Descriptor</w:t>
      </w:r>
    </w:p>
    <w:p w:rsidR="00000000" w:rsidRPr="004A766F" w:rsidP="004A766F">
      <w:pPr>
        <w:pStyle w:val="AllowPageBreak"/>
      </w:pPr>
    </w:p>
    <w:p w:rsidR="00000000" w:rsidRPr="004A766F" w:rsidP="004A766F">
      <w:pPr>
        <w:pStyle w:val="Heading1"/>
      </w:pPr>
      <w:bookmarkStart w:id="5" w:name="O_197985"/>
      <w:bookmarkEnd w:id="5"/>
      <w:r w:rsidRPr="004A766F">
        <w:t>Pre-Requisites</w:t>
      </w:r>
    </w:p>
    <w:tbl>
      <w:tblPr>
        <w:tblW w:w="0" w:type="auto"/>
        <w:tblLayout w:type="fixed"/>
        <w:tblCellMar>
          <w:left w:w="62" w:type="dxa"/>
          <w:right w:w="62" w:type="dxa"/>
        </w:tblCellMar>
        <w:tblLook w:val="0000"/>
      </w:tblPr>
      <w:tblGrid>
        <w:gridCol w:w="2743"/>
        <w:gridCol w:w="1317"/>
        <w:gridCol w:w="4462"/>
      </w:tblGrid>
      <w:tr w:rsidTr="00DC3495">
        <w:tblPrEx>
          <w:tblW w:w="0" w:type="auto"/>
          <w:tblLayout w:type="fixed"/>
          <w:tblCellMar>
            <w:left w:w="62" w:type="dxa"/>
            <w:right w:w="62" w:type="dxa"/>
          </w:tblCellMar>
          <w:tblLook w:val="0000"/>
        </w:tblPrEx>
        <w:trPr>
          <w:tblHeader/>
        </w:trPr>
        <w:tc>
          <w:tcPr>
            <w:tcW w:w="2743" w:type="dxa"/>
            <w:tcBorders>
              <w:top w:val="nil"/>
              <w:left w:val="nil"/>
              <w:bottom w:val="nil"/>
              <w:right w:val="nil"/>
            </w:tcBorders>
            <w:tcMar>
              <w:top w:w="0" w:type="dxa"/>
              <w:left w:w="62" w:type="dxa"/>
              <w:bottom w:w="0" w:type="dxa"/>
              <w:right w:w="62" w:type="dxa"/>
            </w:tcMar>
          </w:tcPr>
          <w:p w:rsidR="00000000" w:rsidP="004A766F">
            <w:pPr>
              <w:pStyle w:val="BodyText"/>
              <w:rPr>
                <w:lang w:val="en-NZ"/>
              </w:rPr>
            </w:pPr>
            <w:r w:rsidRPr="004A766F">
              <w:rPr>
                <w:rStyle w:val="SpecialBold"/>
              </w:rPr>
              <w:t>Prerequisite units</w:t>
            </w:r>
          </w:p>
        </w:tc>
        <w:tc>
          <w:tcPr>
            <w:tcW w:w="5779" w:type="dxa"/>
            <w:gridSpan w:val="2"/>
            <w:tcBorders>
              <w:top w:val="nil"/>
              <w:left w:val="nil"/>
              <w:bottom w:val="nil"/>
              <w:right w:val="nil"/>
            </w:tcBorders>
            <w:tcMar>
              <w:top w:w="0" w:type="dxa"/>
              <w:left w:w="62" w:type="dxa"/>
              <w:bottom w:w="0" w:type="dxa"/>
              <w:right w:w="62" w:type="dxa"/>
            </w:tcMar>
          </w:tcPr>
          <w:p w:rsidR="00000000" w:rsidP="004A766F">
            <w:pPr>
              <w:pStyle w:val="BodyText"/>
              <w:rPr>
                <w:lang w:val="en-NZ"/>
              </w:rPr>
            </w:pPr>
            <w:r w:rsidRPr="004A766F">
              <w:t>Nil</w:t>
            </w:r>
          </w:p>
        </w:tc>
      </w:tr>
      <w:tr w:rsidTr="00DC3495">
        <w:tblPrEx>
          <w:tblW w:w="0" w:type="auto"/>
          <w:tblLayout w:type="fixed"/>
          <w:tblCellMar>
            <w:left w:w="62" w:type="dxa"/>
            <w:right w:w="62" w:type="dxa"/>
          </w:tblCellMar>
          <w:tblLook w:val="0000"/>
        </w:tblPrEx>
        <w:tc>
          <w:tcPr>
            <w:tcW w:w="27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62" w:type="dxa"/>
            <w:tcBorders>
              <w:top w:val="nil"/>
              <w:left w:val="nil"/>
              <w:bottom w:val="nil"/>
              <w:right w:val="nil"/>
            </w:tcBorders>
            <w:tcMar>
              <w:top w:w="0" w:type="dxa"/>
              <w:left w:w="62" w:type="dxa"/>
              <w:bottom w:w="0" w:type="dxa"/>
              <w:right w:w="62" w:type="dxa"/>
            </w:tcMar>
          </w:tcPr>
          <w:p w:rsidR="00000000" w:rsidRPr="004A766F" w:rsidP="004A766F">
            <w:pPr>
              <w:pStyle w:val="BodyText"/>
            </w:pPr>
          </w:p>
        </w:tc>
      </w:tr>
    </w:tbl>
    <w:p w:rsidR="00DC3495" w:rsidP="004A766F">
      <w:pPr>
        <w:pStyle w:val="BodyText"/>
      </w:pPr>
    </w:p>
    <w:p w:rsidR="00DC3495" w:rsidP="004A766F">
      <w:pPr>
        <w:pStyle w:val="BodyText"/>
      </w:pPr>
    </w:p>
    <w:p w:rsidR="00000000" w:rsidRPr="004A766F" w:rsidP="004A766F">
      <w:pPr>
        <w:pStyle w:val="Heading1"/>
      </w:pPr>
      <w:bookmarkStart w:id="6" w:name="O_197984"/>
      <w:bookmarkEnd w:id="6"/>
      <w:r w:rsidRPr="004A766F">
        <w:t>Employability Skills Information</w:t>
      </w:r>
    </w:p>
    <w:tbl>
      <w:tblPr>
        <w:tblW w:w="0" w:type="auto"/>
        <w:tblLayout w:type="fixed"/>
        <w:tblCellMar>
          <w:left w:w="62" w:type="dxa"/>
          <w:right w:w="62" w:type="dxa"/>
        </w:tblCellMar>
        <w:tblLook w:val="0000"/>
      </w:tblPr>
      <w:tblGrid>
        <w:gridCol w:w="2769"/>
        <w:gridCol w:w="5753"/>
      </w:tblGrid>
      <w:tr w:rsidTr="00DC3495">
        <w:tblPrEx>
          <w:tblW w:w="0" w:type="auto"/>
          <w:tblLayout w:type="fixed"/>
          <w:tblCellMar>
            <w:left w:w="62" w:type="dxa"/>
            <w:right w:w="62" w:type="dxa"/>
          </w:tblCellMar>
          <w:tblLook w:val="0000"/>
        </w:tblPrEx>
        <w:trPr>
          <w:tblHeader/>
        </w:trPr>
        <w:tc>
          <w:tcPr>
            <w:tcW w:w="2769" w:type="dxa"/>
            <w:tcBorders>
              <w:top w:val="nil"/>
              <w:left w:val="nil"/>
              <w:bottom w:val="nil"/>
              <w:right w:val="nil"/>
            </w:tcBorders>
            <w:tcMar>
              <w:top w:w="0" w:type="dxa"/>
              <w:left w:w="62" w:type="dxa"/>
              <w:bottom w:w="0" w:type="dxa"/>
              <w:right w:w="62" w:type="dxa"/>
            </w:tcMar>
          </w:tcPr>
          <w:p w:rsidR="00000000" w:rsidP="004A766F">
            <w:pPr>
              <w:pStyle w:val="BodyText"/>
              <w:rPr>
                <w:lang w:val="en-NZ"/>
              </w:rPr>
            </w:pPr>
            <w:r w:rsidRPr="004A766F">
              <w:rPr>
                <w:rStyle w:val="SpecialBold"/>
              </w:rPr>
              <w:t>Employability skills</w:t>
            </w:r>
          </w:p>
        </w:tc>
        <w:tc>
          <w:tcPr>
            <w:tcW w:w="5753" w:type="dxa"/>
            <w:tcBorders>
              <w:top w:val="nil"/>
              <w:left w:val="nil"/>
              <w:bottom w:val="nil"/>
              <w:right w:val="nil"/>
            </w:tcBorders>
            <w:tcMar>
              <w:top w:w="0" w:type="dxa"/>
              <w:left w:w="62" w:type="dxa"/>
              <w:bottom w:w="0" w:type="dxa"/>
              <w:right w:w="62" w:type="dxa"/>
            </w:tcMar>
          </w:tcPr>
          <w:p w:rsidR="00000000" w:rsidRPr="004A766F" w:rsidP="004A766F">
            <w:pPr>
              <w:pStyle w:val="BodyText"/>
            </w:pPr>
            <w:r w:rsidRPr="004A766F">
              <w:t>This unit contains employability skills.</w:t>
            </w:r>
          </w:p>
        </w:tc>
      </w:tr>
    </w:tbl>
    <w:p w:rsidR="00DC3495" w:rsidP="004A766F">
      <w:pPr>
        <w:pStyle w:val="BodyText"/>
      </w:pPr>
    </w:p>
    <w:p w:rsidR="00DC3495" w:rsidP="004A766F">
      <w:pPr>
        <w:pStyle w:val="BodyText"/>
      </w:pPr>
    </w:p>
    <w:p w:rsidR="00000000" w:rsidRPr="004A766F" w:rsidP="004A766F">
      <w:pPr>
        <w:pStyle w:val="Heading1"/>
      </w:pPr>
      <w:bookmarkStart w:id="7" w:name="O_287635"/>
      <w:bookmarkEnd w:id="7"/>
      <w:r w:rsidRPr="004A766F">
        <w:t>Elements and Performance Criteria Pre-Content</w:t>
      </w:r>
    </w:p>
    <w:tbl>
      <w:tblPr>
        <w:tblW w:w="0" w:type="auto"/>
        <w:tblLayout w:type="fixed"/>
        <w:tblCellMar>
          <w:left w:w="62" w:type="dxa"/>
          <w:right w:w="62" w:type="dxa"/>
        </w:tblCellMar>
        <w:tblLook w:val="0000"/>
      </w:tblPr>
      <w:tblGrid>
        <w:gridCol w:w="2575"/>
        <w:gridCol w:w="5947"/>
      </w:tblGrid>
      <w:tr w:rsidTr="00DC3495">
        <w:tblPrEx>
          <w:tblW w:w="0" w:type="auto"/>
          <w:tblLayout w:type="fixed"/>
          <w:tblCellMar>
            <w:left w:w="62" w:type="dxa"/>
            <w:right w:w="62" w:type="dxa"/>
          </w:tblCellMar>
          <w:tblLook w:val="0000"/>
        </w:tblPrEx>
        <w:tc>
          <w:tcPr>
            <w:tcW w:w="2575" w:type="dxa"/>
            <w:tcBorders>
              <w:top w:val="single" w:sz="6" w:space="0" w:color="auto"/>
              <w:left w:val="nil"/>
              <w:bottom w:val="nil"/>
              <w:right w:val="nil"/>
            </w:tcBorders>
            <w:tcMar>
              <w:top w:w="0" w:type="dxa"/>
              <w:left w:w="62" w:type="dxa"/>
              <w:bottom w:w="0" w:type="dxa"/>
              <w:right w:w="62" w:type="dxa"/>
            </w:tcMar>
          </w:tcPr>
          <w:p w:rsidR="00000000" w:rsidP="004A766F">
            <w:pPr>
              <w:pStyle w:val="BodyText"/>
              <w:rPr>
                <w:lang w:val="en-NZ"/>
              </w:rPr>
            </w:pPr>
            <w:r w:rsidRPr="004A766F">
              <w:t>Elements describe the essential outcomes of a unit of competency.</w:t>
            </w:r>
          </w:p>
        </w:tc>
        <w:tc>
          <w:tcPr>
            <w:tcW w:w="5947" w:type="dxa"/>
            <w:tcBorders>
              <w:top w:val="single" w:sz="6" w:space="0" w:color="auto"/>
              <w:left w:val="nil"/>
              <w:bottom w:val="nil"/>
              <w:right w:val="nil"/>
            </w:tcBorders>
            <w:tcMar>
              <w:top w:w="0" w:type="dxa"/>
              <w:left w:w="62" w:type="dxa"/>
              <w:bottom w:w="0" w:type="dxa"/>
              <w:right w:w="62" w:type="dxa"/>
            </w:tcMar>
          </w:tcPr>
          <w:p w:rsidR="00000000" w:rsidRPr="004A766F" w:rsidP="004A766F">
            <w:pPr>
              <w:pStyle w:val="BodyText"/>
            </w:pPr>
            <w:r w:rsidRPr="004A766F">
              <w:t>Performance criteria describe the performance needed to demonstrate achievement of the element. Where bold italicised text is used, further info</w:t>
            </w:r>
            <w:r w:rsidRPr="004A766F">
              <w:t>rmation is detailed in the required skills and knowledge section and the range statement. Assessment of performance is to be consistent with the evidence guide.</w:t>
            </w:r>
          </w:p>
        </w:tc>
      </w:tr>
    </w:tbl>
    <w:p w:rsidR="00000000" w:rsidRPr="004A766F" w:rsidP="004A766F">
      <w:pPr>
        <w:pStyle w:val="BodyText"/>
      </w:pPr>
    </w:p>
    <w:p w:rsidR="00000000" w:rsidRPr="004A766F" w:rsidP="004A766F">
      <w:pPr>
        <w:pStyle w:val="AllowPageBreak"/>
      </w:pPr>
    </w:p>
    <w:p w:rsidR="00000000" w:rsidRPr="004A766F" w:rsidP="004A766F">
      <w:pPr>
        <w:pStyle w:val="Heading1"/>
      </w:pPr>
      <w:bookmarkStart w:id="8" w:name="O_234302"/>
      <w:bookmarkEnd w:id="8"/>
      <w:r w:rsidRPr="004A766F">
        <w:t>Elements and Performance Criteria</w:t>
      </w:r>
    </w:p>
    <w:tbl>
      <w:tblPr>
        <w:tblW w:w="0" w:type="auto"/>
        <w:tblLayout w:type="fixed"/>
        <w:tblCellMar>
          <w:left w:w="62" w:type="dxa"/>
          <w:right w:w="62" w:type="dxa"/>
        </w:tblCellMar>
        <w:tblLook w:val="0000"/>
      </w:tblPr>
      <w:tblGrid>
        <w:gridCol w:w="2575"/>
        <w:gridCol w:w="5947"/>
      </w:tblGrid>
      <w:tr w:rsidTr="00DC3495">
        <w:tblPrEx>
          <w:tblW w:w="0" w:type="auto"/>
          <w:tblLayout w:type="fixed"/>
          <w:tblCellMar>
            <w:left w:w="62" w:type="dxa"/>
            <w:right w:w="62" w:type="dxa"/>
          </w:tblCellMar>
          <w:tblLook w:val="0000"/>
        </w:tblPrEx>
        <w:trPr>
          <w:tblHeader/>
        </w:trPr>
        <w:tc>
          <w:tcPr>
            <w:tcW w:w="2575" w:type="dxa"/>
            <w:tcBorders>
              <w:top w:val="nil"/>
              <w:left w:val="nil"/>
              <w:bottom w:val="single" w:sz="6" w:space="0" w:color="auto"/>
              <w:right w:val="nil"/>
            </w:tcBorders>
            <w:tcMar>
              <w:top w:w="0" w:type="dxa"/>
              <w:left w:w="62" w:type="dxa"/>
              <w:bottom w:w="0" w:type="dxa"/>
              <w:right w:w="62" w:type="dxa"/>
            </w:tcMar>
          </w:tcPr>
          <w:p w:rsidR="00000000" w:rsidRPr="004A766F" w:rsidP="004A766F">
            <w:pPr>
              <w:pStyle w:val="BodyText"/>
            </w:pPr>
            <w:r w:rsidRPr="004A766F">
              <w:rPr>
                <w:rStyle w:val="SpecialBold"/>
              </w:rPr>
              <w:t>ELEMENT</w:t>
            </w:r>
          </w:p>
        </w:tc>
        <w:tc>
          <w:tcPr>
            <w:tcW w:w="5947" w:type="dxa"/>
            <w:tcBorders>
              <w:top w:val="nil"/>
              <w:left w:val="nil"/>
              <w:bottom w:val="single" w:sz="6" w:space="0" w:color="auto"/>
              <w:right w:val="nil"/>
            </w:tcBorders>
            <w:tcMar>
              <w:top w:w="0" w:type="dxa"/>
              <w:left w:w="62" w:type="dxa"/>
              <w:bottom w:w="0" w:type="dxa"/>
              <w:right w:w="62" w:type="dxa"/>
            </w:tcMar>
          </w:tcPr>
          <w:p w:rsidR="00000000" w:rsidP="004A766F">
            <w:pPr>
              <w:pStyle w:val="BodyText"/>
              <w:rPr>
                <w:lang w:val="en-NZ"/>
              </w:rPr>
            </w:pPr>
            <w:r w:rsidRPr="004A766F">
              <w:rPr>
                <w:rStyle w:val="SpecialBold"/>
              </w:rPr>
              <w:t>PERFORMANCE CRITERIA</w:t>
            </w:r>
          </w:p>
        </w:tc>
      </w:tr>
      <w:tr w:rsidTr="00DC3495">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4A766F">
            <w:pPr>
              <w:pStyle w:val="List"/>
              <w:rPr>
                <w:lang w:val="en-NZ"/>
              </w:rPr>
            </w:pPr>
            <w:r w:rsidRPr="004A766F">
              <w:t>1.</w:t>
            </w:r>
            <w:r w:rsidRPr="004A766F">
              <w:tab/>
              <w:t>Plan job.</w:t>
            </w:r>
          </w:p>
        </w:tc>
        <w:tc>
          <w:tcPr>
            <w:tcW w:w="5947" w:type="dxa"/>
            <w:tcBorders>
              <w:top w:val="nil"/>
              <w:left w:val="nil"/>
              <w:bottom w:val="nil"/>
              <w:right w:val="nil"/>
            </w:tcBorders>
            <w:tcMar>
              <w:top w:w="0" w:type="dxa"/>
              <w:left w:w="62" w:type="dxa"/>
              <w:bottom w:w="0" w:type="dxa"/>
              <w:right w:w="62" w:type="dxa"/>
            </w:tcMar>
          </w:tcPr>
          <w:p w:rsidR="00000000" w:rsidRPr="004A766F" w:rsidP="004A766F">
            <w:pPr>
              <w:pStyle w:val="List2"/>
            </w:pPr>
            <w:r w:rsidRPr="004A766F">
              <w:t>1.1.</w:t>
            </w:r>
            <w:r w:rsidRPr="004A766F">
              <w:tab/>
              <w:t>Task to be undertaken is assessed.</w:t>
            </w:r>
          </w:p>
          <w:p w:rsidR="00000000" w:rsidRPr="004A766F" w:rsidP="004A766F">
            <w:pPr>
              <w:pStyle w:val="List2"/>
            </w:pPr>
            <w:r w:rsidRPr="004A766F">
              <w:t>1.2.</w:t>
            </w:r>
            <w:r w:rsidRPr="004A766F">
              <w:tab/>
              <w:t xml:space="preserve">Potential workplace </w:t>
            </w:r>
            <w:r w:rsidRPr="004A766F">
              <w:rPr>
                <w:rStyle w:val="BoldandItalics"/>
              </w:rPr>
              <w:t>hazards</w:t>
            </w:r>
            <w:r w:rsidRPr="004A766F">
              <w:t xml:space="preserve"> are identified. </w:t>
            </w:r>
          </w:p>
          <w:p w:rsidR="00000000" w:rsidRPr="004A766F" w:rsidP="004A766F">
            <w:pPr>
              <w:pStyle w:val="List2"/>
            </w:pPr>
            <w:r w:rsidRPr="004A766F">
              <w:t>1.3.</w:t>
            </w:r>
            <w:r w:rsidRPr="004A766F">
              <w:tab/>
            </w:r>
            <w:r w:rsidRPr="004A766F">
              <w:rPr>
                <w:rStyle w:val="BoldandItalics"/>
              </w:rPr>
              <w:t>Hazard control measures</w:t>
            </w:r>
            <w:r w:rsidRPr="004A766F">
              <w:t xml:space="preserve"> are identified consistent with </w:t>
            </w:r>
            <w:r w:rsidRPr="004A766F">
              <w:rPr>
                <w:rStyle w:val="BoldandItalics"/>
              </w:rPr>
              <w:t>appropriate standards</w:t>
            </w:r>
            <w:r w:rsidRPr="004A766F">
              <w:t xml:space="preserve"> to ensure the safety of personnel and equipment. </w:t>
            </w:r>
          </w:p>
          <w:p w:rsidR="00000000" w:rsidRPr="004A766F" w:rsidP="004A766F">
            <w:pPr>
              <w:pStyle w:val="List2"/>
            </w:pPr>
            <w:r w:rsidRPr="004A766F">
              <w:t>1.4.</w:t>
            </w:r>
            <w:r w:rsidRPr="004A766F">
              <w:tab/>
              <w:t>Site information is obtained</w:t>
            </w:r>
            <w:r w:rsidRPr="004A766F">
              <w:t xml:space="preserve">. </w:t>
            </w:r>
          </w:p>
          <w:p w:rsidR="00000000" w:rsidRPr="004A766F" w:rsidP="004A766F">
            <w:pPr>
              <w:pStyle w:val="List2"/>
            </w:pPr>
            <w:r w:rsidRPr="004A766F">
              <w:t>1.5.</w:t>
            </w:r>
            <w:r w:rsidRPr="004A766F">
              <w:tab/>
            </w:r>
            <w:r w:rsidRPr="004A766F">
              <w:rPr>
                <w:rStyle w:val="BoldandItalics"/>
              </w:rPr>
              <w:t>Scaffold</w:t>
            </w:r>
            <w:r w:rsidRPr="004A766F">
              <w:t xml:space="preserve">, </w:t>
            </w:r>
            <w:r w:rsidRPr="004A766F">
              <w:rPr>
                <w:rStyle w:val="BoldandItalics"/>
              </w:rPr>
              <w:t>associated equipment</w:t>
            </w:r>
            <w:r w:rsidRPr="004A766F">
              <w:t xml:space="preserve"> and </w:t>
            </w:r>
            <w:r w:rsidRPr="004A766F">
              <w:rPr>
                <w:rStyle w:val="BoldandItalics"/>
              </w:rPr>
              <w:t>scaffolding equipment</w:t>
            </w:r>
            <w:r w:rsidRPr="004A766F">
              <w:t xml:space="preserve"> are identified from site information and in consultation with </w:t>
            </w:r>
            <w:r w:rsidRPr="004A766F">
              <w:rPr>
                <w:rStyle w:val="BoldandItalics"/>
              </w:rPr>
              <w:t>appropriate personnel</w:t>
            </w:r>
            <w:r w:rsidRPr="004A766F">
              <w:t xml:space="preserve"> (where applicable). </w:t>
            </w:r>
          </w:p>
          <w:p w:rsidR="00000000" w:rsidRPr="004A766F" w:rsidP="004A766F">
            <w:pPr>
              <w:pStyle w:val="List2"/>
            </w:pPr>
            <w:r w:rsidRPr="004A766F">
              <w:t>1.6.</w:t>
            </w:r>
            <w:r w:rsidRPr="004A766F">
              <w:tab/>
            </w:r>
            <w:r w:rsidRPr="004A766F">
              <w:rPr>
                <w:rStyle w:val="BoldandItalics"/>
              </w:rPr>
              <w:t>Safety equipment</w:t>
            </w:r>
            <w:r w:rsidRPr="004A766F">
              <w:t xml:space="preserve"> is identified. </w:t>
            </w:r>
          </w:p>
          <w:p w:rsidR="00000000" w:rsidRPr="004A766F" w:rsidP="004A766F">
            <w:pPr>
              <w:pStyle w:val="List2"/>
            </w:pPr>
            <w:r w:rsidRPr="004A766F">
              <w:t>1.7.</w:t>
            </w:r>
            <w:r w:rsidRPr="004A766F">
              <w:tab/>
              <w:t xml:space="preserve">All </w:t>
            </w:r>
            <w:r w:rsidRPr="004A766F">
              <w:rPr>
                <w:rStyle w:val="BoldandItalics"/>
              </w:rPr>
              <w:t>forces and loads</w:t>
            </w:r>
            <w:r w:rsidRPr="004A766F">
              <w:t xml:space="preserve"> exerted on and by the </w:t>
            </w:r>
            <w:r w:rsidRPr="004A766F">
              <w:t xml:space="preserve">scaffold and/or scaffolding equipment are determined and calculated. </w:t>
            </w:r>
          </w:p>
          <w:p w:rsidR="00000000" w:rsidP="004A766F">
            <w:pPr>
              <w:pStyle w:val="List2"/>
              <w:rPr>
                <w:lang w:val="en-NZ"/>
              </w:rPr>
            </w:pPr>
            <w:r w:rsidRPr="004A766F">
              <w:t>1.8.</w:t>
            </w:r>
            <w:r w:rsidRPr="004A766F">
              <w:tab/>
              <w:t xml:space="preserve">Appropriate </w:t>
            </w:r>
            <w:r w:rsidRPr="004A766F">
              <w:rPr>
                <w:rStyle w:val="BoldandItalics"/>
              </w:rPr>
              <w:t>communication methods</w:t>
            </w:r>
            <w:r w:rsidRPr="004A766F">
              <w:t xml:space="preserve"> are identified with appropriate personnel. </w:t>
            </w:r>
          </w:p>
        </w:tc>
      </w:tr>
      <w:tr w:rsidTr="00DC3495">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4A766F">
            <w:pPr>
              <w:pStyle w:val="List"/>
              <w:rPr>
                <w:lang w:val="en-NZ"/>
              </w:rPr>
            </w:pPr>
            <w:r w:rsidRPr="004A766F">
              <w:t>2.</w:t>
            </w:r>
            <w:r w:rsidRPr="004A766F">
              <w:tab/>
              <w:t>Select and inspect plant and equipment.</w:t>
            </w:r>
          </w:p>
        </w:tc>
        <w:tc>
          <w:tcPr>
            <w:tcW w:w="5947" w:type="dxa"/>
            <w:tcBorders>
              <w:top w:val="nil"/>
              <w:left w:val="nil"/>
              <w:bottom w:val="nil"/>
              <w:right w:val="nil"/>
            </w:tcBorders>
            <w:tcMar>
              <w:top w:w="0" w:type="dxa"/>
              <w:left w:w="62" w:type="dxa"/>
              <w:bottom w:w="0" w:type="dxa"/>
              <w:right w:w="62" w:type="dxa"/>
            </w:tcMar>
          </w:tcPr>
          <w:p w:rsidR="00000000" w:rsidRPr="004A766F" w:rsidP="004A766F">
            <w:pPr>
              <w:pStyle w:val="List2"/>
            </w:pPr>
            <w:r w:rsidRPr="004A766F">
              <w:t>2.1.</w:t>
            </w:r>
            <w:r w:rsidRPr="004A766F">
              <w:tab/>
              <w:t xml:space="preserve">Scaffold, associated equipment and scaffold equipment </w:t>
            </w:r>
            <w:r w:rsidRPr="004A766F">
              <w:t xml:space="preserve">are selected and inspected according to </w:t>
            </w:r>
            <w:r w:rsidRPr="004A766F">
              <w:rPr>
                <w:rStyle w:val="BoldandItalics"/>
              </w:rPr>
              <w:t>procedures</w:t>
            </w:r>
            <w:r w:rsidRPr="004A766F">
              <w:t xml:space="preserve"> and site information. </w:t>
            </w:r>
          </w:p>
          <w:p w:rsidR="00000000" w:rsidRPr="004A766F" w:rsidP="004A766F">
            <w:pPr>
              <w:pStyle w:val="List2"/>
            </w:pPr>
            <w:r w:rsidRPr="004A766F">
              <w:t>2.2.</w:t>
            </w:r>
            <w:r w:rsidRPr="004A766F">
              <w:tab/>
              <w:t>Safety equipment is selected and inspected according to procedures.</w:t>
            </w:r>
          </w:p>
          <w:p w:rsidR="00000000" w:rsidRPr="004A766F" w:rsidP="004A766F">
            <w:pPr>
              <w:pStyle w:val="List2"/>
            </w:pPr>
            <w:r w:rsidRPr="004A766F">
              <w:t>2.3.</w:t>
            </w:r>
            <w:r w:rsidRPr="004A766F">
              <w:tab/>
            </w:r>
            <w:r w:rsidRPr="004A766F">
              <w:t>All defective Scaffold, associated equipment, scaffold equipment and safety equipment are isolated according to procedures.</w:t>
            </w:r>
          </w:p>
          <w:p w:rsidR="00000000" w:rsidRPr="004A766F" w:rsidP="004A766F">
            <w:pPr>
              <w:pStyle w:val="List2"/>
            </w:pPr>
            <w:r w:rsidRPr="004A766F">
              <w:t>2.4.</w:t>
            </w:r>
            <w:r w:rsidRPr="004A766F">
              <w:tab/>
              <w:t>All defective Scaffold, associated equipment, scaffold equipment and safety equipment are reported and recorded according to pr</w:t>
            </w:r>
            <w:r w:rsidRPr="004A766F">
              <w:t>ocedures.</w:t>
            </w:r>
          </w:p>
          <w:p w:rsidR="00000000" w:rsidP="004A766F">
            <w:pPr>
              <w:pStyle w:val="List2"/>
              <w:rPr>
                <w:lang w:val="en-NZ"/>
              </w:rPr>
            </w:pPr>
            <w:r w:rsidRPr="004A766F">
              <w:t>2.5.</w:t>
            </w:r>
            <w:r w:rsidRPr="004A766F">
              <w:tab/>
            </w:r>
            <w:r w:rsidRPr="004A766F">
              <w:rPr>
                <w:rStyle w:val="BoldandItalics"/>
              </w:rPr>
              <w:t>Communication equipment</w:t>
            </w:r>
            <w:r w:rsidRPr="004A766F">
              <w:t xml:space="preserve"> is selected and inspected for serviceability (where applicable). </w:t>
            </w:r>
          </w:p>
        </w:tc>
      </w:tr>
      <w:tr w:rsidTr="00DC3495">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4A766F">
            <w:pPr>
              <w:pStyle w:val="List"/>
              <w:rPr>
                <w:lang w:val="en-NZ"/>
              </w:rPr>
            </w:pPr>
            <w:r w:rsidRPr="004A766F">
              <w:t>3.</w:t>
            </w:r>
            <w:r w:rsidRPr="004A766F">
              <w:tab/>
              <w:t>Set up task</w:t>
            </w:r>
          </w:p>
        </w:tc>
        <w:tc>
          <w:tcPr>
            <w:tcW w:w="5947" w:type="dxa"/>
            <w:tcBorders>
              <w:top w:val="nil"/>
              <w:left w:val="nil"/>
              <w:bottom w:val="nil"/>
              <w:right w:val="nil"/>
            </w:tcBorders>
            <w:tcMar>
              <w:top w:w="0" w:type="dxa"/>
              <w:left w:w="62" w:type="dxa"/>
              <w:bottom w:w="0" w:type="dxa"/>
              <w:right w:w="62" w:type="dxa"/>
            </w:tcMar>
          </w:tcPr>
          <w:p w:rsidR="00000000" w:rsidRPr="004A766F" w:rsidP="004A766F">
            <w:pPr>
              <w:pStyle w:val="List2"/>
            </w:pPr>
            <w:r w:rsidRPr="004A766F">
              <w:t>3.1.</w:t>
            </w:r>
            <w:r w:rsidRPr="004A766F">
              <w:tab/>
              <w:t xml:space="preserve">Appropriate </w:t>
            </w:r>
            <w:r w:rsidRPr="004A766F">
              <w:rPr>
                <w:rStyle w:val="BoldandItalics"/>
              </w:rPr>
              <w:t>hazard prevention</w:t>
            </w:r>
            <w:r w:rsidRPr="004A766F">
              <w:t>/</w:t>
            </w:r>
            <w:r w:rsidRPr="004A766F">
              <w:rPr>
                <w:rStyle w:val="BoldandItalics"/>
              </w:rPr>
              <w:t>control measures</w:t>
            </w:r>
            <w:r w:rsidRPr="004A766F">
              <w:t xml:space="preserve"> are applied to the work area according to procedures. </w:t>
            </w:r>
          </w:p>
          <w:p w:rsidR="00000000" w:rsidRPr="004A766F" w:rsidP="004A766F">
            <w:pPr>
              <w:pStyle w:val="List2"/>
            </w:pPr>
            <w:r w:rsidRPr="004A766F">
              <w:t>3.2.</w:t>
            </w:r>
            <w:r w:rsidRPr="004A766F">
              <w:tab/>
              <w:t>Ground suitability is c</w:t>
            </w:r>
            <w:r w:rsidRPr="004A766F">
              <w:t xml:space="preserve">hecked. </w:t>
            </w:r>
          </w:p>
          <w:p w:rsidR="00000000" w:rsidRPr="004A766F" w:rsidP="004A766F">
            <w:pPr>
              <w:pStyle w:val="List2"/>
            </w:pPr>
            <w:r w:rsidRPr="004A766F">
              <w:t>3.3.</w:t>
            </w:r>
            <w:r w:rsidRPr="004A766F">
              <w:tab/>
              <w:t>Appropriate footings are prepared to support scaffold and scaffold equipment according to procedures and the appropriate standard.</w:t>
            </w:r>
          </w:p>
          <w:p w:rsidR="00000000" w:rsidRPr="004A766F" w:rsidP="004A766F">
            <w:pPr>
              <w:pStyle w:val="List2"/>
            </w:pPr>
            <w:r w:rsidRPr="004A766F">
              <w:t>3.4.</w:t>
            </w:r>
            <w:r w:rsidRPr="004A766F">
              <w:tab/>
              <w:t>Scaffold and scaffold equipment are prepared for erection according to procedures and the appropriate stan</w:t>
            </w:r>
            <w:r w:rsidRPr="004A766F">
              <w:t>dard.</w:t>
            </w:r>
          </w:p>
          <w:p w:rsidR="00000000" w:rsidRPr="004A766F" w:rsidP="004A766F">
            <w:pPr>
              <w:pStyle w:val="List2"/>
            </w:pPr>
            <w:r w:rsidRPr="004A766F">
              <w:t>3.5.</w:t>
            </w:r>
            <w:r w:rsidRPr="004A766F">
              <w:tab/>
              <w:t>Safety equipment is fitted and secured according to procedures (where applicable).</w:t>
            </w:r>
          </w:p>
          <w:p w:rsidR="00000000" w:rsidP="004A766F">
            <w:pPr>
              <w:pStyle w:val="List2"/>
              <w:rPr>
                <w:lang w:val="en-NZ"/>
              </w:rPr>
            </w:pPr>
            <w:r w:rsidRPr="004A766F">
              <w:t>3.6.</w:t>
            </w:r>
            <w:r w:rsidRPr="004A766F">
              <w:tab/>
              <w:t xml:space="preserve">Scaffold and scaffold equipment are positioned for work application and </w:t>
            </w:r>
            <w:r w:rsidRPr="004A766F">
              <w:rPr>
                <w:rStyle w:val="BoldandItalics"/>
              </w:rPr>
              <w:t>stability</w:t>
            </w:r>
            <w:r w:rsidRPr="004A766F">
              <w:t xml:space="preserve"> according to procedures and the appropriate standard. </w:t>
            </w:r>
          </w:p>
        </w:tc>
      </w:tr>
      <w:tr w:rsidTr="00DC3495">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4A766F">
            <w:pPr>
              <w:pStyle w:val="List"/>
              <w:rPr>
                <w:lang w:val="en-NZ"/>
              </w:rPr>
            </w:pPr>
            <w:r w:rsidRPr="004A766F">
              <w:t>4.</w:t>
            </w:r>
            <w:r w:rsidRPr="004A766F">
              <w:tab/>
              <w:t>Erect scaffold a</w:t>
            </w:r>
            <w:r w:rsidRPr="004A766F">
              <w:t>nd scaffold equipment.</w:t>
            </w:r>
          </w:p>
        </w:tc>
        <w:tc>
          <w:tcPr>
            <w:tcW w:w="5947" w:type="dxa"/>
            <w:tcBorders>
              <w:top w:val="nil"/>
              <w:left w:val="nil"/>
              <w:bottom w:val="nil"/>
              <w:right w:val="nil"/>
            </w:tcBorders>
            <w:tcMar>
              <w:top w:w="0" w:type="dxa"/>
              <w:left w:w="62" w:type="dxa"/>
              <w:bottom w:w="0" w:type="dxa"/>
              <w:right w:w="62" w:type="dxa"/>
            </w:tcMar>
          </w:tcPr>
          <w:p w:rsidR="00000000" w:rsidRPr="004A766F" w:rsidP="004A766F">
            <w:pPr>
              <w:pStyle w:val="List2"/>
            </w:pPr>
            <w:r w:rsidRPr="004A766F">
              <w:t>4.1.</w:t>
            </w:r>
            <w:r w:rsidRPr="004A766F">
              <w:tab/>
              <w:t>Scaffold and scaffold equipment are erected according to procedures and the appropriate standard.</w:t>
            </w:r>
          </w:p>
          <w:p w:rsidR="00000000" w:rsidRPr="004A766F" w:rsidP="004A766F">
            <w:pPr>
              <w:pStyle w:val="List2"/>
            </w:pPr>
            <w:r w:rsidRPr="004A766F">
              <w:t>4.2.</w:t>
            </w:r>
            <w:r w:rsidRPr="004A766F">
              <w:tab/>
              <w:t>Work is conducted safely at heights including safe and effective use of safety equipment.</w:t>
            </w:r>
          </w:p>
          <w:p w:rsidR="00000000" w:rsidRPr="004A766F" w:rsidP="004A766F">
            <w:pPr>
              <w:pStyle w:val="List2"/>
            </w:pPr>
            <w:r w:rsidRPr="004A766F">
              <w:t>4.3.</w:t>
            </w:r>
            <w:r w:rsidRPr="004A766F">
              <w:tab/>
              <w:t>Scaffold and scaffold equipmen</w:t>
            </w:r>
            <w:r w:rsidRPr="004A766F">
              <w:t>t are erected consistent with site information.</w:t>
            </w:r>
          </w:p>
          <w:p w:rsidR="00000000" w:rsidRPr="004A766F" w:rsidP="004A766F">
            <w:pPr>
              <w:pStyle w:val="List2"/>
            </w:pPr>
            <w:r w:rsidRPr="004A766F">
              <w:t>4.4.</w:t>
            </w:r>
            <w:r w:rsidRPr="004A766F">
              <w:tab/>
              <w:t>Appropriate communication methods are used to coordinate the tasks.</w:t>
            </w:r>
          </w:p>
          <w:p w:rsidR="00000000" w:rsidRPr="004A766F" w:rsidP="004A766F">
            <w:pPr>
              <w:pStyle w:val="List2"/>
            </w:pPr>
            <w:r w:rsidRPr="004A766F">
              <w:t>4.5.</w:t>
            </w:r>
            <w:r w:rsidRPr="004A766F">
              <w:tab/>
              <w:t>Completed tasks are inspected for compliance with the appropriate standard.</w:t>
            </w:r>
          </w:p>
          <w:p w:rsidR="00000000" w:rsidRPr="004A766F" w:rsidP="004A766F">
            <w:pPr>
              <w:pStyle w:val="List2"/>
            </w:pPr>
            <w:r w:rsidRPr="004A766F">
              <w:t>4.6.</w:t>
            </w:r>
            <w:r w:rsidRPr="004A766F">
              <w:tab/>
              <w:t>Handover certificate is completed as required and</w:t>
            </w:r>
            <w:r w:rsidRPr="004A766F">
              <w:t xml:space="preserve"> handed to appropriate personnel.</w:t>
            </w:r>
          </w:p>
          <w:p w:rsidR="00000000" w:rsidP="004A766F">
            <w:pPr>
              <w:pStyle w:val="List2"/>
              <w:rPr>
                <w:lang w:val="en-NZ"/>
              </w:rPr>
            </w:pPr>
            <w:r w:rsidRPr="004A766F">
              <w:t>4.7.</w:t>
            </w:r>
            <w:r w:rsidRPr="004A766F">
              <w:tab/>
              <w:t>Excess materials from the work area are removed (where applicable).</w:t>
            </w:r>
          </w:p>
        </w:tc>
      </w:tr>
      <w:tr w:rsidTr="00DC3495">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4A766F">
            <w:pPr>
              <w:pStyle w:val="List"/>
              <w:rPr>
                <w:lang w:val="en-NZ"/>
              </w:rPr>
            </w:pPr>
            <w:r w:rsidRPr="004A766F">
              <w:t>5.</w:t>
            </w:r>
            <w:r w:rsidRPr="004A766F">
              <w:tab/>
              <w:t>Dismantle scaffold and scaffold equipment.</w:t>
            </w:r>
          </w:p>
        </w:tc>
        <w:tc>
          <w:tcPr>
            <w:tcW w:w="5947" w:type="dxa"/>
            <w:tcBorders>
              <w:top w:val="nil"/>
              <w:left w:val="nil"/>
              <w:bottom w:val="nil"/>
              <w:right w:val="nil"/>
            </w:tcBorders>
            <w:tcMar>
              <w:top w:w="0" w:type="dxa"/>
              <w:left w:w="62" w:type="dxa"/>
              <w:bottom w:w="0" w:type="dxa"/>
              <w:right w:w="62" w:type="dxa"/>
            </w:tcMar>
          </w:tcPr>
          <w:p w:rsidR="00000000" w:rsidRPr="004A766F" w:rsidP="004A766F">
            <w:pPr>
              <w:pStyle w:val="List2"/>
            </w:pPr>
            <w:r w:rsidRPr="004A766F">
              <w:t>5.1.</w:t>
            </w:r>
            <w:r w:rsidRPr="004A766F">
              <w:tab/>
            </w:r>
            <w:r w:rsidRPr="004A766F">
              <w:t>Scaffold and scaffold equipment are dismantled according to procedures and the appropriate standard.</w:t>
            </w:r>
          </w:p>
          <w:p w:rsidR="00000000" w:rsidRPr="004A766F" w:rsidP="004A766F">
            <w:pPr>
              <w:pStyle w:val="List2"/>
            </w:pPr>
            <w:r w:rsidRPr="004A766F">
              <w:t>5.2.</w:t>
            </w:r>
            <w:r w:rsidRPr="004A766F">
              <w:tab/>
              <w:t>Work is conducted safely at heights including safe and effective use of safety equipment.</w:t>
            </w:r>
          </w:p>
          <w:p w:rsidR="00000000" w:rsidRPr="004A766F" w:rsidP="004A766F">
            <w:pPr>
              <w:pStyle w:val="List2"/>
            </w:pPr>
            <w:r w:rsidRPr="004A766F">
              <w:t>5.3.</w:t>
            </w:r>
            <w:r w:rsidRPr="004A766F">
              <w:tab/>
              <w:t>Scaffold, associated equipment and scaffold equipment a</w:t>
            </w:r>
            <w:r w:rsidRPr="004A766F">
              <w:t>re inspected for damage and defects.</w:t>
            </w:r>
          </w:p>
          <w:p w:rsidR="00000000" w:rsidRPr="004A766F" w:rsidP="004A766F">
            <w:pPr>
              <w:pStyle w:val="List2"/>
            </w:pPr>
            <w:r w:rsidRPr="004A766F">
              <w:t>5.4.</w:t>
            </w:r>
            <w:r w:rsidRPr="004A766F">
              <w:tab/>
              <w:t>All damaged and defective scaffold, associated equipment and scaffold equipment are tagged and isolated according to procedures.</w:t>
            </w:r>
          </w:p>
          <w:p w:rsidR="00000000" w:rsidRPr="004A766F" w:rsidP="004A766F">
            <w:pPr>
              <w:pStyle w:val="List2"/>
            </w:pPr>
            <w:r w:rsidRPr="004A766F">
              <w:t>5.5.</w:t>
            </w:r>
            <w:r w:rsidRPr="004A766F">
              <w:tab/>
              <w:t>Hazard prevention/control measures are removed (where appropriate).</w:t>
            </w:r>
          </w:p>
          <w:p w:rsidR="00000000" w:rsidRPr="004A766F" w:rsidP="004A766F">
            <w:pPr>
              <w:pStyle w:val="List2"/>
            </w:pPr>
            <w:r w:rsidRPr="004A766F">
              <w:t>5.6.</w:t>
            </w:r>
            <w:r w:rsidRPr="004A766F">
              <w:tab/>
              <w:t>All dam</w:t>
            </w:r>
            <w:r w:rsidRPr="004A766F">
              <w:t>aged and defective scaffold, associated equipment and scaffold equipment are reported and recorded according to procedures and appropriate action taken.</w:t>
            </w:r>
          </w:p>
        </w:tc>
      </w:tr>
    </w:tbl>
    <w:p w:rsidR="00DC3495" w:rsidP="004A766F">
      <w:pPr>
        <w:pStyle w:val="BodyText"/>
      </w:pPr>
    </w:p>
    <w:p w:rsidR="00DC3495" w:rsidP="004A766F">
      <w:pPr>
        <w:pStyle w:val="BodyText"/>
      </w:pPr>
    </w:p>
    <w:p w:rsidR="00000000" w:rsidRPr="004A766F" w:rsidP="004A766F">
      <w:pPr>
        <w:pStyle w:val="Heading1"/>
      </w:pPr>
      <w:bookmarkStart w:id="9" w:name="O_258252"/>
      <w:bookmarkEnd w:id="9"/>
      <w:r w:rsidRPr="004A766F">
        <w:t>Required Skills and Knowledge</w:t>
      </w:r>
    </w:p>
    <w:tbl>
      <w:tblPr>
        <w:tblW w:w="0" w:type="auto"/>
        <w:tblLayout w:type="fixed"/>
        <w:tblCellMar>
          <w:left w:w="62" w:type="dxa"/>
          <w:right w:w="62" w:type="dxa"/>
        </w:tblCellMar>
        <w:tblLook w:val="0000"/>
      </w:tblPr>
      <w:tblGrid>
        <w:gridCol w:w="8522"/>
      </w:tblGrid>
      <w:tr w:rsidTr="00DC349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A766F">
            <w:pPr>
              <w:pStyle w:val="BodyText"/>
              <w:rPr>
                <w:lang w:val="en-NZ"/>
              </w:rPr>
            </w:pPr>
            <w:r w:rsidRPr="004A766F">
              <w:rPr>
                <w:rStyle w:val="SpecialBold"/>
              </w:rPr>
              <w:t>REQUIRED SKILLS AND KNOWLEDGE</w:t>
            </w:r>
          </w:p>
        </w:tc>
      </w:tr>
      <w:tr w:rsidTr="00DC34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A766F">
            <w:pPr>
              <w:pStyle w:val="BodyText"/>
              <w:rPr>
                <w:lang w:val="en-NZ"/>
              </w:rPr>
            </w:pPr>
            <w:r w:rsidRPr="004A766F">
              <w:t>This section describes the skills and knowledge required for this unit.</w:t>
            </w:r>
          </w:p>
        </w:tc>
      </w:tr>
      <w:tr w:rsidTr="00DC34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A766F">
            <w:pPr>
              <w:pStyle w:val="BodyText"/>
              <w:rPr>
                <w:lang w:val="en-NZ"/>
              </w:rPr>
            </w:pPr>
            <w:r w:rsidRPr="004A766F">
              <w:rPr>
                <w:rStyle w:val="SpecialBold"/>
              </w:rPr>
              <w:t>Required skills</w:t>
            </w:r>
          </w:p>
        </w:tc>
      </w:tr>
      <w:tr w:rsidTr="00DC34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A766F" w:rsidP="004A766F">
            <w:pPr>
              <w:pStyle w:val="BodyText"/>
            </w:pPr>
            <w:r w:rsidRPr="004A766F">
              <w:t>Required skills for this unit are:</w:t>
            </w:r>
          </w:p>
          <w:p w:rsidR="00000000" w:rsidRPr="004A766F" w:rsidP="004A766F">
            <w:pPr>
              <w:pStyle w:val="ListBullet"/>
            </w:pPr>
            <w:r w:rsidRPr="004A766F">
              <w:t>ability to calculate Safe Working Load (SWL) and Working Load Limit (WLL)</w:t>
            </w:r>
          </w:p>
          <w:p w:rsidR="00000000" w:rsidRPr="004A766F" w:rsidP="004A766F">
            <w:pPr>
              <w:pStyle w:val="ListBullet"/>
            </w:pPr>
            <w:r w:rsidRPr="004A766F">
              <w:t>ability to erect scaffold within the scope of the basic scaffolder</w:t>
            </w:r>
          </w:p>
          <w:p w:rsidR="00000000" w:rsidRPr="004A766F" w:rsidP="004A766F">
            <w:pPr>
              <w:pStyle w:val="ListBullet"/>
            </w:pPr>
            <w:r w:rsidRPr="004A766F">
              <w:t>ability to erect, level, plumb and stabilise cantilever hoists and scaffolds</w:t>
            </w:r>
          </w:p>
          <w:p w:rsidR="00000000" w:rsidRPr="004A766F" w:rsidP="004A766F">
            <w:pPr>
              <w:pStyle w:val="ListBullet"/>
            </w:pPr>
            <w:r w:rsidRPr="004A766F">
              <w:t>ability to interpret manufacturer's specifications for plant and equipment</w:t>
            </w:r>
          </w:p>
          <w:p w:rsidR="00000000" w:rsidRPr="004A766F" w:rsidP="004A766F">
            <w:pPr>
              <w:pStyle w:val="ListBullet"/>
            </w:pPr>
            <w:r w:rsidRPr="004A766F">
              <w:t>ability to work safely at heights</w:t>
            </w:r>
          </w:p>
          <w:p w:rsidR="00000000" w:rsidRPr="004A766F" w:rsidP="004A766F">
            <w:pPr>
              <w:pStyle w:val="ListBullet"/>
            </w:pPr>
            <w:r w:rsidRPr="004A766F">
              <w:t>abi</w:t>
            </w:r>
            <w:r w:rsidRPr="004A766F">
              <w:t>lity to set up fall arrest systems, including safety nets</w:t>
            </w:r>
          </w:p>
          <w:p w:rsidR="00000000" w:rsidRPr="004A766F" w:rsidP="004A766F">
            <w:pPr>
              <w:pStyle w:val="ListBullet"/>
            </w:pPr>
            <w:r w:rsidRPr="004A766F">
              <w:t>ability to work safely in confined spaces</w:t>
            </w:r>
          </w:p>
          <w:p w:rsidR="00000000" w:rsidRPr="004A766F" w:rsidP="004A766F">
            <w:pPr>
              <w:pStyle w:val="ListBullet"/>
            </w:pPr>
            <w:r w:rsidRPr="004A766F">
              <w:t>accurate interpretation of basic structural charts and structural plans</w:t>
            </w:r>
          </w:p>
          <w:p w:rsidR="00000000" w:rsidRPr="004A766F" w:rsidP="004A766F">
            <w:pPr>
              <w:pStyle w:val="ListBullet"/>
            </w:pPr>
            <w:r w:rsidRPr="004A766F">
              <w:t>applying methods for making temporary connection using fibre ropes</w:t>
            </w:r>
          </w:p>
          <w:p w:rsidR="00000000" w:rsidRPr="004A766F" w:rsidP="004A766F">
            <w:pPr>
              <w:pStyle w:val="ListBullet"/>
            </w:pPr>
            <w:r w:rsidRPr="004A766F">
              <w:t>correct applicati</w:t>
            </w:r>
            <w:r w:rsidRPr="004A766F">
              <w:t>on of all scaffolding equipment</w:t>
            </w:r>
          </w:p>
          <w:p w:rsidR="00000000" w:rsidRPr="004A766F" w:rsidP="004A766F">
            <w:pPr>
              <w:pStyle w:val="ListBullet"/>
            </w:pPr>
            <w:r w:rsidRPr="004A766F">
              <w:t>methods for making temporary connection of guy ropes and static lines using Flexible Steel Wire Rope (FSWR)</w:t>
            </w:r>
          </w:p>
          <w:p w:rsidR="00000000" w:rsidP="004A766F">
            <w:pPr>
              <w:pStyle w:val="ListBullet"/>
              <w:rPr>
                <w:lang w:val="en-NZ"/>
              </w:rPr>
            </w:pPr>
            <w:r w:rsidRPr="004A766F">
              <w:t>verify problems and equipment faults and demonstrate appropriate response.</w:t>
            </w:r>
          </w:p>
        </w:tc>
      </w:tr>
      <w:tr w:rsidTr="00DC34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A766F">
            <w:pPr>
              <w:pStyle w:val="BodyText"/>
              <w:rPr>
                <w:lang w:val="en-NZ"/>
              </w:rPr>
            </w:pPr>
            <w:r w:rsidRPr="004A766F">
              <w:rPr>
                <w:rStyle w:val="SpecialBold"/>
              </w:rPr>
              <w:t>Required knowledge</w:t>
            </w:r>
          </w:p>
        </w:tc>
      </w:tr>
      <w:tr w:rsidTr="00DC349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A766F" w:rsidP="004A766F">
            <w:pPr>
              <w:pStyle w:val="BodyText"/>
            </w:pPr>
            <w:r w:rsidRPr="004A766F">
              <w:t>Required knowledge f</w:t>
            </w:r>
            <w:r w:rsidRPr="004A766F">
              <w:t>or this unit is:</w:t>
            </w:r>
          </w:p>
          <w:p w:rsidR="00000000" w:rsidRPr="004A766F" w:rsidP="004A766F">
            <w:pPr>
              <w:pStyle w:val="ListBullet"/>
            </w:pPr>
            <w:r w:rsidRPr="004A766F">
              <w:t>use of appropriate mathematical procedures for estimation and measurement of loads Commonwealth, state or territory OHS legislation and local government regulations, including standards and codes of practice relevant to the full range of t</w:t>
            </w:r>
            <w:r w:rsidRPr="004A766F">
              <w:t>echniques for undertaking basic scaffolding activities</w:t>
            </w:r>
          </w:p>
          <w:p w:rsidR="00000000" w:rsidRPr="004A766F" w:rsidP="004A766F">
            <w:pPr>
              <w:pStyle w:val="ListBullet"/>
            </w:pPr>
            <w:r w:rsidRPr="004A766F">
              <w:t>knowledge of principles relating to plant and equipment stability</w:t>
            </w:r>
          </w:p>
          <w:p w:rsidR="00000000" w:rsidRPr="004A766F" w:rsidP="004A766F">
            <w:pPr>
              <w:pStyle w:val="ListBullet"/>
            </w:pPr>
            <w:r w:rsidRPr="004A766F">
              <w:t>knowledge of types of scaffolding and their application</w:t>
            </w:r>
          </w:p>
          <w:p w:rsidR="00000000" w:rsidRPr="004A766F" w:rsidP="004A766F">
            <w:pPr>
              <w:pStyle w:val="ListBullet"/>
            </w:pPr>
            <w:r w:rsidRPr="004A766F">
              <w:t>knowledge of scaffolding erection and dismantling techniques</w:t>
            </w:r>
          </w:p>
          <w:p w:rsidR="00000000" w:rsidRPr="004A766F" w:rsidP="004A766F">
            <w:pPr>
              <w:pStyle w:val="ListBullet"/>
            </w:pPr>
            <w:r w:rsidRPr="004A766F">
              <w:t>knowledge of types of hoists, plant and equipment associated with basic scaffolding and their use/s</w:t>
            </w:r>
          </w:p>
          <w:p w:rsidR="00000000" w:rsidRPr="004A766F" w:rsidP="004A766F">
            <w:pPr>
              <w:pStyle w:val="ListBullet"/>
            </w:pPr>
            <w:r w:rsidRPr="004A766F">
              <w:t>risk assessment and control, including understanding of the hierarchy of control</w:t>
            </w:r>
          </w:p>
          <w:p w:rsidR="00000000" w:rsidRPr="004A766F" w:rsidP="004A766F">
            <w:pPr>
              <w:pStyle w:val="ListBullet"/>
            </w:pPr>
            <w:r w:rsidRPr="004A766F">
              <w:t>estimation of bearing pressures of the full range of soil types and associa</w:t>
            </w:r>
            <w:r w:rsidRPr="004A766F">
              <w:t>ted ground conditions for setting up plant and equipment</w:t>
            </w:r>
          </w:p>
          <w:p w:rsidR="00000000" w:rsidRPr="004A766F" w:rsidP="004A766F">
            <w:pPr>
              <w:pStyle w:val="ListBullet"/>
            </w:pPr>
            <w:r w:rsidRPr="004A766F">
              <w:t>load capabilities of different types of scaffolding constructions</w:t>
            </w:r>
          </w:p>
          <w:p w:rsidR="00000000" w:rsidRPr="004A766F" w:rsidP="004A766F">
            <w:pPr>
              <w:pStyle w:val="ListBullet"/>
            </w:pPr>
            <w:r w:rsidRPr="004A766F">
              <w:t>understanding and application of organisational and workplace standards, requirements, policies and procedures for scaffolding</w:t>
            </w:r>
          </w:p>
          <w:p w:rsidR="00000000" w:rsidRPr="004A766F" w:rsidP="004A766F">
            <w:pPr>
              <w:pStyle w:val="ListBullet"/>
            </w:pPr>
            <w:r w:rsidRPr="004A766F">
              <w:t>safety</w:t>
            </w:r>
            <w:r w:rsidRPr="004A766F">
              <w:t xml:space="preserve"> equipment applicable to scaffolding</w:t>
            </w:r>
          </w:p>
          <w:p w:rsidR="00000000" w:rsidRPr="004A766F" w:rsidP="004A766F">
            <w:pPr>
              <w:pStyle w:val="ListBullet"/>
            </w:pPr>
            <w:r w:rsidRPr="004A766F">
              <w:t>understanding and application of the inspection and maintenance requirements for basic scaffold, associated equipment and scaffold equipment</w:t>
            </w:r>
          </w:p>
          <w:p w:rsidR="00000000" w:rsidRPr="004A766F" w:rsidP="004A766F">
            <w:pPr>
              <w:pStyle w:val="ListBullet"/>
            </w:pPr>
            <w:r w:rsidRPr="004A766F">
              <w:t xml:space="preserve">uses and limitations of tools and equipment, appropriate to scaffolding tasks </w:t>
            </w:r>
            <w:r w:rsidRPr="004A766F">
              <w:t>and activities.</w:t>
            </w:r>
          </w:p>
        </w:tc>
      </w:tr>
    </w:tbl>
    <w:p w:rsidR="00DC3495" w:rsidP="004A766F">
      <w:pPr>
        <w:pStyle w:val="BodyText"/>
      </w:pPr>
    </w:p>
    <w:p w:rsidR="00DC3495" w:rsidP="004A766F">
      <w:pPr>
        <w:pStyle w:val="BodyText"/>
      </w:pPr>
    </w:p>
    <w:p w:rsidR="00000000" w:rsidRPr="004A766F" w:rsidP="004A766F">
      <w:pPr>
        <w:pStyle w:val="AllowPageBreak"/>
      </w:pPr>
    </w:p>
    <w:p w:rsidR="00000000" w:rsidRPr="004A766F" w:rsidP="004A766F">
      <w:pPr>
        <w:pStyle w:val="Heading1"/>
      </w:pPr>
      <w:bookmarkStart w:id="10" w:name="O_242286"/>
      <w:bookmarkEnd w:id="10"/>
      <w:r w:rsidRPr="004A766F">
        <w:t>Evidence Guide</w:t>
      </w:r>
    </w:p>
    <w:tbl>
      <w:tblPr>
        <w:tblW w:w="0" w:type="auto"/>
        <w:tblLayout w:type="fixed"/>
        <w:tblCellMar>
          <w:left w:w="62" w:type="dxa"/>
          <w:right w:w="62" w:type="dxa"/>
        </w:tblCellMar>
        <w:tblLook w:val="0000"/>
      </w:tblPr>
      <w:tblGrid>
        <w:gridCol w:w="3441"/>
        <w:gridCol w:w="5081"/>
      </w:tblGrid>
      <w:tr w:rsidTr="00DC349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A766F">
            <w:pPr>
              <w:pStyle w:val="BodyText"/>
              <w:rPr>
                <w:lang w:val="en-NZ"/>
              </w:rPr>
            </w:pPr>
            <w:r w:rsidRPr="004A766F">
              <w:rPr>
                <w:rStyle w:val="SpecialBold"/>
              </w:rPr>
              <w:t>EVIDENCE GUIDE</w:t>
            </w:r>
          </w:p>
        </w:tc>
      </w:tr>
      <w:tr w:rsidTr="00DC349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A766F">
            <w:pPr>
              <w:pStyle w:val="BodyText"/>
              <w:rPr>
                <w:lang w:val="en-NZ"/>
              </w:rPr>
            </w:pPr>
            <w:r w:rsidRPr="004A766F">
              <w:t xml:space="preserve">The evidence guide provides advice on assessment and must be read in conjunction with the performance criteria, required skills and knowledge, </w:t>
            </w:r>
            <w:r w:rsidRPr="004A766F">
              <w:t>range statement and the Assessment Guidelines for the Training Package.</w:t>
            </w:r>
          </w:p>
        </w:tc>
      </w:tr>
      <w:tr w:rsidTr="00DC3495">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4A766F">
            <w:pPr>
              <w:pStyle w:val="BodyText"/>
              <w:rPr>
                <w:lang w:val="en-NZ"/>
              </w:rPr>
            </w:pPr>
            <w:r w:rsidRPr="004A766F">
              <w:rPr>
                <w:rStyle w:val="SpecialBold"/>
              </w:rPr>
              <w:t>Overview of assessment</w:t>
            </w:r>
          </w:p>
        </w:tc>
        <w:tc>
          <w:tcPr>
            <w:tcW w:w="5081" w:type="dxa"/>
            <w:tcBorders>
              <w:top w:val="nil"/>
              <w:left w:val="nil"/>
              <w:bottom w:val="nil"/>
              <w:right w:val="nil"/>
            </w:tcBorders>
            <w:tcMar>
              <w:top w:w="0" w:type="dxa"/>
              <w:left w:w="62" w:type="dxa"/>
              <w:bottom w:w="0" w:type="dxa"/>
              <w:right w:w="62" w:type="dxa"/>
            </w:tcMar>
          </w:tcPr>
          <w:p w:rsidR="00000000" w:rsidRPr="004A766F" w:rsidP="004A766F">
            <w:pPr>
              <w:pStyle w:val="BodyText"/>
            </w:pPr>
            <w:r w:rsidRPr="004A766F">
              <w:t xml:space="preserve">Successful assessment of this unit meets the competency requirement of the National Standard for licensing Persons Performing High Risk Work. </w:t>
            </w:r>
          </w:p>
          <w:p w:rsidR="00000000" w:rsidP="004A766F">
            <w:pPr>
              <w:pStyle w:val="BodyText"/>
              <w:rPr>
                <w:lang w:val="en-NZ"/>
              </w:rPr>
            </w:pPr>
            <w:r w:rsidRPr="004A766F">
              <w:t xml:space="preserve">State/Territory OHS regulators have mandated the use of Assessment Instruments and Instructions for Assessment endorsed by the national body responsible for OHS matters for the assessment of this unit. </w:t>
            </w:r>
          </w:p>
        </w:tc>
      </w:tr>
      <w:tr w:rsidTr="00DC3495">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4A766F">
            <w:pPr>
              <w:pStyle w:val="BodyText"/>
              <w:rPr>
                <w:lang w:val="en-NZ"/>
              </w:rPr>
            </w:pPr>
            <w:r w:rsidRPr="004A766F">
              <w:rPr>
                <w:rStyle w:val="SpecialBold"/>
              </w:rPr>
              <w:t>Critical aspects for assessment and evidence require</w:t>
            </w:r>
            <w:r w:rsidRPr="004A766F">
              <w:rPr>
                <w:rStyle w:val="SpecialBold"/>
              </w:rPr>
              <w:t>d to demonstrate competency in this unit</w:t>
            </w:r>
          </w:p>
        </w:tc>
        <w:tc>
          <w:tcPr>
            <w:tcW w:w="5081" w:type="dxa"/>
            <w:tcBorders>
              <w:top w:val="nil"/>
              <w:left w:val="nil"/>
              <w:bottom w:val="nil"/>
              <w:right w:val="nil"/>
            </w:tcBorders>
            <w:tcMar>
              <w:top w:w="0" w:type="dxa"/>
              <w:left w:w="62" w:type="dxa"/>
              <w:bottom w:w="0" w:type="dxa"/>
              <w:right w:w="62" w:type="dxa"/>
            </w:tcMar>
          </w:tcPr>
          <w:p w:rsidR="00000000" w:rsidRPr="004A766F" w:rsidP="004A766F">
            <w:pPr>
              <w:pStyle w:val="BodyText"/>
            </w:pPr>
            <w:r w:rsidRPr="004A766F">
              <w:t xml:space="preserve">A person who demonstrates competency in this unit must be able to provide evidence of the ability to: </w:t>
            </w:r>
          </w:p>
          <w:p w:rsidR="00000000" w:rsidRPr="004A766F" w:rsidP="004A766F">
            <w:pPr>
              <w:pStyle w:val="ListBullet"/>
            </w:pPr>
            <w:r w:rsidRPr="004A766F">
              <w:t>comply with OHS licensing requirements.</w:t>
            </w:r>
          </w:p>
          <w:p w:rsidR="00000000" w:rsidRPr="004A766F" w:rsidP="004A766F">
            <w:pPr>
              <w:pStyle w:val="ListBullet"/>
            </w:pPr>
            <w:r w:rsidRPr="004A766F">
              <w:t>effectively communicate and work safely with others in the work area.</w:t>
            </w:r>
          </w:p>
          <w:p w:rsidR="00000000" w:rsidRPr="004A766F" w:rsidP="004A766F">
            <w:pPr>
              <w:pStyle w:val="ListBullet"/>
            </w:pPr>
            <w:r w:rsidRPr="004A766F">
              <w:t>ef</w:t>
            </w:r>
            <w:r w:rsidRPr="004A766F">
              <w:t>fectively apply risk assessment and hazard management procedures at a basic scaffolder level.</w:t>
            </w:r>
          </w:p>
          <w:p w:rsidR="00000000" w:rsidRPr="004A766F" w:rsidP="004A766F">
            <w:pPr>
              <w:pStyle w:val="ListBullet"/>
            </w:pPr>
            <w:r w:rsidRPr="004A766F">
              <w:t>effectively complete the planning, erection and dismantling of a scaffolding system, in accordance with procedures, including a minimum of erect and dismantle:</w:t>
            </w:r>
          </w:p>
          <w:p w:rsidR="00000000" w:rsidRPr="004A766F" w:rsidP="004A766F">
            <w:pPr>
              <w:pStyle w:val="ListBullet2"/>
            </w:pPr>
            <w:r w:rsidRPr="004A766F">
              <w:t>M</w:t>
            </w:r>
            <w:r w:rsidRPr="004A766F">
              <w:t>odular Scaffold with return and ladder access and platform brackets (hop-up brackets)</w:t>
            </w:r>
          </w:p>
          <w:p w:rsidR="00000000" w:rsidRPr="004A766F" w:rsidP="004A766F">
            <w:pPr>
              <w:pStyle w:val="ListBullet2"/>
            </w:pPr>
            <w:r w:rsidRPr="004A766F">
              <w:t>Bracket Scaffold</w:t>
            </w:r>
          </w:p>
          <w:p w:rsidR="00000000" w:rsidRPr="004A766F" w:rsidP="004A766F">
            <w:pPr>
              <w:pStyle w:val="ListBullet2"/>
            </w:pPr>
            <w:r w:rsidRPr="004A766F">
              <w:t>Mobile Scaffold</w:t>
            </w:r>
          </w:p>
          <w:p w:rsidR="00000000" w:rsidRPr="004A766F" w:rsidP="004A766F">
            <w:pPr>
              <w:pStyle w:val="ListBullet2"/>
            </w:pPr>
            <w:r w:rsidRPr="004A766F">
              <w:t>gin wheel</w:t>
            </w:r>
          </w:p>
          <w:p w:rsidR="00000000" w:rsidRPr="004A766F" w:rsidP="004A766F">
            <w:pPr>
              <w:pStyle w:val="ListBullet2"/>
            </w:pPr>
            <w:r w:rsidRPr="004A766F">
              <w:t>Cantilever Hoist</w:t>
            </w:r>
          </w:p>
          <w:p w:rsidR="00000000" w:rsidRPr="004A766F" w:rsidP="004A766F">
            <w:pPr>
              <w:pStyle w:val="ListBullet2"/>
            </w:pPr>
            <w:r w:rsidRPr="004A766F">
              <w:t>safety net and static line</w:t>
            </w:r>
          </w:p>
          <w:p w:rsidR="00000000" w:rsidRPr="004A766F" w:rsidP="004A766F">
            <w:pPr>
              <w:pStyle w:val="ListBullet2"/>
            </w:pPr>
            <w:r w:rsidRPr="004A766F">
              <w:t>safety screen</w:t>
            </w:r>
          </w:p>
          <w:p w:rsidR="00000000" w:rsidRPr="004A766F" w:rsidP="004A766F">
            <w:pPr>
              <w:pStyle w:val="BodyText"/>
            </w:pPr>
            <w:r w:rsidRPr="004A766F">
              <w:t xml:space="preserve">Scaffold to be of a minimum height of at least 5.0 metres above the supporting surface with full edge protection (includes safety screen) for each work platform including toe boards and handrails. </w:t>
            </w:r>
          </w:p>
          <w:p w:rsidR="00000000" w:rsidRPr="004A766F" w:rsidP="004A766F">
            <w:pPr>
              <w:pStyle w:val="ListBullet"/>
            </w:pPr>
            <w:r w:rsidRPr="004A766F">
              <w:t>correctly demonstrate fibre rope bends and hitches.</w:t>
            </w:r>
          </w:p>
          <w:p w:rsidR="00000000" w:rsidRPr="004A766F" w:rsidP="004A766F">
            <w:pPr>
              <w:pStyle w:val="ListBullet"/>
            </w:pPr>
            <w:r w:rsidRPr="004A766F">
              <w:t>effect</w:t>
            </w:r>
            <w:r w:rsidRPr="004A766F">
              <w:t>ively conduct pre and post operational checks of basic scaffolding.</w:t>
            </w:r>
          </w:p>
          <w:p w:rsidR="00000000" w:rsidP="004A766F">
            <w:pPr>
              <w:pStyle w:val="ListBullet"/>
              <w:rPr>
                <w:lang w:val="en-NZ"/>
              </w:rPr>
            </w:pPr>
            <w:r w:rsidRPr="004A766F">
              <w:t>complete handover certificate as required.</w:t>
            </w:r>
          </w:p>
        </w:tc>
      </w:tr>
      <w:tr w:rsidTr="00DC3495">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4A766F">
            <w:pPr>
              <w:pStyle w:val="BodyText"/>
              <w:rPr>
                <w:lang w:val="en-NZ"/>
              </w:rPr>
            </w:pPr>
            <w:r w:rsidRPr="004A766F">
              <w:rPr>
                <w:rStyle w:val="SpecialBold"/>
              </w:rPr>
              <w:t>Context of and specific resources for assessment</w:t>
            </w:r>
          </w:p>
        </w:tc>
        <w:tc>
          <w:tcPr>
            <w:tcW w:w="5081" w:type="dxa"/>
            <w:tcBorders>
              <w:top w:val="nil"/>
              <w:left w:val="nil"/>
              <w:bottom w:val="nil"/>
              <w:right w:val="nil"/>
            </w:tcBorders>
            <w:tcMar>
              <w:top w:w="0" w:type="dxa"/>
              <w:left w:w="62" w:type="dxa"/>
              <w:bottom w:w="0" w:type="dxa"/>
              <w:right w:w="62" w:type="dxa"/>
            </w:tcMar>
          </w:tcPr>
          <w:p w:rsidR="00000000" w:rsidRPr="004A766F" w:rsidP="004A766F">
            <w:pPr>
              <w:pStyle w:val="ListBullet"/>
            </w:pPr>
            <w:r w:rsidRPr="004A766F">
              <w:t>Assessment of the safe and effective application of knowledge and skill to workplace tasks (performance) must be undertaken using the National OHS endorsed Assessment Instrument</w:t>
            </w:r>
          </w:p>
          <w:p w:rsidR="00000000" w:rsidRPr="004A766F" w:rsidP="004A766F">
            <w:pPr>
              <w:pStyle w:val="ListBullet"/>
            </w:pPr>
            <w:r w:rsidRPr="004A766F">
              <w:t>Assessment of performance must be undertaken either in the workplace or in a r</w:t>
            </w:r>
            <w:r w:rsidRPr="004A766F">
              <w:t>ealistically simulated workplace setting</w:t>
            </w:r>
          </w:p>
          <w:p w:rsidR="00000000" w:rsidRPr="004A766F" w:rsidP="004A766F">
            <w:pPr>
              <w:pStyle w:val="ListBullet"/>
            </w:pPr>
            <w:r w:rsidRPr="004A766F">
              <w:t>.Assessors must ensure that the assessment in the workplace is organised to ensure that all the required equipment and materials and a suitable working area is made available to suit the assessment and the workplace</w:t>
            </w:r>
          </w:p>
          <w:p w:rsidR="00000000" w:rsidRPr="004A766F" w:rsidP="004A766F">
            <w:pPr>
              <w:pStyle w:val="ListBullet"/>
            </w:pPr>
            <w:r w:rsidRPr="004A766F">
              <w:t>Assessment must occur under standard and authorised work practices, safety requirements and environmental constraints for basic scaffolding</w:t>
            </w:r>
          </w:p>
          <w:p w:rsidR="00000000" w:rsidRPr="004A766F" w:rsidP="004A766F">
            <w:pPr>
              <w:pStyle w:val="ListBullet"/>
            </w:pPr>
            <w:r w:rsidRPr="004A766F">
              <w:t>Applicants must have access to:</w:t>
            </w:r>
          </w:p>
          <w:p w:rsidR="00000000" w:rsidRPr="004A766F" w:rsidP="004A766F">
            <w:pPr>
              <w:pStyle w:val="ListBullet2"/>
            </w:pPr>
            <w:r w:rsidRPr="004A766F">
              <w:t>personal protective equipment (PPE) for the purpose of the Performance Assessment</w:t>
            </w:r>
          </w:p>
          <w:p w:rsidR="00000000" w:rsidRPr="004A766F" w:rsidP="004A766F">
            <w:pPr>
              <w:pStyle w:val="ListBullet2"/>
            </w:pPr>
            <w:r w:rsidRPr="004A766F">
              <w:t>appropriate safety equipment in safe condition</w:t>
            </w:r>
          </w:p>
          <w:p w:rsidR="00000000" w:rsidRPr="004A766F" w:rsidP="004A766F">
            <w:pPr>
              <w:pStyle w:val="ListBullet2"/>
            </w:pPr>
            <w:r w:rsidRPr="004A766F">
              <w:t>appropriate scaffolding and associated scaffolding equipment</w:t>
            </w:r>
          </w:p>
          <w:p w:rsidR="00000000" w:rsidRPr="004A766F" w:rsidP="004A766F">
            <w:pPr>
              <w:pStyle w:val="ListBullet2"/>
            </w:pPr>
            <w:r w:rsidRPr="004A766F">
              <w:t>communication equipment (e.g. fixed channel two way radios) where applicable</w:t>
            </w:r>
          </w:p>
          <w:p w:rsidR="00000000" w:rsidP="004A766F">
            <w:pPr>
              <w:pStyle w:val="ListBullet2"/>
              <w:rPr>
                <w:lang w:val="en-NZ"/>
              </w:rPr>
            </w:pPr>
            <w:r w:rsidRPr="004A766F">
              <w:t>appropriate personnel to assist with the erecting and dismantling of sc</w:t>
            </w:r>
            <w:r w:rsidRPr="004A766F">
              <w:t>affold and scaffold equipment.</w:t>
            </w:r>
          </w:p>
        </w:tc>
      </w:tr>
      <w:tr w:rsidTr="00DC3495">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4A766F">
            <w:pPr>
              <w:pStyle w:val="BodyText"/>
              <w:rPr>
                <w:lang w:val="en-NZ"/>
              </w:rPr>
            </w:pPr>
            <w:r w:rsidRPr="004A766F">
              <w:rPr>
                <w:rStyle w:val="SpecialBold"/>
              </w:rPr>
              <w:t>Method of assessment</w:t>
            </w:r>
          </w:p>
        </w:tc>
        <w:tc>
          <w:tcPr>
            <w:tcW w:w="5081" w:type="dxa"/>
            <w:tcBorders>
              <w:top w:val="nil"/>
              <w:left w:val="nil"/>
              <w:bottom w:val="nil"/>
              <w:right w:val="nil"/>
            </w:tcBorders>
            <w:tcMar>
              <w:top w:w="0" w:type="dxa"/>
              <w:left w:w="62" w:type="dxa"/>
              <w:bottom w:w="0" w:type="dxa"/>
              <w:right w:w="62" w:type="dxa"/>
            </w:tcMar>
          </w:tcPr>
          <w:p w:rsidR="00000000" w:rsidRPr="004A766F" w:rsidP="004A766F">
            <w:pPr>
              <w:pStyle w:val="BodyText"/>
            </w:pPr>
            <w:r w:rsidRPr="004A766F">
              <w:t xml:space="preserve">Assessment must be conducted using the national OHS endorsed Assessment Instruments. These Instruments provide advice on their application. </w:t>
            </w:r>
          </w:p>
          <w:p w:rsidR="00000000" w:rsidRPr="004A766F" w:rsidP="004A766F">
            <w:pPr>
              <w:pStyle w:val="BodyText"/>
            </w:pPr>
            <w:r w:rsidRPr="004A766F">
              <w:t xml:space="preserve">Assessment may be in conjunction with the assessment of other units of competency. </w:t>
            </w:r>
          </w:p>
          <w:p w:rsidR="00000000" w:rsidRPr="004A766F" w:rsidP="004A766F">
            <w:pPr>
              <w:pStyle w:val="BodyText"/>
            </w:pPr>
            <w:r w:rsidRPr="004A766F">
              <w:t xml:space="preserve">The use of </w:t>
            </w:r>
            <w:r w:rsidRPr="004A766F">
              <w:rPr>
                <w:rStyle w:val="SpecialBold"/>
              </w:rPr>
              <w:t>'simulators'</w:t>
            </w:r>
            <w:r w:rsidRPr="004A766F">
              <w:t xml:space="preserve"> in the assessment of this unit of competency is </w:t>
            </w:r>
            <w:r w:rsidRPr="004A766F">
              <w:rPr>
                <w:rStyle w:val="SpecialBold"/>
              </w:rPr>
              <w:t>not acceptable</w:t>
            </w:r>
            <w:r w:rsidRPr="004A766F">
              <w:t>.</w:t>
            </w:r>
          </w:p>
          <w:p w:rsidR="00000000" w:rsidRPr="004A766F" w:rsidP="004A766F">
            <w:pPr>
              <w:pStyle w:val="BodyText"/>
            </w:pPr>
            <w:r w:rsidRPr="004A766F">
              <w:t>Assessment methods must confirm consistency and accuracy of performance together wit</w:t>
            </w:r>
            <w:r w:rsidRPr="004A766F">
              <w:t xml:space="preserve">h application of underpinning knowledge. </w:t>
            </w:r>
          </w:p>
          <w:p w:rsidR="00000000" w:rsidP="004A766F">
            <w:pPr>
              <w:pStyle w:val="BodyText"/>
              <w:rPr>
                <w:lang w:val="en-NZ"/>
              </w:rPr>
            </w:pPr>
            <w:r w:rsidRPr="004A766F">
              <w:t xml:space="preserve">Assessment must confirm a reasonable inference that competency is not only able to be satisfied under the particular circumstance, but is able to be transferred to other circumstances. </w:t>
            </w:r>
          </w:p>
        </w:tc>
      </w:tr>
      <w:tr w:rsidTr="00DC3495">
        <w:tblPrEx>
          <w:tblW w:w="0" w:type="auto"/>
          <w:tblLayout w:type="fixed"/>
          <w:tblCellMar>
            <w:left w:w="62" w:type="dxa"/>
            <w:right w:w="62" w:type="dxa"/>
          </w:tblCellMar>
          <w:tblLook w:val="0000"/>
        </w:tblPrEx>
        <w:tc>
          <w:tcPr>
            <w:tcW w:w="3441" w:type="dxa"/>
            <w:tcBorders>
              <w:top w:val="nil"/>
              <w:left w:val="nil"/>
              <w:bottom w:val="nil"/>
              <w:right w:val="nil"/>
            </w:tcBorders>
            <w:tcMar>
              <w:top w:w="0" w:type="dxa"/>
              <w:left w:w="62" w:type="dxa"/>
              <w:bottom w:w="0" w:type="dxa"/>
              <w:right w:w="62" w:type="dxa"/>
            </w:tcMar>
          </w:tcPr>
          <w:p w:rsidR="00000000" w:rsidP="004A766F">
            <w:pPr>
              <w:pStyle w:val="BodyText"/>
              <w:rPr>
                <w:lang w:val="en-NZ"/>
              </w:rPr>
            </w:pPr>
            <w:r w:rsidRPr="004A766F">
              <w:rPr>
                <w:rStyle w:val="SpecialBold"/>
              </w:rPr>
              <w:t>Guidance information for as</w:t>
            </w:r>
            <w:r w:rsidRPr="004A766F">
              <w:rPr>
                <w:rStyle w:val="SpecialBold"/>
              </w:rPr>
              <w:t>sessment</w:t>
            </w:r>
          </w:p>
        </w:tc>
        <w:tc>
          <w:tcPr>
            <w:tcW w:w="5081" w:type="dxa"/>
            <w:tcBorders>
              <w:top w:val="nil"/>
              <w:left w:val="nil"/>
              <w:bottom w:val="nil"/>
              <w:right w:val="nil"/>
            </w:tcBorders>
            <w:tcMar>
              <w:top w:w="0" w:type="dxa"/>
              <w:left w:w="62" w:type="dxa"/>
              <w:bottom w:w="0" w:type="dxa"/>
              <w:right w:w="62" w:type="dxa"/>
            </w:tcMar>
          </w:tcPr>
          <w:p w:rsidR="00000000" w:rsidRPr="004A766F" w:rsidP="004A766F">
            <w:pPr>
              <w:pStyle w:val="BodyText"/>
            </w:pPr>
            <w:r w:rsidRPr="004A766F">
              <w:t xml:space="preserve">Further information about endorsed Assessment Instruments may be obtained from state/territory OHS regulators. </w:t>
            </w:r>
          </w:p>
        </w:tc>
      </w:tr>
    </w:tbl>
    <w:p w:rsidR="00DC3495" w:rsidP="004A766F">
      <w:pPr>
        <w:pStyle w:val="BodyText"/>
      </w:pPr>
    </w:p>
    <w:p w:rsidR="00DC3495" w:rsidP="004A766F">
      <w:pPr>
        <w:pStyle w:val="BodyText"/>
      </w:pPr>
    </w:p>
    <w:p w:rsidR="00000000" w:rsidRPr="004A766F" w:rsidP="004A766F">
      <w:pPr>
        <w:pStyle w:val="Heading1"/>
      </w:pPr>
      <w:bookmarkStart w:id="11" w:name="O_250269"/>
      <w:bookmarkEnd w:id="11"/>
      <w:r w:rsidRPr="004A766F">
        <w:t>Range Statement</w:t>
      </w:r>
    </w:p>
    <w:tbl>
      <w:tblPr>
        <w:tblW w:w="0" w:type="auto"/>
        <w:tblLayout w:type="fixed"/>
        <w:tblCellMar>
          <w:left w:w="62" w:type="dxa"/>
          <w:right w:w="62" w:type="dxa"/>
        </w:tblCellMar>
        <w:tblLook w:val="0000"/>
      </w:tblPr>
      <w:tblGrid>
        <w:gridCol w:w="3538"/>
        <w:gridCol w:w="4984"/>
      </w:tblGrid>
      <w:tr w:rsidTr="00DC349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A766F">
            <w:pPr>
              <w:pStyle w:val="BodyText"/>
              <w:rPr>
                <w:lang w:val="en-NZ"/>
              </w:rPr>
            </w:pPr>
            <w:r w:rsidRPr="004A766F">
              <w:rPr>
                <w:rStyle w:val="SpecialBold"/>
              </w:rPr>
              <w:t>RANGE STATEMENT</w:t>
            </w:r>
          </w:p>
        </w:tc>
      </w:tr>
      <w:tr w:rsidTr="00DC349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A766F">
            <w:pPr>
              <w:pStyle w:val="BodyText"/>
              <w:rPr>
                <w:lang w:val="en-NZ"/>
              </w:rPr>
            </w:pPr>
            <w:r w:rsidRPr="004A766F">
              <w:t>The range statement relates to the unit of competency as a whole. It allows for different work environments and situations that may affect performance. Bold italicised wording, if used in the performance criteria, is detailed below. Essential operating con</w:t>
            </w:r>
            <w:r w:rsidRPr="004A766F">
              <w:t>ditions that may be present with training and assessment (depending on the work situation, needs of the candidate, accessibility of the item, and local industry and regional contexts) may also be included.</w:t>
            </w:r>
          </w:p>
        </w:tc>
      </w:tr>
      <w:tr w:rsidTr="00DC3495">
        <w:tblPrEx>
          <w:tblW w:w="0" w:type="auto"/>
          <w:tblLayout w:type="fixed"/>
          <w:tblCellMar>
            <w:left w:w="62" w:type="dxa"/>
            <w:right w:w="62" w:type="dxa"/>
          </w:tblCellMar>
          <w:tblLook w:val="0000"/>
        </w:tblPrEx>
        <w:tc>
          <w:tcPr>
            <w:tcW w:w="3538" w:type="dxa"/>
            <w:tcBorders>
              <w:top w:val="nil"/>
              <w:left w:val="nil"/>
              <w:bottom w:val="nil"/>
              <w:right w:val="nil"/>
            </w:tcBorders>
            <w:tcMar>
              <w:top w:w="0" w:type="dxa"/>
              <w:left w:w="62" w:type="dxa"/>
              <w:bottom w:w="0" w:type="dxa"/>
              <w:right w:w="62" w:type="dxa"/>
            </w:tcMar>
          </w:tcPr>
          <w:p w:rsidR="00000000" w:rsidP="004A766F">
            <w:pPr>
              <w:pStyle w:val="BodyText"/>
              <w:rPr>
                <w:lang w:val="en-NZ"/>
              </w:rPr>
            </w:pPr>
            <w:r w:rsidRPr="004A766F">
              <w:rPr>
                <w:rStyle w:val="BoldandItalics"/>
              </w:rPr>
              <w:t>Hazards</w:t>
            </w:r>
            <w:r w:rsidRPr="004A766F">
              <w:t xml:space="preserve"> may include but not limited to: </w:t>
            </w:r>
          </w:p>
        </w:tc>
        <w:tc>
          <w:tcPr>
            <w:tcW w:w="4984" w:type="dxa"/>
            <w:tcBorders>
              <w:top w:val="nil"/>
              <w:left w:val="nil"/>
              <w:bottom w:val="nil"/>
              <w:right w:val="nil"/>
            </w:tcBorders>
            <w:tcMar>
              <w:top w:w="0" w:type="dxa"/>
              <w:left w:w="62" w:type="dxa"/>
              <w:bottom w:w="0" w:type="dxa"/>
              <w:right w:w="62" w:type="dxa"/>
            </w:tcMar>
          </w:tcPr>
          <w:p w:rsidR="00000000" w:rsidRPr="004A766F" w:rsidP="004A766F">
            <w:pPr>
              <w:pStyle w:val="ListBullet"/>
            </w:pPr>
            <w:r w:rsidRPr="004A766F">
              <w:t>ground conditions (e.g. ground bearing pressure/s, back filled trenches, underground services, slopes)</w:t>
            </w:r>
          </w:p>
          <w:p w:rsidR="00000000" w:rsidRPr="004A766F" w:rsidP="004A766F">
            <w:pPr>
              <w:pStyle w:val="ListBullet"/>
            </w:pPr>
            <w:r w:rsidRPr="004A766F">
              <w:t>overhead hazards (e.g. power lines, service pipes) (minimum clearance distance from powerlines or electrical equipment as determined by relevant state au</w:t>
            </w:r>
            <w:r w:rsidRPr="004A766F">
              <w:t>thority or electrical supply authority)</w:t>
            </w:r>
          </w:p>
          <w:p w:rsidR="00000000" w:rsidRPr="004A766F" w:rsidP="004A766F">
            <w:pPr>
              <w:pStyle w:val="ListBullet"/>
            </w:pPr>
            <w:r w:rsidRPr="004A766F">
              <w:t>traffic (e.g. pedestrians, vehicles, other plant)</w:t>
            </w:r>
          </w:p>
          <w:p w:rsidR="00000000" w:rsidRPr="004A766F" w:rsidP="004A766F">
            <w:pPr>
              <w:pStyle w:val="ListBullet"/>
            </w:pPr>
            <w:r w:rsidRPr="004A766F">
              <w:t>insufficient lighting</w:t>
            </w:r>
          </w:p>
          <w:p w:rsidR="00000000" w:rsidRPr="004A766F" w:rsidP="004A766F">
            <w:pPr>
              <w:pStyle w:val="ListBullet"/>
            </w:pPr>
            <w:r w:rsidRPr="004A766F">
              <w:t>environmental conditions (e.g. wind, lightning, storms)</w:t>
            </w:r>
          </w:p>
          <w:p w:rsidR="00000000" w:rsidP="004A766F">
            <w:pPr>
              <w:pStyle w:val="ListBullet"/>
              <w:rPr>
                <w:lang w:val="en-NZ"/>
              </w:rPr>
            </w:pPr>
            <w:r w:rsidRPr="004A766F">
              <w:t>other site specific hazards (e.g. hazardous materials).</w:t>
            </w:r>
          </w:p>
        </w:tc>
      </w:tr>
      <w:tr w:rsidTr="00DC3495">
        <w:tblPrEx>
          <w:tblW w:w="0" w:type="auto"/>
          <w:tblLayout w:type="fixed"/>
          <w:tblCellMar>
            <w:left w:w="62" w:type="dxa"/>
            <w:right w:w="62" w:type="dxa"/>
          </w:tblCellMar>
          <w:tblLook w:val="0000"/>
        </w:tblPrEx>
        <w:tc>
          <w:tcPr>
            <w:tcW w:w="3538" w:type="dxa"/>
            <w:tcBorders>
              <w:top w:val="nil"/>
              <w:left w:val="nil"/>
              <w:bottom w:val="nil"/>
              <w:right w:val="nil"/>
            </w:tcBorders>
            <w:tcMar>
              <w:top w:w="0" w:type="dxa"/>
              <w:left w:w="62" w:type="dxa"/>
              <w:bottom w:w="0" w:type="dxa"/>
              <w:right w:w="62" w:type="dxa"/>
            </w:tcMar>
          </w:tcPr>
          <w:p w:rsidR="00000000" w:rsidP="004A766F">
            <w:pPr>
              <w:pStyle w:val="BodyText"/>
              <w:rPr>
                <w:lang w:val="en-NZ"/>
              </w:rPr>
            </w:pPr>
            <w:r w:rsidRPr="004A766F">
              <w:rPr>
                <w:rStyle w:val="BoldandItalics"/>
              </w:rPr>
              <w:t>Hazard control measures</w:t>
            </w:r>
            <w:r w:rsidRPr="004A766F">
              <w:t>:</w:t>
            </w:r>
          </w:p>
        </w:tc>
        <w:tc>
          <w:tcPr>
            <w:tcW w:w="4984" w:type="dxa"/>
            <w:tcBorders>
              <w:top w:val="nil"/>
              <w:left w:val="nil"/>
              <w:bottom w:val="nil"/>
              <w:right w:val="nil"/>
            </w:tcBorders>
            <w:tcMar>
              <w:top w:w="0" w:type="dxa"/>
              <w:left w:w="62" w:type="dxa"/>
              <w:bottom w:w="0" w:type="dxa"/>
              <w:right w:w="62" w:type="dxa"/>
            </w:tcMar>
          </w:tcPr>
          <w:p w:rsidR="00000000" w:rsidRPr="004A766F" w:rsidP="004A766F">
            <w:pPr>
              <w:pStyle w:val="BodyText"/>
            </w:pPr>
            <w:r w:rsidRPr="004A766F">
              <w:t>Refers</w:t>
            </w:r>
            <w:r w:rsidRPr="004A766F">
              <w:t xml:space="preserve"> to the systematic process of eliminating or reducing the risk to personnel and property through the application of controls. </w:t>
            </w:r>
          </w:p>
          <w:p w:rsidR="00000000" w:rsidRPr="004A766F" w:rsidP="004A766F">
            <w:pPr>
              <w:pStyle w:val="BodyText"/>
            </w:pPr>
            <w:r w:rsidRPr="004A766F">
              <w:t xml:space="preserve">It includes the application of the hierarchy of control, the six-step preference of control measures to manage and control risk: </w:t>
            </w:r>
          </w:p>
          <w:p w:rsidR="00000000" w:rsidRPr="004A766F" w:rsidP="004A766F">
            <w:pPr>
              <w:pStyle w:val="ListBullet"/>
            </w:pPr>
            <w:r w:rsidRPr="004A766F">
              <w:t>elimination</w:t>
            </w:r>
          </w:p>
          <w:p w:rsidR="00000000" w:rsidRPr="004A766F" w:rsidP="004A766F">
            <w:pPr>
              <w:pStyle w:val="ListBullet"/>
            </w:pPr>
            <w:r w:rsidRPr="004A766F">
              <w:t>substitution</w:t>
            </w:r>
          </w:p>
          <w:p w:rsidR="00000000" w:rsidRPr="004A766F" w:rsidP="004A766F">
            <w:pPr>
              <w:pStyle w:val="ListBullet"/>
            </w:pPr>
            <w:r w:rsidRPr="004A766F">
              <w:t>isolation</w:t>
            </w:r>
          </w:p>
          <w:p w:rsidR="00000000" w:rsidRPr="004A766F" w:rsidP="004A766F">
            <w:pPr>
              <w:pStyle w:val="ListBullet"/>
            </w:pPr>
            <w:r w:rsidRPr="004A766F">
              <w:t>engineering control measures</w:t>
            </w:r>
          </w:p>
          <w:p w:rsidR="00000000" w:rsidRPr="004A766F" w:rsidP="004A766F">
            <w:pPr>
              <w:pStyle w:val="ListBullet"/>
            </w:pPr>
            <w:r w:rsidRPr="004A766F">
              <w:t>using safe work practices</w:t>
            </w:r>
          </w:p>
          <w:p w:rsidR="00000000" w:rsidP="004A766F">
            <w:pPr>
              <w:pStyle w:val="ListBullet"/>
              <w:rPr>
                <w:lang w:val="en-NZ"/>
              </w:rPr>
            </w:pPr>
            <w:r w:rsidRPr="004A766F">
              <w:t>personal protective equipment.</w:t>
            </w:r>
          </w:p>
        </w:tc>
      </w:tr>
      <w:tr w:rsidTr="00DC3495">
        <w:tblPrEx>
          <w:tblW w:w="0" w:type="auto"/>
          <w:tblLayout w:type="fixed"/>
          <w:tblCellMar>
            <w:left w:w="62" w:type="dxa"/>
            <w:right w:w="62" w:type="dxa"/>
          </w:tblCellMar>
          <w:tblLook w:val="0000"/>
        </w:tblPrEx>
        <w:tc>
          <w:tcPr>
            <w:tcW w:w="3538" w:type="dxa"/>
            <w:tcBorders>
              <w:top w:val="nil"/>
              <w:left w:val="nil"/>
              <w:bottom w:val="nil"/>
              <w:right w:val="nil"/>
            </w:tcBorders>
            <w:tcMar>
              <w:top w:w="0" w:type="dxa"/>
              <w:left w:w="62" w:type="dxa"/>
              <w:bottom w:w="0" w:type="dxa"/>
              <w:right w:w="62" w:type="dxa"/>
            </w:tcMar>
          </w:tcPr>
          <w:p w:rsidR="00000000" w:rsidP="004A766F">
            <w:pPr>
              <w:pStyle w:val="BodyText"/>
              <w:rPr>
                <w:lang w:val="en-NZ"/>
              </w:rPr>
            </w:pPr>
            <w:r w:rsidRPr="004A766F">
              <w:rPr>
                <w:rStyle w:val="BoldandItalics"/>
              </w:rPr>
              <w:t>Appropriate standards</w:t>
            </w:r>
            <w:r w:rsidRPr="004A766F">
              <w:t xml:space="preserve"> may include: </w:t>
            </w:r>
          </w:p>
        </w:tc>
        <w:tc>
          <w:tcPr>
            <w:tcW w:w="4984" w:type="dxa"/>
            <w:tcBorders>
              <w:top w:val="nil"/>
              <w:left w:val="nil"/>
              <w:bottom w:val="nil"/>
              <w:right w:val="nil"/>
            </w:tcBorders>
            <w:tcMar>
              <w:top w:w="0" w:type="dxa"/>
              <w:left w:w="62" w:type="dxa"/>
              <w:bottom w:w="0" w:type="dxa"/>
              <w:right w:w="62" w:type="dxa"/>
            </w:tcMar>
          </w:tcPr>
          <w:p w:rsidR="00000000" w:rsidRPr="004A766F" w:rsidP="004A766F">
            <w:pPr>
              <w:pStyle w:val="ListBullet"/>
            </w:pPr>
            <w:r w:rsidRPr="004A766F">
              <w:t>codes of practice</w:t>
            </w:r>
          </w:p>
          <w:p w:rsidR="00000000" w:rsidRPr="004A766F" w:rsidP="004A766F">
            <w:pPr>
              <w:pStyle w:val="ListBullet"/>
            </w:pPr>
            <w:r w:rsidRPr="004A766F">
              <w:t>legislation</w:t>
            </w:r>
          </w:p>
          <w:p w:rsidR="00000000" w:rsidRPr="004A766F" w:rsidP="004A766F">
            <w:pPr>
              <w:pStyle w:val="ListBullet"/>
            </w:pPr>
            <w:r w:rsidRPr="004A766F">
              <w:t>Australian Standards</w:t>
            </w:r>
          </w:p>
          <w:p w:rsidR="00000000" w:rsidRPr="004A766F" w:rsidP="004A766F">
            <w:pPr>
              <w:pStyle w:val="ListBullet"/>
            </w:pPr>
            <w:r w:rsidRPr="004A766F">
              <w:t>manufacturer's specifications</w:t>
            </w:r>
          </w:p>
          <w:p w:rsidR="00000000" w:rsidP="004A766F">
            <w:pPr>
              <w:pStyle w:val="ListBullet"/>
              <w:rPr>
                <w:lang w:val="en-NZ"/>
              </w:rPr>
            </w:pPr>
            <w:r w:rsidRPr="004A766F">
              <w:t>industry standards (where applicable).</w:t>
            </w:r>
          </w:p>
        </w:tc>
      </w:tr>
      <w:tr w:rsidTr="00DC3495">
        <w:tblPrEx>
          <w:tblW w:w="0" w:type="auto"/>
          <w:tblLayout w:type="fixed"/>
          <w:tblCellMar>
            <w:left w:w="62" w:type="dxa"/>
            <w:right w:w="62" w:type="dxa"/>
          </w:tblCellMar>
          <w:tblLook w:val="0000"/>
        </w:tblPrEx>
        <w:tc>
          <w:tcPr>
            <w:tcW w:w="3538" w:type="dxa"/>
            <w:tcBorders>
              <w:top w:val="nil"/>
              <w:left w:val="nil"/>
              <w:bottom w:val="nil"/>
              <w:right w:val="nil"/>
            </w:tcBorders>
            <w:tcMar>
              <w:top w:w="0" w:type="dxa"/>
              <w:left w:w="62" w:type="dxa"/>
              <w:bottom w:w="0" w:type="dxa"/>
              <w:right w:w="62" w:type="dxa"/>
            </w:tcMar>
          </w:tcPr>
          <w:p w:rsidR="00000000" w:rsidP="004A766F">
            <w:pPr>
              <w:pStyle w:val="BodyText"/>
              <w:rPr>
                <w:lang w:val="en-NZ"/>
              </w:rPr>
            </w:pPr>
            <w:r w:rsidRPr="004A766F">
              <w:rPr>
                <w:rStyle w:val="BoldandItalics"/>
              </w:rPr>
              <w:t>Site Information</w:t>
            </w:r>
            <w:r w:rsidRPr="004A766F">
              <w:t xml:space="preserve"> may include, but not be limited to: </w:t>
            </w:r>
          </w:p>
        </w:tc>
        <w:tc>
          <w:tcPr>
            <w:tcW w:w="4984" w:type="dxa"/>
            <w:tcBorders>
              <w:top w:val="nil"/>
              <w:left w:val="nil"/>
              <w:bottom w:val="nil"/>
              <w:right w:val="nil"/>
            </w:tcBorders>
            <w:tcMar>
              <w:top w:w="0" w:type="dxa"/>
              <w:left w:w="62" w:type="dxa"/>
              <w:bottom w:w="0" w:type="dxa"/>
              <w:right w:w="62" w:type="dxa"/>
            </w:tcMar>
          </w:tcPr>
          <w:p w:rsidR="00000000" w:rsidRPr="004A766F" w:rsidP="004A766F">
            <w:pPr>
              <w:pStyle w:val="ListBullet"/>
            </w:pPr>
            <w:r w:rsidRPr="004A766F">
              <w:t>local conditions such as access and egress</w:t>
            </w:r>
          </w:p>
          <w:p w:rsidR="00000000" w:rsidRPr="004A766F" w:rsidP="004A766F">
            <w:pPr>
              <w:pStyle w:val="ListBullet"/>
            </w:pPr>
            <w:r w:rsidRPr="004A766F">
              <w:t>work method statements</w:t>
            </w:r>
          </w:p>
          <w:p w:rsidR="00000000" w:rsidRPr="004A766F" w:rsidP="004A766F">
            <w:pPr>
              <w:pStyle w:val="ListBullet"/>
            </w:pPr>
            <w:r w:rsidRPr="004A766F">
              <w:t>site-specific job safety analyses and other documentation as required</w:t>
            </w:r>
          </w:p>
          <w:p w:rsidR="00000000" w:rsidP="004A766F">
            <w:pPr>
              <w:pStyle w:val="ListBullet"/>
              <w:rPr>
                <w:lang w:val="en-NZ"/>
              </w:rPr>
            </w:pPr>
            <w:r w:rsidRPr="004A766F">
              <w:t>task plans.</w:t>
            </w:r>
          </w:p>
        </w:tc>
      </w:tr>
      <w:tr w:rsidTr="00DC3495">
        <w:tblPrEx>
          <w:tblW w:w="0" w:type="auto"/>
          <w:tblLayout w:type="fixed"/>
          <w:tblCellMar>
            <w:left w:w="62" w:type="dxa"/>
            <w:right w:w="62" w:type="dxa"/>
          </w:tblCellMar>
          <w:tblLook w:val="0000"/>
        </w:tblPrEx>
        <w:tc>
          <w:tcPr>
            <w:tcW w:w="3538" w:type="dxa"/>
            <w:tcBorders>
              <w:top w:val="nil"/>
              <w:left w:val="nil"/>
              <w:bottom w:val="nil"/>
              <w:right w:val="nil"/>
            </w:tcBorders>
            <w:tcMar>
              <w:top w:w="0" w:type="dxa"/>
              <w:left w:w="62" w:type="dxa"/>
              <w:bottom w:w="0" w:type="dxa"/>
              <w:right w:w="62" w:type="dxa"/>
            </w:tcMar>
          </w:tcPr>
          <w:p w:rsidR="00000000" w:rsidP="004A766F">
            <w:pPr>
              <w:pStyle w:val="BodyText"/>
              <w:rPr>
                <w:lang w:val="en-NZ"/>
              </w:rPr>
            </w:pPr>
            <w:r w:rsidRPr="004A766F">
              <w:rPr>
                <w:rStyle w:val="BoldandItalics"/>
              </w:rPr>
              <w:t>Scaffold</w:t>
            </w:r>
            <w:r w:rsidRPr="004A766F">
              <w:t xml:space="preserve"> may </w:t>
            </w:r>
            <w:r w:rsidRPr="004A766F">
              <w:t xml:space="preserve">include but not limited to: </w:t>
            </w:r>
          </w:p>
        </w:tc>
        <w:tc>
          <w:tcPr>
            <w:tcW w:w="4984" w:type="dxa"/>
            <w:tcBorders>
              <w:top w:val="nil"/>
              <w:left w:val="nil"/>
              <w:bottom w:val="nil"/>
              <w:right w:val="nil"/>
            </w:tcBorders>
            <w:tcMar>
              <w:top w:w="0" w:type="dxa"/>
              <w:left w:w="62" w:type="dxa"/>
              <w:bottom w:w="0" w:type="dxa"/>
              <w:right w:w="62" w:type="dxa"/>
            </w:tcMar>
          </w:tcPr>
          <w:p w:rsidR="00000000" w:rsidRPr="004A766F" w:rsidP="004A766F">
            <w:pPr>
              <w:pStyle w:val="ListBullet"/>
            </w:pPr>
            <w:r w:rsidRPr="004A766F">
              <w:t>mobile scaffolding</w:t>
            </w:r>
          </w:p>
          <w:p w:rsidR="00000000" w:rsidRPr="004A766F" w:rsidP="004A766F">
            <w:pPr>
              <w:pStyle w:val="ListBullet"/>
            </w:pPr>
            <w:r w:rsidRPr="004A766F">
              <w:t>bracket scaffolding</w:t>
            </w:r>
          </w:p>
          <w:p w:rsidR="00000000" w:rsidRPr="004A766F" w:rsidP="004A766F">
            <w:pPr>
              <w:pStyle w:val="ListBullet"/>
            </w:pPr>
            <w:r w:rsidRPr="004A766F">
              <w:t>modular scaffolding, including:</w:t>
            </w:r>
          </w:p>
          <w:p w:rsidR="00000000" w:rsidRPr="004A766F" w:rsidP="004A766F">
            <w:pPr>
              <w:pStyle w:val="ListBullet2"/>
            </w:pPr>
            <w:r w:rsidRPr="004A766F">
              <w:t>steel</w:t>
            </w:r>
          </w:p>
          <w:p w:rsidR="00000000" w:rsidRPr="004A766F" w:rsidP="004A766F">
            <w:pPr>
              <w:pStyle w:val="ListBullet2"/>
            </w:pPr>
            <w:r w:rsidRPr="004A766F">
              <w:t>fibreglass and</w:t>
            </w:r>
          </w:p>
          <w:p w:rsidR="00000000" w:rsidRPr="004A766F" w:rsidP="004A766F">
            <w:pPr>
              <w:pStyle w:val="ListBullet2"/>
            </w:pPr>
            <w:r w:rsidRPr="004A766F">
              <w:t>aluminium frame scaffolding</w:t>
            </w:r>
          </w:p>
          <w:p w:rsidR="00000000" w:rsidP="004A766F">
            <w:pPr>
              <w:pStyle w:val="ListBullet"/>
              <w:rPr>
                <w:lang w:val="en-NZ"/>
              </w:rPr>
            </w:pPr>
            <w:r w:rsidRPr="004A766F">
              <w:t>prefabricated scaffolding.</w:t>
            </w:r>
          </w:p>
        </w:tc>
      </w:tr>
      <w:tr w:rsidTr="00DC3495">
        <w:tblPrEx>
          <w:tblW w:w="0" w:type="auto"/>
          <w:tblLayout w:type="fixed"/>
          <w:tblCellMar>
            <w:left w:w="62" w:type="dxa"/>
            <w:right w:w="62" w:type="dxa"/>
          </w:tblCellMar>
          <w:tblLook w:val="0000"/>
        </w:tblPrEx>
        <w:tc>
          <w:tcPr>
            <w:tcW w:w="3538" w:type="dxa"/>
            <w:tcBorders>
              <w:top w:val="nil"/>
              <w:left w:val="nil"/>
              <w:bottom w:val="nil"/>
              <w:right w:val="nil"/>
            </w:tcBorders>
            <w:tcMar>
              <w:top w:w="0" w:type="dxa"/>
              <w:left w:w="62" w:type="dxa"/>
              <w:bottom w:w="0" w:type="dxa"/>
              <w:right w:w="62" w:type="dxa"/>
            </w:tcMar>
          </w:tcPr>
          <w:p w:rsidR="00000000" w:rsidP="004A766F">
            <w:pPr>
              <w:pStyle w:val="BodyText"/>
              <w:rPr>
                <w:lang w:val="en-NZ"/>
              </w:rPr>
            </w:pPr>
            <w:r w:rsidRPr="004A766F">
              <w:rPr>
                <w:rStyle w:val="BoldandItalics"/>
              </w:rPr>
              <w:t>Associated equipment</w:t>
            </w:r>
            <w:r w:rsidRPr="004A766F">
              <w:t xml:space="preserve"> may include but not limited to: </w:t>
            </w:r>
          </w:p>
        </w:tc>
        <w:tc>
          <w:tcPr>
            <w:tcW w:w="4984" w:type="dxa"/>
            <w:tcBorders>
              <w:top w:val="nil"/>
              <w:left w:val="nil"/>
              <w:bottom w:val="nil"/>
              <w:right w:val="nil"/>
            </w:tcBorders>
            <w:tcMar>
              <w:top w:w="0" w:type="dxa"/>
              <w:left w:w="62" w:type="dxa"/>
              <w:bottom w:w="0" w:type="dxa"/>
              <w:right w:w="62" w:type="dxa"/>
            </w:tcMar>
          </w:tcPr>
          <w:p w:rsidR="00000000" w:rsidRPr="004A766F" w:rsidP="004A766F">
            <w:pPr>
              <w:pStyle w:val="ListBullet"/>
            </w:pPr>
            <w:r w:rsidRPr="004A766F">
              <w:t>planks</w:t>
            </w:r>
          </w:p>
          <w:p w:rsidR="00000000" w:rsidRPr="004A766F" w:rsidP="004A766F">
            <w:pPr>
              <w:pStyle w:val="ListBullet"/>
            </w:pPr>
            <w:r w:rsidRPr="004A766F">
              <w:t>flexible steel wire rope and fittings.</w:t>
            </w:r>
          </w:p>
          <w:p w:rsidR="00000000" w:rsidRPr="004A766F" w:rsidP="004A766F">
            <w:pPr>
              <w:pStyle w:val="BodyText"/>
            </w:pPr>
            <w:r w:rsidRPr="004A766F">
              <w:rPr>
                <w:rStyle w:val="SpecialBold"/>
              </w:rPr>
              <w:t>NB</w:t>
            </w:r>
            <w:r w:rsidRPr="004A766F">
              <w:t xml:space="preserve">: including identification, uses and connections which may include termination for static lines and guys for cantilever hoists. </w:t>
            </w:r>
          </w:p>
          <w:p w:rsidR="00000000" w:rsidRPr="004A766F" w:rsidP="004A766F">
            <w:pPr>
              <w:pStyle w:val="ListBullet"/>
            </w:pPr>
            <w:r w:rsidRPr="004A766F">
              <w:t>ladders</w:t>
            </w:r>
          </w:p>
          <w:p w:rsidR="00000000" w:rsidRPr="004A766F" w:rsidP="004A766F">
            <w:pPr>
              <w:pStyle w:val="ListBullet"/>
            </w:pPr>
            <w:r w:rsidRPr="004A766F">
              <w:t>tie tubes and fittings</w:t>
            </w:r>
          </w:p>
          <w:p w:rsidR="00000000" w:rsidRPr="004A766F" w:rsidP="004A766F">
            <w:pPr>
              <w:pStyle w:val="ListBullet"/>
            </w:pPr>
            <w:r w:rsidRPr="004A766F">
              <w:t>fibre rope</w:t>
            </w:r>
          </w:p>
          <w:p w:rsidR="00000000" w:rsidRPr="004A766F" w:rsidP="004A766F">
            <w:pPr>
              <w:pStyle w:val="BodyText"/>
            </w:pPr>
            <w:r w:rsidRPr="004A766F">
              <w:rPr>
                <w:rStyle w:val="SpecialBold"/>
              </w:rPr>
              <w:t>NB</w:t>
            </w:r>
            <w:r w:rsidRPr="004A766F">
              <w:t xml:space="preserve">: including identification and uses (natural and synthetic), and connections associated with bends and hitches. </w:t>
            </w:r>
          </w:p>
          <w:p w:rsidR="00000000" w:rsidRPr="004A766F" w:rsidP="004A766F">
            <w:pPr>
              <w:pStyle w:val="ListBullet"/>
            </w:pPr>
            <w:r w:rsidRPr="004A766F">
              <w:t>stairways and screening</w:t>
            </w:r>
          </w:p>
          <w:p w:rsidR="00000000" w:rsidRPr="004A766F" w:rsidP="004A766F">
            <w:pPr>
              <w:pStyle w:val="ListBullet"/>
            </w:pPr>
            <w:r w:rsidRPr="004A766F">
              <w:t>hand tools, including, but not limited to:</w:t>
            </w:r>
          </w:p>
          <w:p w:rsidR="00000000" w:rsidRPr="004A766F" w:rsidP="004A766F">
            <w:pPr>
              <w:pStyle w:val="ListBullet2"/>
            </w:pPr>
            <w:r w:rsidRPr="004A766F">
              <w:t>box spanners</w:t>
            </w:r>
          </w:p>
          <w:p w:rsidR="00000000" w:rsidRPr="004A766F" w:rsidP="004A766F">
            <w:pPr>
              <w:pStyle w:val="ListBullet2"/>
            </w:pPr>
            <w:r w:rsidRPr="004A766F">
              <w:t>hammers</w:t>
            </w:r>
          </w:p>
          <w:p w:rsidR="00000000" w:rsidRPr="004A766F" w:rsidP="004A766F">
            <w:pPr>
              <w:pStyle w:val="ListBullet2"/>
            </w:pPr>
            <w:r w:rsidRPr="004A766F">
              <w:t>spirit levels</w:t>
            </w:r>
          </w:p>
          <w:p w:rsidR="00000000" w:rsidRPr="004A766F" w:rsidP="004A766F">
            <w:pPr>
              <w:pStyle w:val="ListBullet2"/>
            </w:pPr>
            <w:r w:rsidRPr="004A766F">
              <w:t>tape measures</w:t>
            </w:r>
          </w:p>
          <w:p w:rsidR="00000000" w:rsidRPr="004A766F" w:rsidP="004A766F">
            <w:pPr>
              <w:pStyle w:val="ListBullet2"/>
            </w:pPr>
            <w:r w:rsidRPr="004A766F">
              <w:t>scaffold belts</w:t>
            </w:r>
          </w:p>
          <w:p w:rsidR="00000000" w:rsidRPr="004A766F" w:rsidP="004A766F">
            <w:pPr>
              <w:pStyle w:val="ListBullet2"/>
            </w:pPr>
            <w:r w:rsidRPr="004A766F">
              <w:t>podgers</w:t>
            </w:r>
          </w:p>
          <w:p w:rsidR="00000000" w:rsidRPr="004A766F" w:rsidP="004A766F">
            <w:pPr>
              <w:pStyle w:val="ListBullet2"/>
            </w:pPr>
            <w:r w:rsidRPr="004A766F">
              <w:t>ham</w:t>
            </w:r>
            <w:r w:rsidRPr="004A766F">
              <w:t>mers</w:t>
            </w:r>
          </w:p>
          <w:p w:rsidR="00000000" w:rsidRPr="004A766F" w:rsidP="004A766F">
            <w:pPr>
              <w:pStyle w:val="ListBullet2"/>
            </w:pPr>
            <w:r w:rsidRPr="004A766F">
              <w:t>wire nips</w:t>
            </w:r>
          </w:p>
          <w:p w:rsidR="00000000" w:rsidRPr="004A766F" w:rsidP="004A766F">
            <w:pPr>
              <w:pStyle w:val="ListBullet2"/>
            </w:pPr>
            <w:r w:rsidRPr="004A766F">
              <w:t>wrenches</w:t>
            </w:r>
          </w:p>
          <w:p w:rsidR="00000000" w:rsidRPr="004A766F" w:rsidP="004A766F">
            <w:pPr>
              <w:pStyle w:val="ListBullet2"/>
            </w:pPr>
            <w:r w:rsidRPr="004A766F">
              <w:t>torpedo levels</w:t>
            </w:r>
          </w:p>
          <w:p w:rsidR="00000000" w:rsidRPr="004A766F" w:rsidP="004A766F">
            <w:pPr>
              <w:pStyle w:val="ListBullet2"/>
            </w:pPr>
            <w:r w:rsidRPr="004A766F">
              <w:t>shovels</w:t>
            </w:r>
          </w:p>
          <w:p w:rsidR="00000000" w:rsidRPr="004A766F" w:rsidP="004A766F">
            <w:pPr>
              <w:pStyle w:val="ListBullet2"/>
            </w:pPr>
            <w:r w:rsidRPr="004A766F">
              <w:t>spanners</w:t>
            </w:r>
          </w:p>
          <w:p w:rsidR="00000000" w:rsidRPr="004A766F" w:rsidP="004A766F">
            <w:pPr>
              <w:pStyle w:val="ListBullet2"/>
            </w:pPr>
            <w:r w:rsidRPr="004A766F">
              <w:t>cutters</w:t>
            </w:r>
          </w:p>
          <w:p w:rsidR="00000000" w:rsidRPr="004A766F" w:rsidP="004A766F">
            <w:pPr>
              <w:pStyle w:val="ListBullet2"/>
            </w:pPr>
            <w:r w:rsidRPr="004A766F">
              <w:t>hammer drills</w:t>
            </w:r>
          </w:p>
          <w:p w:rsidR="00000000" w:rsidRPr="004A766F" w:rsidP="004A766F">
            <w:pPr>
              <w:pStyle w:val="ListBullet2"/>
            </w:pPr>
            <w:r w:rsidRPr="004A766F">
              <w:t>sledge hammers</w:t>
            </w:r>
          </w:p>
          <w:p w:rsidR="00000000" w:rsidRPr="004A766F" w:rsidP="004A766F">
            <w:pPr>
              <w:pStyle w:val="ListBullet2"/>
            </w:pPr>
            <w:r w:rsidRPr="004A766F">
              <w:t>wheel barrows and</w:t>
            </w:r>
          </w:p>
          <w:p w:rsidR="00000000" w:rsidP="004A766F">
            <w:pPr>
              <w:pStyle w:val="ListBullet2"/>
              <w:rPr>
                <w:lang w:val="en-NZ"/>
              </w:rPr>
            </w:pPr>
            <w:r w:rsidRPr="004A766F">
              <w:t>relevant maintenance equipment.</w:t>
            </w:r>
          </w:p>
        </w:tc>
      </w:tr>
      <w:tr w:rsidTr="00DC3495">
        <w:tblPrEx>
          <w:tblW w:w="0" w:type="auto"/>
          <w:tblLayout w:type="fixed"/>
          <w:tblCellMar>
            <w:left w:w="62" w:type="dxa"/>
            <w:right w:w="62" w:type="dxa"/>
          </w:tblCellMar>
          <w:tblLook w:val="0000"/>
        </w:tblPrEx>
        <w:tc>
          <w:tcPr>
            <w:tcW w:w="3538" w:type="dxa"/>
            <w:tcBorders>
              <w:top w:val="nil"/>
              <w:left w:val="nil"/>
              <w:bottom w:val="nil"/>
              <w:right w:val="nil"/>
            </w:tcBorders>
            <w:tcMar>
              <w:top w:w="0" w:type="dxa"/>
              <w:left w:w="62" w:type="dxa"/>
              <w:bottom w:w="0" w:type="dxa"/>
              <w:right w:w="62" w:type="dxa"/>
            </w:tcMar>
          </w:tcPr>
          <w:p w:rsidR="00000000" w:rsidP="004A766F">
            <w:pPr>
              <w:pStyle w:val="BodyText"/>
              <w:rPr>
                <w:lang w:val="en-NZ"/>
              </w:rPr>
            </w:pPr>
            <w:r w:rsidRPr="004A766F">
              <w:rPr>
                <w:rStyle w:val="BoldandItalics"/>
              </w:rPr>
              <w:t>Scaffolding equipment</w:t>
            </w:r>
            <w:r w:rsidRPr="004A766F">
              <w:t xml:space="preserve"> may include but not limited to: </w:t>
            </w:r>
          </w:p>
        </w:tc>
        <w:tc>
          <w:tcPr>
            <w:tcW w:w="4984" w:type="dxa"/>
            <w:tcBorders>
              <w:top w:val="nil"/>
              <w:left w:val="nil"/>
              <w:bottom w:val="nil"/>
              <w:right w:val="nil"/>
            </w:tcBorders>
            <w:tcMar>
              <w:top w:w="0" w:type="dxa"/>
              <w:left w:w="62" w:type="dxa"/>
              <w:bottom w:w="0" w:type="dxa"/>
              <w:right w:w="62" w:type="dxa"/>
            </w:tcMar>
          </w:tcPr>
          <w:p w:rsidR="00000000" w:rsidRPr="004A766F" w:rsidP="004A766F">
            <w:pPr>
              <w:pStyle w:val="ListBullet"/>
            </w:pPr>
            <w:r w:rsidRPr="004A766F">
              <w:t>materials hoists</w:t>
            </w:r>
          </w:p>
          <w:p w:rsidR="00000000" w:rsidRPr="004A766F" w:rsidP="004A766F">
            <w:pPr>
              <w:pStyle w:val="ListBullet"/>
            </w:pPr>
            <w:r w:rsidRPr="004A766F">
              <w:t>gin wheels</w:t>
            </w:r>
          </w:p>
          <w:p w:rsidR="00000000" w:rsidRPr="004A766F" w:rsidP="004A766F">
            <w:pPr>
              <w:pStyle w:val="ListBullet"/>
            </w:pPr>
            <w:r w:rsidRPr="004A766F">
              <w:t>safety nets</w:t>
            </w:r>
          </w:p>
          <w:p w:rsidR="00000000" w:rsidP="004A766F">
            <w:pPr>
              <w:pStyle w:val="ListBullet"/>
              <w:rPr>
                <w:lang w:val="en-NZ"/>
              </w:rPr>
            </w:pPr>
            <w:r w:rsidRPr="004A766F">
              <w:t>static lines and fittings.</w:t>
            </w:r>
          </w:p>
        </w:tc>
      </w:tr>
      <w:tr w:rsidTr="00DC3495">
        <w:tblPrEx>
          <w:tblW w:w="0" w:type="auto"/>
          <w:tblLayout w:type="fixed"/>
          <w:tblCellMar>
            <w:left w:w="62" w:type="dxa"/>
            <w:right w:w="62" w:type="dxa"/>
          </w:tblCellMar>
          <w:tblLook w:val="0000"/>
        </w:tblPrEx>
        <w:tc>
          <w:tcPr>
            <w:tcW w:w="3538" w:type="dxa"/>
            <w:tcBorders>
              <w:top w:val="nil"/>
              <w:left w:val="nil"/>
              <w:bottom w:val="nil"/>
              <w:right w:val="nil"/>
            </w:tcBorders>
            <w:tcMar>
              <w:top w:w="0" w:type="dxa"/>
              <w:left w:w="62" w:type="dxa"/>
              <w:bottom w:w="0" w:type="dxa"/>
              <w:right w:w="62" w:type="dxa"/>
            </w:tcMar>
          </w:tcPr>
          <w:p w:rsidR="00000000" w:rsidP="004A766F">
            <w:pPr>
              <w:pStyle w:val="BodyText"/>
              <w:rPr>
                <w:lang w:val="en-NZ"/>
              </w:rPr>
            </w:pPr>
            <w:r w:rsidRPr="004A766F">
              <w:rPr>
                <w:rStyle w:val="BoldandItalics"/>
              </w:rPr>
              <w:t>Appropriate personnel</w:t>
            </w:r>
            <w:r w:rsidRPr="004A766F">
              <w:t xml:space="preserve"> may include, but are not limited to: </w:t>
            </w:r>
          </w:p>
        </w:tc>
        <w:tc>
          <w:tcPr>
            <w:tcW w:w="4984" w:type="dxa"/>
            <w:tcBorders>
              <w:top w:val="nil"/>
              <w:left w:val="nil"/>
              <w:bottom w:val="nil"/>
              <w:right w:val="nil"/>
            </w:tcBorders>
            <w:tcMar>
              <w:top w:w="0" w:type="dxa"/>
              <w:left w:w="62" w:type="dxa"/>
              <w:bottom w:w="0" w:type="dxa"/>
              <w:right w:w="62" w:type="dxa"/>
            </w:tcMar>
          </w:tcPr>
          <w:p w:rsidR="00000000" w:rsidRPr="004A766F" w:rsidP="004A766F">
            <w:pPr>
              <w:pStyle w:val="ListBullet"/>
            </w:pPr>
            <w:r w:rsidRPr="004A766F">
              <w:t>supervisors</w:t>
            </w:r>
          </w:p>
          <w:p w:rsidR="00000000" w:rsidRPr="004A766F" w:rsidP="004A766F">
            <w:pPr>
              <w:pStyle w:val="ListBullet"/>
            </w:pPr>
            <w:r w:rsidRPr="004A766F">
              <w:t>colleagues</w:t>
            </w:r>
          </w:p>
          <w:p w:rsidR="00000000" w:rsidRPr="004A766F" w:rsidP="004A766F">
            <w:pPr>
              <w:pStyle w:val="ListBullet"/>
            </w:pPr>
            <w:r w:rsidRPr="004A766F">
              <w:t>managers who are authorised to take responsibility for the workplace or operations</w:t>
            </w:r>
          </w:p>
          <w:p w:rsidR="00000000" w:rsidRPr="004A766F" w:rsidP="004A766F">
            <w:pPr>
              <w:pStyle w:val="ListBullet"/>
            </w:pPr>
            <w:r w:rsidRPr="004A766F">
              <w:t>other scaffolders</w:t>
            </w:r>
          </w:p>
          <w:p w:rsidR="00000000" w:rsidP="004A766F">
            <w:pPr>
              <w:pStyle w:val="ListBullet"/>
              <w:rPr>
                <w:lang w:val="en-NZ"/>
              </w:rPr>
            </w:pPr>
            <w:r w:rsidRPr="004A766F">
              <w:t>other site personnel as applicable.</w:t>
            </w:r>
          </w:p>
        </w:tc>
      </w:tr>
      <w:tr w:rsidTr="00DC3495">
        <w:tblPrEx>
          <w:tblW w:w="0" w:type="auto"/>
          <w:tblLayout w:type="fixed"/>
          <w:tblCellMar>
            <w:left w:w="62" w:type="dxa"/>
            <w:right w:w="62" w:type="dxa"/>
          </w:tblCellMar>
          <w:tblLook w:val="0000"/>
        </w:tblPrEx>
        <w:tc>
          <w:tcPr>
            <w:tcW w:w="3538" w:type="dxa"/>
            <w:tcBorders>
              <w:top w:val="nil"/>
              <w:left w:val="nil"/>
              <w:bottom w:val="nil"/>
              <w:right w:val="nil"/>
            </w:tcBorders>
            <w:tcMar>
              <w:top w:w="0" w:type="dxa"/>
              <w:left w:w="62" w:type="dxa"/>
              <w:bottom w:w="0" w:type="dxa"/>
              <w:right w:w="62" w:type="dxa"/>
            </w:tcMar>
          </w:tcPr>
          <w:p w:rsidR="00000000" w:rsidP="004A766F">
            <w:pPr>
              <w:pStyle w:val="BodyText"/>
              <w:rPr>
                <w:lang w:val="en-NZ"/>
              </w:rPr>
            </w:pPr>
            <w:r w:rsidRPr="004A766F">
              <w:rPr>
                <w:rStyle w:val="BoldandItalics"/>
              </w:rPr>
              <w:t>Safety equipment</w:t>
            </w:r>
            <w:r w:rsidRPr="004A766F">
              <w:t xml:space="preserve"> may include but not limited to: </w:t>
            </w:r>
          </w:p>
        </w:tc>
        <w:tc>
          <w:tcPr>
            <w:tcW w:w="4984" w:type="dxa"/>
            <w:tcBorders>
              <w:top w:val="nil"/>
              <w:left w:val="nil"/>
              <w:bottom w:val="nil"/>
              <w:right w:val="nil"/>
            </w:tcBorders>
            <w:tcMar>
              <w:top w:w="0" w:type="dxa"/>
              <w:left w:w="62" w:type="dxa"/>
              <w:bottom w:w="0" w:type="dxa"/>
              <w:right w:w="62" w:type="dxa"/>
            </w:tcMar>
          </w:tcPr>
          <w:p w:rsidR="00000000" w:rsidRPr="004A766F" w:rsidP="004A766F">
            <w:pPr>
              <w:pStyle w:val="ListBullet"/>
            </w:pPr>
            <w:r w:rsidRPr="004A766F">
              <w:t>safety harness</w:t>
            </w:r>
          </w:p>
          <w:p w:rsidR="00000000" w:rsidRPr="004A766F" w:rsidP="004A766F">
            <w:pPr>
              <w:pStyle w:val="ListBullet"/>
            </w:pPr>
            <w:r w:rsidRPr="004A766F">
              <w:t>energy absorber</w:t>
            </w:r>
          </w:p>
          <w:p w:rsidR="00000000" w:rsidRPr="004A766F" w:rsidP="004A766F">
            <w:pPr>
              <w:pStyle w:val="ListBullet"/>
            </w:pPr>
            <w:r w:rsidRPr="004A766F">
              <w:t>lanyard</w:t>
            </w:r>
          </w:p>
          <w:p w:rsidR="00000000" w:rsidP="004A766F">
            <w:pPr>
              <w:pStyle w:val="ListBullet"/>
              <w:rPr>
                <w:lang w:val="en-NZ"/>
              </w:rPr>
            </w:pPr>
            <w:r w:rsidRPr="004A766F">
              <w:t>inertia reel.</w:t>
            </w:r>
          </w:p>
        </w:tc>
      </w:tr>
      <w:tr w:rsidTr="00DC3495">
        <w:tblPrEx>
          <w:tblW w:w="0" w:type="auto"/>
          <w:tblLayout w:type="fixed"/>
          <w:tblCellMar>
            <w:left w:w="62" w:type="dxa"/>
            <w:right w:w="62" w:type="dxa"/>
          </w:tblCellMar>
          <w:tblLook w:val="0000"/>
        </w:tblPrEx>
        <w:tc>
          <w:tcPr>
            <w:tcW w:w="3538" w:type="dxa"/>
            <w:tcBorders>
              <w:top w:val="nil"/>
              <w:left w:val="nil"/>
              <w:bottom w:val="nil"/>
              <w:right w:val="nil"/>
            </w:tcBorders>
            <w:tcMar>
              <w:top w:w="0" w:type="dxa"/>
              <w:left w:w="62" w:type="dxa"/>
              <w:bottom w:w="0" w:type="dxa"/>
              <w:right w:w="62" w:type="dxa"/>
            </w:tcMar>
          </w:tcPr>
          <w:p w:rsidR="00000000" w:rsidP="004A766F">
            <w:pPr>
              <w:pStyle w:val="BodyText"/>
              <w:rPr>
                <w:lang w:val="en-NZ"/>
              </w:rPr>
            </w:pPr>
            <w:r w:rsidRPr="004A766F">
              <w:rPr>
                <w:rStyle w:val="BoldandItalics"/>
              </w:rPr>
              <w:t>Forces and Loads</w:t>
            </w:r>
            <w:r w:rsidRPr="004A766F">
              <w:t xml:space="preserve"> may include, but are not limited to: </w:t>
            </w:r>
          </w:p>
        </w:tc>
        <w:tc>
          <w:tcPr>
            <w:tcW w:w="4984" w:type="dxa"/>
            <w:tcBorders>
              <w:top w:val="nil"/>
              <w:left w:val="nil"/>
              <w:bottom w:val="nil"/>
              <w:right w:val="nil"/>
            </w:tcBorders>
            <w:tcMar>
              <w:top w:w="0" w:type="dxa"/>
              <w:left w:w="62" w:type="dxa"/>
              <w:bottom w:w="0" w:type="dxa"/>
              <w:right w:w="62" w:type="dxa"/>
            </w:tcMar>
          </w:tcPr>
          <w:p w:rsidR="00000000" w:rsidRPr="004A766F" w:rsidP="004A766F">
            <w:pPr>
              <w:pStyle w:val="ListBullet"/>
            </w:pPr>
            <w:r w:rsidRPr="004A766F">
              <w:t>dead loads</w:t>
            </w:r>
          </w:p>
          <w:p w:rsidR="00000000" w:rsidRPr="004A766F" w:rsidP="004A766F">
            <w:pPr>
              <w:pStyle w:val="ListBullet"/>
            </w:pPr>
            <w:r w:rsidRPr="004A766F">
              <w:t>live loads</w:t>
            </w:r>
          </w:p>
          <w:p w:rsidR="00000000" w:rsidRPr="004A766F" w:rsidP="004A766F">
            <w:pPr>
              <w:pStyle w:val="ListBullet"/>
            </w:pPr>
            <w:r w:rsidRPr="004A766F">
              <w:t>static load</w:t>
            </w:r>
          </w:p>
          <w:p w:rsidR="00000000" w:rsidRPr="004A766F" w:rsidP="004A766F">
            <w:pPr>
              <w:pStyle w:val="ListBullet"/>
            </w:pPr>
            <w:r w:rsidRPr="004A766F">
              <w:t>dynamic loads</w:t>
            </w:r>
          </w:p>
          <w:p w:rsidR="00000000" w:rsidP="004A766F">
            <w:pPr>
              <w:pStyle w:val="ListBullet"/>
              <w:rPr>
                <w:lang w:val="en-NZ"/>
              </w:rPr>
            </w:pPr>
            <w:r w:rsidRPr="004A766F">
              <w:t>wind loads.</w:t>
            </w:r>
          </w:p>
        </w:tc>
      </w:tr>
      <w:tr w:rsidTr="00DC3495">
        <w:tblPrEx>
          <w:tblW w:w="0" w:type="auto"/>
          <w:tblLayout w:type="fixed"/>
          <w:tblCellMar>
            <w:left w:w="62" w:type="dxa"/>
            <w:right w:w="62" w:type="dxa"/>
          </w:tblCellMar>
          <w:tblLook w:val="0000"/>
        </w:tblPrEx>
        <w:tc>
          <w:tcPr>
            <w:tcW w:w="3538" w:type="dxa"/>
            <w:tcBorders>
              <w:top w:val="nil"/>
              <w:left w:val="nil"/>
              <w:bottom w:val="nil"/>
              <w:right w:val="nil"/>
            </w:tcBorders>
            <w:tcMar>
              <w:top w:w="0" w:type="dxa"/>
              <w:left w:w="62" w:type="dxa"/>
              <w:bottom w:w="0" w:type="dxa"/>
              <w:right w:w="62" w:type="dxa"/>
            </w:tcMar>
          </w:tcPr>
          <w:p w:rsidR="00000000" w:rsidP="004A766F">
            <w:pPr>
              <w:pStyle w:val="BodyText"/>
              <w:rPr>
                <w:lang w:val="en-NZ"/>
              </w:rPr>
            </w:pPr>
            <w:r w:rsidRPr="004A766F">
              <w:rPr>
                <w:rStyle w:val="BoldandItalics"/>
              </w:rPr>
              <w:t>Communication Methods</w:t>
            </w:r>
            <w:r w:rsidRPr="004A766F">
              <w:t xml:space="preserve"> may include but not limited to: </w:t>
            </w:r>
          </w:p>
        </w:tc>
        <w:tc>
          <w:tcPr>
            <w:tcW w:w="4984" w:type="dxa"/>
            <w:tcBorders>
              <w:top w:val="nil"/>
              <w:left w:val="nil"/>
              <w:bottom w:val="nil"/>
              <w:right w:val="nil"/>
            </w:tcBorders>
            <w:tcMar>
              <w:top w:w="0" w:type="dxa"/>
              <w:left w:w="62" w:type="dxa"/>
              <w:bottom w:w="0" w:type="dxa"/>
              <w:right w:w="62" w:type="dxa"/>
            </w:tcMar>
          </w:tcPr>
          <w:p w:rsidR="00000000" w:rsidRPr="004A766F" w:rsidP="004A766F">
            <w:pPr>
              <w:pStyle w:val="ListBullet"/>
            </w:pPr>
            <w:r w:rsidRPr="004A766F">
              <w:t>verbal and non-verbal language</w:t>
            </w:r>
          </w:p>
          <w:p w:rsidR="00000000" w:rsidRPr="004A766F" w:rsidP="004A766F">
            <w:pPr>
              <w:pStyle w:val="ListBullet"/>
            </w:pPr>
            <w:r w:rsidRPr="004A766F">
              <w:t>written instructions</w:t>
            </w:r>
          </w:p>
          <w:p w:rsidR="00000000" w:rsidRPr="004A766F" w:rsidP="004A766F">
            <w:pPr>
              <w:pStyle w:val="ListBullet"/>
            </w:pPr>
            <w:r w:rsidRPr="004A766F">
              <w:t>signage</w:t>
            </w:r>
          </w:p>
          <w:p w:rsidR="00000000" w:rsidRPr="004A766F" w:rsidP="004A766F">
            <w:pPr>
              <w:pStyle w:val="ListBullet"/>
            </w:pPr>
            <w:r w:rsidRPr="004A766F">
              <w:t>communication signals</w:t>
            </w:r>
          </w:p>
          <w:p w:rsidR="00000000" w:rsidRPr="004A766F" w:rsidP="004A766F">
            <w:pPr>
              <w:pStyle w:val="ListBullet"/>
            </w:pPr>
            <w:r w:rsidRPr="004A766F">
              <w:t>listening</w:t>
            </w:r>
          </w:p>
          <w:p w:rsidR="00000000" w:rsidP="004A766F">
            <w:pPr>
              <w:pStyle w:val="ListBullet"/>
              <w:rPr>
                <w:lang w:val="en-NZ"/>
              </w:rPr>
            </w:pPr>
            <w:r w:rsidRPr="004A766F">
              <w:t>questioning to confirm understanding, and appropriate worksite protocol.</w:t>
            </w:r>
          </w:p>
        </w:tc>
      </w:tr>
      <w:tr w:rsidTr="00DC3495">
        <w:tblPrEx>
          <w:tblW w:w="0" w:type="auto"/>
          <w:tblLayout w:type="fixed"/>
          <w:tblCellMar>
            <w:left w:w="62" w:type="dxa"/>
            <w:right w:w="62" w:type="dxa"/>
          </w:tblCellMar>
          <w:tblLook w:val="0000"/>
        </w:tblPrEx>
        <w:tc>
          <w:tcPr>
            <w:tcW w:w="3538" w:type="dxa"/>
            <w:tcBorders>
              <w:top w:val="nil"/>
              <w:left w:val="nil"/>
              <w:bottom w:val="nil"/>
              <w:right w:val="nil"/>
            </w:tcBorders>
            <w:tcMar>
              <w:top w:w="0" w:type="dxa"/>
              <w:left w:w="62" w:type="dxa"/>
              <w:bottom w:w="0" w:type="dxa"/>
              <w:right w:w="62" w:type="dxa"/>
            </w:tcMar>
          </w:tcPr>
          <w:p w:rsidR="00000000" w:rsidP="004A766F">
            <w:pPr>
              <w:pStyle w:val="BodyText"/>
              <w:rPr>
                <w:lang w:val="en-NZ"/>
              </w:rPr>
            </w:pPr>
            <w:r w:rsidRPr="004A766F">
              <w:rPr>
                <w:rStyle w:val="BoldandItalics"/>
              </w:rPr>
              <w:t>Procedures</w:t>
            </w:r>
            <w:r w:rsidRPr="004A766F">
              <w:t xml:space="preserve"> may include but not limited to: </w:t>
            </w:r>
          </w:p>
        </w:tc>
        <w:tc>
          <w:tcPr>
            <w:tcW w:w="4984" w:type="dxa"/>
            <w:tcBorders>
              <w:top w:val="nil"/>
              <w:left w:val="nil"/>
              <w:bottom w:val="nil"/>
              <w:right w:val="nil"/>
            </w:tcBorders>
            <w:tcMar>
              <w:top w:w="0" w:type="dxa"/>
              <w:left w:w="62" w:type="dxa"/>
              <w:bottom w:w="0" w:type="dxa"/>
              <w:right w:w="62" w:type="dxa"/>
            </w:tcMar>
          </w:tcPr>
          <w:p w:rsidR="00000000" w:rsidRPr="004A766F" w:rsidP="004A766F">
            <w:pPr>
              <w:pStyle w:val="ListBullet"/>
            </w:pPr>
            <w:r w:rsidRPr="004A766F">
              <w:t>manufacturer</w:t>
            </w:r>
            <w:r w:rsidRPr="004A766F">
              <w:t>'s guidelines (instructions, specifications or checklists)</w:t>
            </w:r>
          </w:p>
          <w:p w:rsidR="00000000" w:rsidRPr="004A766F" w:rsidP="004A766F">
            <w:pPr>
              <w:pStyle w:val="ListBullet"/>
            </w:pPr>
            <w:r w:rsidRPr="004A766F">
              <w:t>industry operating procedures, relevant codes of practice</w:t>
            </w:r>
          </w:p>
          <w:p w:rsidR="00000000" w:rsidRPr="004A766F" w:rsidP="004A766F">
            <w:pPr>
              <w:pStyle w:val="ListBullet"/>
            </w:pPr>
            <w:r w:rsidRPr="004A766F">
              <w:t>workplace procedures (work instructions, operating procedures, checklists)</w:t>
            </w:r>
          </w:p>
          <w:p w:rsidR="00000000" w:rsidP="004A766F">
            <w:pPr>
              <w:pStyle w:val="ListBullet"/>
              <w:rPr>
                <w:lang w:val="en-NZ"/>
              </w:rPr>
            </w:pPr>
            <w:r w:rsidRPr="004A766F">
              <w:t>reporting and recording procedures such as e.g. equipment defect</w:t>
            </w:r>
            <w:r w:rsidRPr="004A766F">
              <w:t>/s.</w:t>
            </w:r>
          </w:p>
        </w:tc>
      </w:tr>
      <w:tr w:rsidTr="00DC3495">
        <w:tblPrEx>
          <w:tblW w:w="0" w:type="auto"/>
          <w:tblLayout w:type="fixed"/>
          <w:tblCellMar>
            <w:left w:w="62" w:type="dxa"/>
            <w:right w:w="62" w:type="dxa"/>
          </w:tblCellMar>
          <w:tblLook w:val="0000"/>
        </w:tblPrEx>
        <w:tc>
          <w:tcPr>
            <w:tcW w:w="3538" w:type="dxa"/>
            <w:tcBorders>
              <w:top w:val="nil"/>
              <w:left w:val="nil"/>
              <w:bottom w:val="nil"/>
              <w:right w:val="nil"/>
            </w:tcBorders>
            <w:tcMar>
              <w:top w:w="0" w:type="dxa"/>
              <w:left w:w="62" w:type="dxa"/>
              <w:bottom w:w="0" w:type="dxa"/>
              <w:right w:w="62" w:type="dxa"/>
            </w:tcMar>
          </w:tcPr>
          <w:p w:rsidR="00000000" w:rsidP="004A766F">
            <w:pPr>
              <w:pStyle w:val="BodyText"/>
              <w:rPr>
                <w:lang w:val="en-NZ"/>
              </w:rPr>
            </w:pPr>
            <w:r w:rsidRPr="004A766F">
              <w:rPr>
                <w:rStyle w:val="BoldandItalics"/>
              </w:rPr>
              <w:t>Communication equipment</w:t>
            </w:r>
            <w:r w:rsidRPr="004A766F">
              <w:t xml:space="preserve"> may include but is not limited to: </w:t>
            </w:r>
          </w:p>
        </w:tc>
        <w:tc>
          <w:tcPr>
            <w:tcW w:w="4984" w:type="dxa"/>
            <w:tcBorders>
              <w:top w:val="nil"/>
              <w:left w:val="nil"/>
              <w:bottom w:val="nil"/>
              <w:right w:val="nil"/>
            </w:tcBorders>
            <w:tcMar>
              <w:top w:w="0" w:type="dxa"/>
              <w:left w:w="62" w:type="dxa"/>
              <w:bottom w:w="0" w:type="dxa"/>
              <w:right w:w="62" w:type="dxa"/>
            </w:tcMar>
          </w:tcPr>
          <w:p w:rsidR="00000000" w:rsidRPr="004A766F" w:rsidP="004A766F">
            <w:pPr>
              <w:pStyle w:val="ListBullet"/>
            </w:pPr>
            <w:r w:rsidRPr="004A766F">
              <w:t>fixed frequency two way radios</w:t>
            </w:r>
          </w:p>
          <w:p w:rsidR="00000000" w:rsidP="004A766F">
            <w:pPr>
              <w:pStyle w:val="ListBullet"/>
              <w:rPr>
                <w:lang w:val="en-NZ"/>
              </w:rPr>
            </w:pPr>
            <w:r w:rsidRPr="004A766F">
              <w:t>mobile phones.</w:t>
            </w:r>
          </w:p>
        </w:tc>
      </w:tr>
      <w:tr w:rsidTr="00DC3495">
        <w:tblPrEx>
          <w:tblW w:w="0" w:type="auto"/>
          <w:tblLayout w:type="fixed"/>
          <w:tblCellMar>
            <w:left w:w="62" w:type="dxa"/>
            <w:right w:w="62" w:type="dxa"/>
          </w:tblCellMar>
          <w:tblLook w:val="0000"/>
        </w:tblPrEx>
        <w:tc>
          <w:tcPr>
            <w:tcW w:w="3538" w:type="dxa"/>
            <w:tcBorders>
              <w:top w:val="nil"/>
              <w:left w:val="nil"/>
              <w:bottom w:val="nil"/>
              <w:right w:val="nil"/>
            </w:tcBorders>
            <w:tcMar>
              <w:top w:w="0" w:type="dxa"/>
              <w:left w:w="62" w:type="dxa"/>
              <w:bottom w:w="0" w:type="dxa"/>
              <w:right w:w="62" w:type="dxa"/>
            </w:tcMar>
          </w:tcPr>
          <w:p w:rsidR="00000000" w:rsidP="004A766F">
            <w:pPr>
              <w:pStyle w:val="BodyText"/>
              <w:rPr>
                <w:lang w:val="en-NZ"/>
              </w:rPr>
            </w:pPr>
            <w:r w:rsidRPr="004A766F">
              <w:rPr>
                <w:rStyle w:val="BoldandItalics"/>
              </w:rPr>
              <w:t>Hazard prevention</w:t>
            </w:r>
            <w:r w:rsidRPr="004A766F">
              <w:t>/</w:t>
            </w:r>
            <w:r w:rsidRPr="004A766F">
              <w:rPr>
                <w:rStyle w:val="BoldandItalics"/>
              </w:rPr>
              <w:t>control measures</w:t>
            </w:r>
            <w:r w:rsidRPr="004A766F">
              <w:t xml:space="preserve"> may include but not limited to: </w:t>
            </w:r>
          </w:p>
        </w:tc>
        <w:tc>
          <w:tcPr>
            <w:tcW w:w="4984" w:type="dxa"/>
            <w:tcBorders>
              <w:top w:val="nil"/>
              <w:left w:val="nil"/>
              <w:bottom w:val="nil"/>
              <w:right w:val="nil"/>
            </w:tcBorders>
            <w:tcMar>
              <w:top w:w="0" w:type="dxa"/>
              <w:left w:w="62" w:type="dxa"/>
              <w:bottom w:w="0" w:type="dxa"/>
              <w:right w:w="62" w:type="dxa"/>
            </w:tcMar>
          </w:tcPr>
          <w:p w:rsidR="00000000" w:rsidRPr="004A766F" w:rsidP="004A766F">
            <w:pPr>
              <w:pStyle w:val="ListBullet"/>
            </w:pPr>
            <w:r w:rsidRPr="004A766F">
              <w:t>safety tags on electrical switches/isolators</w:t>
            </w:r>
          </w:p>
          <w:p w:rsidR="00000000" w:rsidRPr="004A766F" w:rsidP="004A766F">
            <w:pPr>
              <w:pStyle w:val="ListBullet"/>
            </w:pPr>
            <w:r w:rsidRPr="004A766F">
              <w:t>safety observer used inside exclusion zone (e.g. Spotter), to include the use of power line warning systems (e.g. Tiger tails)</w:t>
            </w:r>
          </w:p>
          <w:p w:rsidR="00000000" w:rsidRPr="004A766F" w:rsidP="004A766F">
            <w:pPr>
              <w:pStyle w:val="ListBullet"/>
            </w:pPr>
            <w:r w:rsidRPr="004A766F">
              <w:t>power disconnected by competent authority where applicable</w:t>
            </w:r>
          </w:p>
          <w:p w:rsidR="00000000" w:rsidRPr="004A766F" w:rsidP="004A766F">
            <w:pPr>
              <w:pStyle w:val="ListBullet"/>
            </w:pPr>
            <w:r w:rsidRPr="004A766F">
              <w:t>traffic and pedestrian barricades and controls</w:t>
            </w:r>
          </w:p>
          <w:p w:rsidR="00000000" w:rsidRPr="004A766F" w:rsidP="004A766F">
            <w:pPr>
              <w:pStyle w:val="ListBullet"/>
            </w:pPr>
            <w:r w:rsidRPr="004A766F">
              <w:t>safe and adequate acces</w:t>
            </w:r>
            <w:r w:rsidRPr="004A766F">
              <w:t>s / egress is established</w:t>
            </w:r>
          </w:p>
          <w:p w:rsidR="00000000" w:rsidRPr="004A766F" w:rsidP="004A766F">
            <w:pPr>
              <w:pStyle w:val="ListBullet"/>
            </w:pPr>
            <w:r w:rsidRPr="004A766F">
              <w:t>personal protective equipment</w:t>
            </w:r>
          </w:p>
          <w:p w:rsidR="00000000" w:rsidP="004A766F">
            <w:pPr>
              <w:pStyle w:val="ListBullet"/>
              <w:rPr>
                <w:lang w:val="en-NZ"/>
              </w:rPr>
            </w:pPr>
            <w:r w:rsidRPr="004A766F">
              <w:t>adequate illumination.</w:t>
            </w:r>
          </w:p>
        </w:tc>
      </w:tr>
      <w:tr w:rsidTr="00DC3495">
        <w:tblPrEx>
          <w:tblW w:w="0" w:type="auto"/>
          <w:tblLayout w:type="fixed"/>
          <w:tblCellMar>
            <w:left w:w="62" w:type="dxa"/>
            <w:right w:w="62" w:type="dxa"/>
          </w:tblCellMar>
          <w:tblLook w:val="0000"/>
        </w:tblPrEx>
        <w:tc>
          <w:tcPr>
            <w:tcW w:w="3538" w:type="dxa"/>
            <w:tcBorders>
              <w:top w:val="nil"/>
              <w:left w:val="nil"/>
              <w:bottom w:val="nil"/>
              <w:right w:val="nil"/>
            </w:tcBorders>
            <w:tcMar>
              <w:top w:w="0" w:type="dxa"/>
              <w:left w:w="62" w:type="dxa"/>
              <w:bottom w:w="0" w:type="dxa"/>
              <w:right w:w="62" w:type="dxa"/>
            </w:tcMar>
          </w:tcPr>
          <w:p w:rsidR="00000000" w:rsidP="004A766F">
            <w:pPr>
              <w:pStyle w:val="BodyText"/>
              <w:rPr>
                <w:lang w:val="en-NZ"/>
              </w:rPr>
            </w:pPr>
            <w:r w:rsidRPr="004A766F">
              <w:rPr>
                <w:rStyle w:val="BoldandItalics"/>
              </w:rPr>
              <w:t>Ground suitability</w:t>
            </w:r>
            <w:r w:rsidRPr="004A766F">
              <w:t xml:space="preserve"> may include but not limited to: </w:t>
            </w:r>
          </w:p>
        </w:tc>
        <w:tc>
          <w:tcPr>
            <w:tcW w:w="4984" w:type="dxa"/>
            <w:tcBorders>
              <w:top w:val="nil"/>
              <w:left w:val="nil"/>
              <w:bottom w:val="nil"/>
              <w:right w:val="nil"/>
            </w:tcBorders>
            <w:tcMar>
              <w:top w:w="0" w:type="dxa"/>
              <w:left w:w="62" w:type="dxa"/>
              <w:bottom w:w="0" w:type="dxa"/>
              <w:right w:w="62" w:type="dxa"/>
            </w:tcMar>
          </w:tcPr>
          <w:p w:rsidR="00000000" w:rsidRPr="004A766F" w:rsidP="004A766F">
            <w:pPr>
              <w:pStyle w:val="ListBullet"/>
            </w:pPr>
            <w:r w:rsidRPr="004A766F">
              <w:t>rough uneven ground</w:t>
            </w:r>
          </w:p>
          <w:p w:rsidR="00000000" w:rsidRPr="004A766F" w:rsidP="004A766F">
            <w:pPr>
              <w:pStyle w:val="ListBullet"/>
            </w:pPr>
            <w:r w:rsidRPr="004A766F">
              <w:t>backfilled ground</w:t>
            </w:r>
          </w:p>
          <w:p w:rsidR="00000000" w:rsidRPr="004A766F" w:rsidP="004A766F">
            <w:pPr>
              <w:pStyle w:val="ListBullet"/>
            </w:pPr>
            <w:r w:rsidRPr="004A766F">
              <w:t>soft soils</w:t>
            </w:r>
          </w:p>
          <w:p w:rsidR="00000000" w:rsidRPr="004A766F" w:rsidP="004A766F">
            <w:pPr>
              <w:pStyle w:val="ListBullet"/>
            </w:pPr>
            <w:r w:rsidRPr="004A766F">
              <w:t>hard compacted soil</w:t>
            </w:r>
          </w:p>
          <w:p w:rsidR="00000000" w:rsidRPr="004A766F" w:rsidP="004A766F">
            <w:pPr>
              <w:pStyle w:val="ListBullet"/>
            </w:pPr>
            <w:r w:rsidRPr="004A766F">
              <w:t>rock</w:t>
            </w:r>
          </w:p>
          <w:p w:rsidR="00000000" w:rsidRPr="004A766F" w:rsidP="004A766F">
            <w:pPr>
              <w:pStyle w:val="ListBullet"/>
            </w:pPr>
            <w:r w:rsidRPr="004A766F">
              <w:t>bitumen</w:t>
            </w:r>
          </w:p>
          <w:p w:rsidR="00000000" w:rsidP="004A766F">
            <w:pPr>
              <w:pStyle w:val="ListBullet"/>
              <w:rPr>
                <w:lang w:val="en-NZ"/>
              </w:rPr>
            </w:pPr>
            <w:r w:rsidRPr="004A766F">
              <w:t>concrete.</w:t>
            </w:r>
          </w:p>
        </w:tc>
      </w:tr>
      <w:tr w:rsidTr="00DC3495">
        <w:tblPrEx>
          <w:tblW w:w="0" w:type="auto"/>
          <w:tblLayout w:type="fixed"/>
          <w:tblCellMar>
            <w:left w:w="62" w:type="dxa"/>
            <w:right w:w="62" w:type="dxa"/>
          </w:tblCellMar>
          <w:tblLook w:val="0000"/>
        </w:tblPrEx>
        <w:tc>
          <w:tcPr>
            <w:tcW w:w="3538" w:type="dxa"/>
            <w:tcBorders>
              <w:top w:val="nil"/>
              <w:left w:val="nil"/>
              <w:bottom w:val="nil"/>
              <w:right w:val="nil"/>
            </w:tcBorders>
            <w:tcMar>
              <w:top w:w="0" w:type="dxa"/>
              <w:left w:w="62" w:type="dxa"/>
              <w:bottom w:w="0" w:type="dxa"/>
              <w:right w:w="62" w:type="dxa"/>
            </w:tcMar>
          </w:tcPr>
          <w:p w:rsidR="00000000" w:rsidP="004A766F">
            <w:pPr>
              <w:pStyle w:val="BodyText"/>
              <w:rPr>
                <w:lang w:val="en-NZ"/>
              </w:rPr>
            </w:pPr>
            <w:r w:rsidRPr="004A766F">
              <w:rPr>
                <w:rStyle w:val="BoldandItalics"/>
              </w:rPr>
              <w:t>Stability</w:t>
            </w:r>
            <w:r w:rsidRPr="004A766F">
              <w:t xml:space="preserve"> may include but is no</w:t>
            </w:r>
            <w:r w:rsidRPr="004A766F">
              <w:t xml:space="preserve">t limited to: </w:t>
            </w:r>
          </w:p>
        </w:tc>
        <w:tc>
          <w:tcPr>
            <w:tcW w:w="4984" w:type="dxa"/>
            <w:tcBorders>
              <w:top w:val="nil"/>
              <w:left w:val="nil"/>
              <w:bottom w:val="nil"/>
              <w:right w:val="nil"/>
            </w:tcBorders>
            <w:tcMar>
              <w:top w:w="0" w:type="dxa"/>
              <w:left w:w="62" w:type="dxa"/>
              <w:bottom w:w="0" w:type="dxa"/>
              <w:right w:w="62" w:type="dxa"/>
            </w:tcMar>
          </w:tcPr>
          <w:p w:rsidR="00000000" w:rsidRPr="004A766F" w:rsidP="004A766F">
            <w:pPr>
              <w:pStyle w:val="ListBullet"/>
            </w:pPr>
            <w:r w:rsidRPr="004A766F">
              <w:t>ground bearing pressure</w:t>
            </w:r>
          </w:p>
          <w:p w:rsidR="00000000" w:rsidRPr="004A766F" w:rsidP="004A766F">
            <w:pPr>
              <w:pStyle w:val="ListBullet"/>
            </w:pPr>
            <w:r w:rsidRPr="004A766F">
              <w:t>sole plates/boards</w:t>
            </w:r>
          </w:p>
          <w:p w:rsidR="00000000" w:rsidRPr="004A766F" w:rsidP="004A766F">
            <w:pPr>
              <w:pStyle w:val="ListBullet"/>
            </w:pPr>
            <w:r w:rsidRPr="004A766F">
              <w:t>screw jacks</w:t>
            </w:r>
          </w:p>
          <w:p w:rsidR="00000000" w:rsidRPr="004A766F" w:rsidP="004A766F">
            <w:pPr>
              <w:pStyle w:val="ListBullet"/>
            </w:pPr>
            <w:r w:rsidRPr="004A766F">
              <w:t>levelling</w:t>
            </w:r>
          </w:p>
          <w:p w:rsidR="00000000" w:rsidRPr="004A766F" w:rsidP="004A766F">
            <w:pPr>
              <w:pStyle w:val="ListBullet"/>
            </w:pPr>
            <w:r w:rsidRPr="004A766F">
              <w:t>ties/guys.</w:t>
            </w:r>
          </w:p>
        </w:tc>
      </w:tr>
    </w:tbl>
    <w:p w:rsidR="00DC3495" w:rsidP="004A766F">
      <w:pPr>
        <w:pStyle w:val="BodyText"/>
      </w:pPr>
    </w:p>
    <w:p w:rsidR="00DC3495" w:rsidP="004A766F">
      <w:pPr>
        <w:pStyle w:val="BodyText"/>
      </w:pPr>
    </w:p>
    <w:p w:rsidR="00000000" w:rsidRPr="004A766F" w:rsidP="004A766F">
      <w:pPr>
        <w:pStyle w:val="Heading1"/>
      </w:pPr>
      <w:bookmarkStart w:id="12" w:name="O_197989"/>
      <w:bookmarkEnd w:id="12"/>
      <w:r w:rsidRPr="004A766F">
        <w:t>Unit Sector(s)</w:t>
      </w:r>
    </w:p>
    <w:tbl>
      <w:tblPr>
        <w:tblW w:w="0" w:type="auto"/>
        <w:tblLayout w:type="fixed"/>
        <w:tblCellMar>
          <w:left w:w="62" w:type="dxa"/>
          <w:right w:w="62" w:type="dxa"/>
        </w:tblCellMar>
        <w:tblLook w:val="0000"/>
      </w:tblPr>
      <w:tblGrid>
        <w:gridCol w:w="2629"/>
        <w:gridCol w:w="5893"/>
      </w:tblGrid>
      <w:tr w:rsidTr="00DC3495">
        <w:tblPrEx>
          <w:tblW w:w="0" w:type="auto"/>
          <w:tblLayout w:type="fixed"/>
          <w:tblCellMar>
            <w:left w:w="62" w:type="dxa"/>
            <w:right w:w="62" w:type="dxa"/>
          </w:tblCellMar>
          <w:tblLook w:val="0000"/>
        </w:tblPrEx>
        <w:trPr>
          <w:tblHeader/>
        </w:trPr>
        <w:tc>
          <w:tcPr>
            <w:tcW w:w="2629" w:type="dxa"/>
            <w:tcBorders>
              <w:top w:val="nil"/>
              <w:left w:val="nil"/>
              <w:bottom w:val="nil"/>
              <w:right w:val="nil"/>
            </w:tcBorders>
            <w:tcMar>
              <w:top w:w="0" w:type="dxa"/>
              <w:left w:w="62" w:type="dxa"/>
              <w:bottom w:w="0" w:type="dxa"/>
              <w:right w:w="62" w:type="dxa"/>
            </w:tcMar>
          </w:tcPr>
          <w:p w:rsidR="00000000" w:rsidP="004A766F">
            <w:pPr>
              <w:pStyle w:val="BodyText"/>
              <w:rPr>
                <w:lang w:val="en-NZ"/>
              </w:rPr>
            </w:pPr>
            <w:r w:rsidRPr="004A766F">
              <w:rPr>
                <w:rStyle w:val="SpecialBold"/>
              </w:rPr>
              <w:t>Unit sector</w:t>
            </w:r>
          </w:p>
        </w:tc>
        <w:tc>
          <w:tcPr>
            <w:tcW w:w="5893" w:type="dxa"/>
            <w:tcBorders>
              <w:top w:val="nil"/>
              <w:left w:val="nil"/>
              <w:bottom w:val="nil"/>
              <w:right w:val="nil"/>
            </w:tcBorders>
            <w:tcMar>
              <w:top w:w="0" w:type="dxa"/>
              <w:left w:w="62" w:type="dxa"/>
              <w:bottom w:w="0" w:type="dxa"/>
              <w:right w:w="62" w:type="dxa"/>
            </w:tcMar>
          </w:tcPr>
          <w:p w:rsidR="00000000" w:rsidRPr="004A766F" w:rsidP="004A766F">
            <w:pPr>
              <w:pStyle w:val="BodyText"/>
            </w:pPr>
            <w:r w:rsidRPr="004A766F">
              <w:t>Construction</w:t>
            </w:r>
          </w:p>
        </w:tc>
      </w:tr>
    </w:tbl>
    <w:p w:rsidR="00DC3495" w:rsidP="004A766F">
      <w:pPr>
        <w:pStyle w:val="BodyText"/>
      </w:pPr>
    </w:p>
    <w:p w:rsidR="00DC3495" w:rsidP="004A766F">
      <w:pPr>
        <w:pStyle w:val="BodyText"/>
      </w:pPr>
    </w:p>
    <w:p w:rsidR="00000000" w:rsidRPr="004A766F" w:rsidP="004A766F">
      <w:pPr>
        <w:pStyle w:val="Heading1"/>
      </w:pPr>
      <w:bookmarkStart w:id="13" w:name="O_197986"/>
      <w:bookmarkEnd w:id="13"/>
      <w:r w:rsidRPr="004A766F">
        <w:t>Co-requisite units</w:t>
      </w:r>
    </w:p>
    <w:tbl>
      <w:tblPr>
        <w:tblW w:w="0" w:type="auto"/>
        <w:tblLayout w:type="fixed"/>
        <w:tblCellMar>
          <w:left w:w="62" w:type="dxa"/>
          <w:right w:w="62" w:type="dxa"/>
        </w:tblCellMar>
        <w:tblLook w:val="0000"/>
      </w:tblPr>
      <w:tblGrid>
        <w:gridCol w:w="2646"/>
        <w:gridCol w:w="1334"/>
        <w:gridCol w:w="4542"/>
      </w:tblGrid>
      <w:tr w:rsidTr="00DC3495">
        <w:tblPrEx>
          <w:tblW w:w="0" w:type="auto"/>
          <w:tblLayout w:type="fixed"/>
          <w:tblCellMar>
            <w:left w:w="62" w:type="dxa"/>
            <w:right w:w="62" w:type="dxa"/>
          </w:tblCellMar>
          <w:tblLook w:val="0000"/>
        </w:tblPrEx>
        <w:trPr>
          <w:tblHeader/>
        </w:trPr>
        <w:tc>
          <w:tcPr>
            <w:tcW w:w="2646" w:type="dxa"/>
            <w:tcBorders>
              <w:top w:val="nil"/>
              <w:left w:val="nil"/>
              <w:bottom w:val="nil"/>
              <w:right w:val="nil"/>
            </w:tcBorders>
            <w:tcMar>
              <w:top w:w="0" w:type="dxa"/>
              <w:left w:w="62" w:type="dxa"/>
              <w:bottom w:w="0" w:type="dxa"/>
              <w:right w:w="62" w:type="dxa"/>
            </w:tcMar>
          </w:tcPr>
          <w:p w:rsidR="00000000" w:rsidP="004A766F">
            <w:pPr>
              <w:pStyle w:val="BodyText"/>
              <w:rPr>
                <w:lang w:val="en-NZ"/>
              </w:rPr>
            </w:pPr>
            <w:r w:rsidRPr="004A766F">
              <w:rPr>
                <w:rStyle w:val="SpecialBold"/>
              </w:rPr>
              <w:t>Co-requisite units</w:t>
            </w:r>
          </w:p>
        </w:tc>
        <w:tc>
          <w:tcPr>
            <w:tcW w:w="5876" w:type="dxa"/>
            <w:gridSpan w:val="2"/>
            <w:tcBorders>
              <w:top w:val="nil"/>
              <w:left w:val="nil"/>
              <w:bottom w:val="nil"/>
              <w:right w:val="nil"/>
            </w:tcBorders>
            <w:tcMar>
              <w:top w:w="0" w:type="dxa"/>
              <w:left w:w="62" w:type="dxa"/>
              <w:bottom w:w="0" w:type="dxa"/>
              <w:right w:w="62" w:type="dxa"/>
            </w:tcMar>
          </w:tcPr>
          <w:p w:rsidR="00000000" w:rsidP="004A766F">
            <w:pPr>
              <w:pStyle w:val="BodyText"/>
              <w:rPr>
                <w:lang w:val="en-NZ"/>
              </w:rPr>
            </w:pPr>
            <w:r w:rsidRPr="004A766F">
              <w:t>Nil</w:t>
            </w:r>
          </w:p>
        </w:tc>
      </w:tr>
      <w:tr w:rsidTr="00DC3495">
        <w:tblPrEx>
          <w:tblW w:w="0" w:type="auto"/>
          <w:tblLayout w:type="fixed"/>
          <w:tblCellMar>
            <w:left w:w="62" w:type="dxa"/>
            <w:right w:w="62" w:type="dxa"/>
          </w:tblCellMar>
          <w:tblLook w:val="0000"/>
        </w:tblPrEx>
        <w:tc>
          <w:tcPr>
            <w:tcW w:w="26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42" w:type="dxa"/>
            <w:tcBorders>
              <w:top w:val="nil"/>
              <w:left w:val="nil"/>
              <w:bottom w:val="nil"/>
              <w:right w:val="nil"/>
            </w:tcBorders>
            <w:tcMar>
              <w:top w:w="0" w:type="dxa"/>
              <w:left w:w="62" w:type="dxa"/>
              <w:bottom w:w="0" w:type="dxa"/>
              <w:right w:w="62" w:type="dxa"/>
            </w:tcMar>
          </w:tcPr>
          <w:p w:rsidR="00000000" w:rsidRPr="004A766F" w:rsidP="004A766F">
            <w:pPr>
              <w:pStyle w:val="BodyText"/>
            </w:pPr>
          </w:p>
        </w:tc>
      </w:tr>
    </w:tbl>
    <w:p w:rsidR="00DC3495" w:rsidP="004A766F">
      <w:pPr>
        <w:pStyle w:val="BodyText"/>
      </w:pPr>
    </w:p>
    <w:p w:rsidR="00DC3495" w:rsidP="004A766F">
      <w:pPr>
        <w:pStyle w:val="BodyText"/>
      </w:pPr>
    </w:p>
    <w:p w:rsidR="00000000" w:rsidRPr="004A766F" w:rsidP="004A766F">
      <w:pPr>
        <w:pStyle w:val="Heading1"/>
      </w:pPr>
      <w:bookmarkStart w:id="14" w:name="O_197988"/>
      <w:bookmarkEnd w:id="14"/>
      <w:r w:rsidRPr="004A766F">
        <w:t>Functional area</w:t>
      </w:r>
    </w:p>
    <w:tbl>
      <w:tblPr>
        <w:tblW w:w="0" w:type="auto"/>
        <w:tblLayout w:type="fixed"/>
        <w:tblCellMar>
          <w:left w:w="62" w:type="dxa"/>
          <w:right w:w="62" w:type="dxa"/>
        </w:tblCellMar>
        <w:tblLook w:val="0000"/>
      </w:tblPr>
      <w:tblGrid>
        <w:gridCol w:w="2736"/>
        <w:gridCol w:w="5786"/>
      </w:tblGrid>
      <w:tr w:rsidTr="00DC3495">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4A766F">
            <w:pPr>
              <w:pStyle w:val="BodyText"/>
              <w:rPr>
                <w:lang w:val="en-NZ"/>
              </w:rPr>
            </w:pPr>
            <w:r w:rsidRPr="004A766F">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4A766F" w:rsidP="004A766F">
            <w:pPr>
              <w:pStyle w:val="BodyText"/>
            </w:pPr>
          </w:p>
        </w:tc>
      </w:tr>
    </w:tbl>
    <w:p w:rsidR="00DC3495" w:rsidP="004A766F">
      <w:pPr>
        <w:pStyle w:val="BodyText"/>
      </w:pPr>
    </w:p>
    <w:p w:rsidR="00DC3495" w:rsidP="004A766F">
      <w:pPr>
        <w:pStyle w:val="BodyText"/>
      </w:pPr>
    </w:p>
    <w:p w:rsidR="00000000" w:rsidRPr="004A766F" w:rsidP="004A766F"/>
    <w:sectPr w:rsidSect="004A76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6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3495" w:rsidP="00DC349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6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495" w:rsidP="004A766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DC3495" w:rsidP="004A76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C3495" w:rsidP="004A76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6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66F" w:rsidRPr="00DC3495" w:rsidP="00DC34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6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495" w:rsidRPr="002D2AF8" w:rsidP="004A766F">
    <w:pPr>
      <w:pStyle w:val="Header"/>
      <w:framePr w:wrap="around"/>
    </w:pPr>
    <w:r>
      <w:fldChar w:fldCharType="begin"/>
    </w:r>
    <w:r>
      <w:instrText xml:space="preserve"> TITLE   \* MERGEFORMAT </w:instrText>
    </w:r>
    <w:r>
      <w:fldChar w:fldCharType="separate"/>
    </w:r>
    <w:r>
      <w:t>CPCCLSF2001A Licence to erect, alter and dismantle scaffolding basic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C3495" w:rsidP="004A76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70DC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4C2A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28DE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6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766F"/>
    <w:pPr>
      <w:spacing w:before="360" w:after="60"/>
      <w:outlineLvl w:val="0"/>
    </w:pPr>
    <w:rPr>
      <w:sz w:val="32"/>
    </w:rPr>
  </w:style>
  <w:style w:type="paragraph" w:styleId="Heading2">
    <w:name w:val="heading 2"/>
    <w:basedOn w:val="HeadingBase"/>
    <w:next w:val="BodyText"/>
    <w:link w:val="Heading2Char"/>
    <w:qFormat/>
    <w:rsid w:val="004A766F"/>
    <w:pPr>
      <w:keepLines/>
      <w:spacing w:before="240" w:after="120"/>
      <w:outlineLvl w:val="1"/>
    </w:pPr>
    <w:rPr>
      <w:sz w:val="28"/>
      <w:szCs w:val="40"/>
    </w:rPr>
  </w:style>
  <w:style w:type="paragraph" w:styleId="Heading3">
    <w:name w:val="heading 3"/>
    <w:basedOn w:val="HeadingBase"/>
    <w:next w:val="BodyText"/>
    <w:link w:val="Heading3Char"/>
    <w:qFormat/>
    <w:rsid w:val="004A766F"/>
    <w:pPr>
      <w:spacing w:before="180" w:after="120"/>
      <w:outlineLvl w:val="2"/>
    </w:pPr>
    <w:rPr>
      <w:spacing w:val="-10"/>
      <w:kern w:val="32"/>
    </w:rPr>
  </w:style>
  <w:style w:type="paragraph" w:styleId="Heading4">
    <w:name w:val="heading 4"/>
    <w:basedOn w:val="HeadingBase"/>
    <w:next w:val="BodyText"/>
    <w:link w:val="Heading4Char"/>
    <w:qFormat/>
    <w:rsid w:val="004A766F"/>
    <w:pPr>
      <w:spacing w:before="160" w:after="120"/>
      <w:outlineLvl w:val="3"/>
    </w:pPr>
    <w:rPr>
      <w:sz w:val="22"/>
    </w:rPr>
  </w:style>
  <w:style w:type="paragraph" w:styleId="Heading5">
    <w:name w:val="heading 5"/>
    <w:basedOn w:val="HeadingBase"/>
    <w:next w:val="Normal"/>
    <w:link w:val="Heading5Char"/>
    <w:qFormat/>
    <w:rsid w:val="004A766F"/>
    <w:pPr>
      <w:spacing w:before="80"/>
      <w:outlineLvl w:val="4"/>
    </w:pPr>
    <w:rPr>
      <w:color w:val="918585"/>
      <w:sz w:val="20"/>
    </w:rPr>
  </w:style>
  <w:style w:type="paragraph" w:styleId="Heading6">
    <w:name w:val="heading 6"/>
    <w:basedOn w:val="HeadingBase"/>
    <w:next w:val="Normal"/>
    <w:link w:val="Heading6Char"/>
    <w:qFormat/>
    <w:rsid w:val="004A766F"/>
    <w:pPr>
      <w:spacing w:before="60"/>
      <w:outlineLvl w:val="5"/>
    </w:pPr>
    <w:rPr>
      <w:color w:val="918585"/>
      <w:sz w:val="20"/>
    </w:rPr>
  </w:style>
  <w:style w:type="paragraph" w:styleId="Heading7">
    <w:name w:val="heading 7"/>
    <w:basedOn w:val="Normal"/>
    <w:next w:val="Normal"/>
    <w:link w:val="Heading7Char"/>
    <w:qFormat/>
    <w:rsid w:val="004A766F"/>
    <w:pPr>
      <w:ind w:left="720"/>
      <w:outlineLvl w:val="6"/>
    </w:pPr>
    <w:rPr>
      <w:i/>
    </w:rPr>
  </w:style>
  <w:style w:type="paragraph" w:styleId="Heading8">
    <w:name w:val="heading 8"/>
    <w:basedOn w:val="Normal"/>
    <w:next w:val="Normal"/>
    <w:link w:val="Heading8Char"/>
    <w:qFormat/>
    <w:rsid w:val="004A766F"/>
    <w:pPr>
      <w:ind w:left="720"/>
      <w:outlineLvl w:val="7"/>
    </w:pPr>
    <w:rPr>
      <w:i/>
    </w:rPr>
  </w:style>
  <w:style w:type="paragraph" w:styleId="Heading9">
    <w:name w:val="heading 9"/>
    <w:basedOn w:val="Normal"/>
    <w:next w:val="Normal"/>
    <w:link w:val="Heading9Char"/>
    <w:qFormat/>
    <w:rsid w:val="004A766F"/>
    <w:pPr>
      <w:ind w:left="720"/>
      <w:outlineLvl w:val="8"/>
    </w:pPr>
    <w:rPr>
      <w:i/>
    </w:rPr>
  </w:style>
  <w:style w:type="character" w:default="1" w:styleId="DefaultParagraphFont">
    <w:name w:val="Default Paragraph Font"/>
    <w:uiPriority w:val="1"/>
    <w:unhideWhenUsed/>
    <w:rsid w:val="004A76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766F"/>
  </w:style>
  <w:style w:type="character" w:customStyle="1" w:styleId="Heading1Char">
    <w:name w:val="Heading 1 Char"/>
    <w:basedOn w:val="DefaultParagraphFont"/>
    <w:link w:val="Heading1"/>
    <w:rsid w:val="004A766F"/>
    <w:rPr>
      <w:rFonts w:ascii="Times New Roman" w:eastAsia="Times New Roman" w:hAnsi="Times New Roman" w:cs="Times New Roman"/>
      <w:b/>
      <w:sz w:val="32"/>
      <w:szCs w:val="20"/>
      <w:lang w:eastAsia="en-US"/>
    </w:rPr>
  </w:style>
  <w:style w:type="paragraph" w:styleId="BodyText">
    <w:name w:val="Body Text"/>
    <w:basedOn w:val="Normal"/>
    <w:link w:val="BodyTextChar"/>
    <w:rsid w:val="004A76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766F"/>
    <w:rPr>
      <w:rFonts w:ascii="Times New Roman" w:eastAsia="Times New Roman" w:hAnsi="Times New Roman" w:cs="Times New Roman"/>
      <w:sz w:val="24"/>
      <w:lang w:eastAsia="en-US"/>
    </w:rPr>
  </w:style>
  <w:style w:type="paragraph" w:styleId="Footer">
    <w:name w:val="footer"/>
    <w:basedOn w:val="Normal"/>
    <w:link w:val="FooterChar"/>
    <w:rsid w:val="004A76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766F"/>
    <w:rPr>
      <w:rFonts w:ascii="Times New Roman" w:eastAsia="Times New Roman" w:hAnsi="Times New Roman" w:cs="Times New Roman"/>
      <w:sz w:val="16"/>
      <w:lang w:eastAsia="en-US"/>
    </w:rPr>
  </w:style>
  <w:style w:type="paragraph" w:styleId="List">
    <w:name w:val="List"/>
    <w:basedOn w:val="BodyText"/>
    <w:next w:val="BodyText"/>
    <w:rsid w:val="004A766F"/>
    <w:pPr>
      <w:tabs>
        <w:tab w:val="left" w:pos="340"/>
      </w:tabs>
      <w:spacing w:before="60" w:after="60"/>
      <w:ind w:left="340" w:hanging="340"/>
    </w:pPr>
  </w:style>
  <w:style w:type="paragraph" w:styleId="ListBullet">
    <w:name w:val="List Bullet"/>
    <w:basedOn w:val="List"/>
    <w:rsid w:val="004A766F"/>
    <w:pPr>
      <w:numPr>
        <w:numId w:val="13"/>
      </w:numPr>
      <w:tabs>
        <w:tab w:val="clear" w:pos="340"/>
      </w:tabs>
      <w:spacing w:before="40" w:after="40"/>
    </w:pPr>
  </w:style>
  <w:style w:type="character" w:customStyle="1" w:styleId="SpecialBold">
    <w:name w:val="Special Bold"/>
    <w:basedOn w:val="DefaultParagraphFont"/>
    <w:rsid w:val="004A766F"/>
    <w:rPr>
      <w:b/>
      <w:spacing w:val="0"/>
    </w:rPr>
  </w:style>
  <w:style w:type="paragraph" w:styleId="ListBullet2">
    <w:name w:val="List Bullet 2"/>
    <w:basedOn w:val="List2"/>
    <w:rsid w:val="004A766F"/>
    <w:pPr>
      <w:numPr>
        <w:numId w:val="14"/>
      </w:numPr>
      <w:tabs>
        <w:tab w:val="clear" w:pos="680"/>
      </w:tabs>
    </w:pPr>
  </w:style>
  <w:style w:type="paragraph" w:customStyle="1" w:styleId="SuperHeading">
    <w:name w:val="SuperHeading"/>
    <w:basedOn w:val="Normal"/>
    <w:rsid w:val="004A766F"/>
    <w:pPr>
      <w:spacing w:before="240" w:after="120"/>
      <w:outlineLvl w:val="0"/>
    </w:pPr>
    <w:rPr>
      <w:rFonts w:ascii="Times New Roman" w:hAnsi="Times New Roman"/>
      <w:b/>
      <w:sz w:val="28"/>
    </w:rPr>
  </w:style>
  <w:style w:type="paragraph" w:customStyle="1" w:styleId="AllowPageBreak">
    <w:name w:val="AllowPageBreak"/>
    <w:rsid w:val="004A76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766F"/>
    <w:pPr>
      <w:tabs>
        <w:tab w:val="left" w:pos="680"/>
      </w:tabs>
      <w:spacing w:before="60" w:after="60"/>
      <w:ind w:left="680" w:hanging="340"/>
    </w:pPr>
  </w:style>
  <w:style w:type="character" w:customStyle="1" w:styleId="BoldandItalics">
    <w:name w:val="Bold and Italics"/>
    <w:qFormat/>
    <w:rsid w:val="004A766F"/>
    <w:rPr>
      <w:b/>
      <w:i/>
      <w:u w:val="none"/>
    </w:rPr>
  </w:style>
  <w:style w:type="character" w:customStyle="1" w:styleId="Heading2Char">
    <w:name w:val="Heading 2 Char"/>
    <w:basedOn w:val="DefaultParagraphFont"/>
    <w:link w:val="Heading2"/>
    <w:rsid w:val="004A76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76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76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76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76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76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76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766F"/>
    <w:rPr>
      <w:rFonts w:ascii="Courier New" w:eastAsia="Times New Roman" w:hAnsi="Courier New" w:cs="Times New Roman"/>
      <w:i/>
      <w:szCs w:val="20"/>
      <w:lang w:eastAsia="en-US"/>
    </w:rPr>
  </w:style>
  <w:style w:type="paragraph" w:customStyle="1" w:styleId="HeadingBase">
    <w:name w:val="Heading Base"/>
    <w:rsid w:val="004A76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766F"/>
    <w:pPr>
      <w:tabs>
        <w:tab w:val="right" w:leader="dot" w:pos="9072"/>
      </w:tabs>
      <w:ind w:left="567"/>
    </w:pPr>
    <w:rPr>
      <w:szCs w:val="22"/>
    </w:rPr>
  </w:style>
  <w:style w:type="paragraph" w:customStyle="1" w:styleId="TOCBase">
    <w:name w:val="TOC Base"/>
    <w:rsid w:val="004A76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766F"/>
    <w:pPr>
      <w:tabs>
        <w:tab w:val="right" w:leader="dot" w:pos="9072"/>
      </w:tabs>
      <w:spacing w:before="40" w:after="40"/>
      <w:ind w:left="284"/>
    </w:pPr>
    <w:rPr>
      <w:rFonts w:ascii="Times New Roman" w:hAnsi="Times New Roman"/>
    </w:rPr>
  </w:style>
  <w:style w:type="paragraph" w:styleId="TOC1">
    <w:name w:val="toc 1"/>
    <w:basedOn w:val="TOCBase"/>
    <w:next w:val="Normal"/>
    <w:rsid w:val="004A76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766F"/>
    <w:pPr>
      <w:spacing w:before="5040"/>
      <w:jc w:val="center"/>
    </w:pPr>
    <w:rPr>
      <w:sz w:val="48"/>
      <w:szCs w:val="72"/>
      <w:lang w:val="en-US"/>
    </w:rPr>
  </w:style>
  <w:style w:type="character" w:customStyle="1" w:styleId="TitleChar">
    <w:name w:val="Title Char"/>
    <w:basedOn w:val="DefaultParagraphFont"/>
    <w:link w:val="Title"/>
    <w:rsid w:val="004A76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766F"/>
    <w:pPr>
      <w:tabs>
        <w:tab w:val="left" w:pos="3600"/>
        <w:tab w:val="left" w:pos="3958"/>
      </w:tabs>
    </w:pPr>
  </w:style>
  <w:style w:type="paragraph" w:customStyle="1" w:styleId="Note">
    <w:name w:val="Note"/>
    <w:basedOn w:val="BodyText"/>
    <w:rsid w:val="004A76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766F"/>
    <w:pPr>
      <w:framePr w:wrap="auto" w:hAnchor="text" w:y="6049"/>
    </w:pPr>
    <w:rPr>
      <w:color w:val="000000"/>
      <w:sz w:val="40"/>
    </w:rPr>
  </w:style>
  <w:style w:type="paragraph" w:customStyle="1" w:styleId="TOCTitle">
    <w:name w:val="TOCTitle"/>
    <w:basedOn w:val="Heading1"/>
    <w:rsid w:val="004A766F"/>
    <w:pPr>
      <w:spacing w:after="240"/>
      <w:jc w:val="center"/>
      <w:outlineLvl w:val="9"/>
    </w:pPr>
    <w:rPr>
      <w:caps/>
    </w:rPr>
  </w:style>
  <w:style w:type="paragraph" w:customStyle="1" w:styleId="Version">
    <w:name w:val="Version"/>
    <w:rsid w:val="004A76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766F"/>
    <w:pPr>
      <w:keepNext w:val="0"/>
      <w:tabs>
        <w:tab w:val="right" w:pos="4176"/>
      </w:tabs>
      <w:ind w:left="198" w:hanging="198"/>
    </w:pPr>
    <w:rPr>
      <w:rFonts w:ascii="Garamond" w:hAnsi="Garamond"/>
    </w:rPr>
  </w:style>
  <w:style w:type="paragraph" w:styleId="IndexHeading">
    <w:name w:val="index heading"/>
    <w:basedOn w:val="Normal"/>
    <w:next w:val="Index1"/>
    <w:semiHidden/>
    <w:rsid w:val="004A766F"/>
    <w:pPr>
      <w:spacing w:before="120" w:after="120"/>
    </w:pPr>
    <w:rPr>
      <w:rFonts w:ascii="Arial" w:hAnsi="Arial"/>
      <w:b/>
      <w:color w:val="918585"/>
      <w:sz w:val="24"/>
    </w:rPr>
  </w:style>
  <w:style w:type="paragraph" w:styleId="Header">
    <w:name w:val="header"/>
    <w:basedOn w:val="Normal"/>
    <w:link w:val="HeaderChar"/>
    <w:rsid w:val="004A76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766F"/>
    <w:rPr>
      <w:rFonts w:ascii="Times New Roman" w:eastAsia="Times New Roman" w:hAnsi="Times New Roman" w:cs="Times New Roman"/>
      <w:sz w:val="16"/>
      <w:szCs w:val="20"/>
      <w:lang w:val="en-GB" w:eastAsia="en-US"/>
    </w:rPr>
  </w:style>
  <w:style w:type="paragraph" w:customStyle="1" w:styleId="Chapter">
    <w:name w:val="Chapter"/>
    <w:basedOn w:val="Normal"/>
    <w:rsid w:val="004A766F"/>
    <w:pPr>
      <w:spacing w:before="240"/>
    </w:pPr>
    <w:rPr>
      <w:rFonts w:ascii="Times New Roman" w:hAnsi="Times New Roman"/>
      <w:smallCaps/>
      <w:spacing w:val="80"/>
      <w:sz w:val="28"/>
    </w:rPr>
  </w:style>
  <w:style w:type="paragraph" w:customStyle="1" w:styleId="InChapter">
    <w:name w:val="InChapter"/>
    <w:basedOn w:val="Heading3"/>
    <w:rsid w:val="004A766F"/>
    <w:pPr>
      <w:spacing w:after="240"/>
      <w:outlineLvl w:val="9"/>
    </w:pPr>
    <w:rPr>
      <w:noProof/>
    </w:rPr>
  </w:style>
  <w:style w:type="paragraph" w:styleId="Index2">
    <w:name w:val="index 2"/>
    <w:basedOn w:val="Normal"/>
    <w:next w:val="Normal"/>
    <w:semiHidden/>
    <w:rsid w:val="004A766F"/>
    <w:pPr>
      <w:tabs>
        <w:tab w:val="right" w:pos="4176"/>
      </w:tabs>
      <w:ind w:left="568" w:hanging="284"/>
    </w:pPr>
    <w:rPr>
      <w:rFonts w:ascii="Garamond" w:hAnsi="Garamond"/>
    </w:rPr>
  </w:style>
  <w:style w:type="paragraph" w:customStyle="1" w:styleId="Byline">
    <w:name w:val="Byline"/>
    <w:rsid w:val="004A76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766F"/>
    <w:pPr>
      <w:tabs>
        <w:tab w:val="clear" w:pos="3600"/>
        <w:tab w:val="clear" w:pos="3958"/>
      </w:tabs>
      <w:jc w:val="right"/>
    </w:pPr>
  </w:style>
  <w:style w:type="character" w:styleId="Emphasis">
    <w:name w:val="Emphasis"/>
    <w:basedOn w:val="DefaultParagraphFont"/>
    <w:qFormat/>
    <w:rsid w:val="004A766F"/>
    <w:rPr>
      <w:i/>
    </w:rPr>
  </w:style>
  <w:style w:type="paragraph" w:styleId="Caption">
    <w:name w:val="caption"/>
    <w:basedOn w:val="BodyText"/>
    <w:next w:val="Normal"/>
    <w:qFormat/>
    <w:rsid w:val="004A766F"/>
    <w:pPr>
      <w:framePr w:w="2268" w:hSpace="181" w:vSpace="181" w:wrap="around" w:vAnchor="text" w:hAnchor="page" w:x="1135" w:y="285" w:anchorLock="1"/>
    </w:pPr>
    <w:rPr>
      <w:i/>
    </w:rPr>
  </w:style>
  <w:style w:type="paragraph" w:customStyle="1" w:styleId="MiniTOCTitle">
    <w:name w:val="MiniTOCTitle"/>
    <w:basedOn w:val="Heading4"/>
    <w:rsid w:val="004A766F"/>
    <w:pPr>
      <w:spacing w:before="240"/>
      <w:outlineLvl w:val="9"/>
    </w:pPr>
    <w:rPr>
      <w:noProof/>
      <w:sz w:val="24"/>
    </w:rPr>
  </w:style>
  <w:style w:type="paragraph" w:customStyle="1" w:styleId="MiniTOCItem">
    <w:name w:val="MiniTOCItem"/>
    <w:basedOn w:val="ListBullet"/>
    <w:rsid w:val="004A766F"/>
    <w:pPr>
      <w:numPr>
        <w:numId w:val="0"/>
      </w:numPr>
      <w:tabs>
        <w:tab w:val="right" w:leader="dot" w:pos="6521"/>
      </w:tabs>
      <w:spacing w:before="0" w:after="0"/>
    </w:pPr>
  </w:style>
  <w:style w:type="paragraph" w:customStyle="1" w:styleId="TOFTitle">
    <w:name w:val="TOFTitle"/>
    <w:basedOn w:val="TOCTitle"/>
    <w:rsid w:val="004A766F"/>
  </w:style>
  <w:style w:type="paragraph" w:styleId="TableofFigures">
    <w:name w:val="table of figures"/>
    <w:basedOn w:val="Normal"/>
    <w:next w:val="Normal"/>
    <w:semiHidden/>
    <w:rsid w:val="004A766F"/>
    <w:pPr>
      <w:tabs>
        <w:tab w:val="right" w:leader="dot" w:pos="9072"/>
      </w:tabs>
      <w:ind w:left="970" w:hanging="403"/>
    </w:pPr>
    <w:rPr>
      <w:rFonts w:ascii="Times New Roman" w:hAnsi="Times New Roman"/>
      <w:b/>
    </w:rPr>
  </w:style>
  <w:style w:type="paragraph" w:styleId="ListNumber">
    <w:name w:val="List Number"/>
    <w:basedOn w:val="List"/>
    <w:rsid w:val="004A766F"/>
    <w:pPr>
      <w:numPr>
        <w:numId w:val="11"/>
      </w:numPr>
    </w:pPr>
  </w:style>
  <w:style w:type="character" w:customStyle="1" w:styleId="WingdingSymbols">
    <w:name w:val="Wingding Symbols"/>
    <w:rsid w:val="004A766F"/>
    <w:rPr>
      <w:rFonts w:ascii="Wingdings" w:hAnsi="Wingdings"/>
    </w:rPr>
  </w:style>
  <w:style w:type="paragraph" w:customStyle="1" w:styleId="TableHeading">
    <w:name w:val="Table Heading"/>
    <w:basedOn w:val="HeadingBase"/>
    <w:rsid w:val="004A766F"/>
    <w:pPr>
      <w:keepLines/>
      <w:pBdr>
        <w:bottom w:val="single" w:sz="6" w:space="1" w:color="918585"/>
      </w:pBdr>
      <w:spacing w:before="240"/>
    </w:pPr>
  </w:style>
  <w:style w:type="character" w:customStyle="1" w:styleId="HotSpot">
    <w:name w:val="HotSpot"/>
    <w:rsid w:val="004A766F"/>
    <w:rPr>
      <w:color w:val="0033CC"/>
      <w:u w:val="none"/>
    </w:rPr>
  </w:style>
  <w:style w:type="paragraph" w:customStyle="1" w:styleId="BodyTextRight">
    <w:name w:val="Body Text Right"/>
    <w:basedOn w:val="BodyText"/>
    <w:rsid w:val="004A766F"/>
    <w:pPr>
      <w:spacing w:before="0" w:after="0"/>
      <w:jc w:val="right"/>
    </w:pPr>
  </w:style>
  <w:style w:type="paragraph" w:styleId="Index3">
    <w:name w:val="index 3"/>
    <w:basedOn w:val="ListNumber2"/>
    <w:next w:val="Normal"/>
    <w:semiHidden/>
    <w:rsid w:val="004A766F"/>
    <w:pPr>
      <w:numPr>
        <w:numId w:val="0"/>
      </w:numPr>
      <w:tabs>
        <w:tab w:val="right" w:leader="dot" w:pos="4176"/>
      </w:tabs>
    </w:pPr>
  </w:style>
  <w:style w:type="paragraph" w:styleId="ListNumber2">
    <w:name w:val="List Number 2"/>
    <w:basedOn w:val="List2"/>
    <w:rsid w:val="004A766F"/>
    <w:pPr>
      <w:numPr>
        <w:numId w:val="10"/>
      </w:numPr>
      <w:tabs>
        <w:tab w:val="clear" w:pos="1060"/>
      </w:tabs>
    </w:pPr>
  </w:style>
  <w:style w:type="paragraph" w:customStyle="1" w:styleId="MarginNote">
    <w:name w:val="Margin Note"/>
    <w:basedOn w:val="BodyText"/>
    <w:rsid w:val="004A76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76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76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766F"/>
    <w:rPr>
      <w:sz w:val="32"/>
    </w:rPr>
  </w:style>
  <w:style w:type="paragraph" w:customStyle="1" w:styleId="HeadingProcedure">
    <w:name w:val="Heading Procedure"/>
    <w:basedOn w:val="HeadingBase"/>
    <w:next w:val="Normal"/>
    <w:rsid w:val="004A766F"/>
    <w:pPr>
      <w:tabs>
        <w:tab w:val="left" w:pos="0"/>
      </w:tabs>
      <w:spacing w:before="120" w:after="60"/>
    </w:pPr>
    <w:rPr>
      <w:i/>
      <w:color w:val="918585"/>
      <w:sz w:val="22"/>
    </w:rPr>
  </w:style>
  <w:style w:type="paragraph" w:customStyle="1" w:styleId="TableBodyText">
    <w:name w:val="Table Body Text"/>
    <w:basedOn w:val="BodyText"/>
    <w:rsid w:val="004A766F"/>
    <w:pPr>
      <w:spacing w:before="60" w:after="60"/>
    </w:pPr>
  </w:style>
  <w:style w:type="paragraph" w:styleId="ListContinue">
    <w:name w:val="List Continue"/>
    <w:basedOn w:val="List"/>
    <w:rsid w:val="004A766F"/>
    <w:pPr>
      <w:ind w:firstLine="0"/>
    </w:pPr>
  </w:style>
  <w:style w:type="paragraph" w:customStyle="1" w:styleId="ListNote">
    <w:name w:val="List Note"/>
    <w:basedOn w:val="List"/>
    <w:rsid w:val="004A766F"/>
    <w:pPr>
      <w:pBdr>
        <w:top w:val="single" w:sz="6" w:space="2" w:color="918585"/>
        <w:bottom w:val="single" w:sz="6" w:space="2" w:color="918585"/>
      </w:pBdr>
      <w:tabs>
        <w:tab w:val="left" w:pos="1021"/>
      </w:tabs>
      <w:ind w:firstLine="0"/>
    </w:pPr>
  </w:style>
  <w:style w:type="paragraph" w:customStyle="1" w:styleId="Warning">
    <w:name w:val="Warning"/>
    <w:basedOn w:val="BodyText"/>
    <w:rsid w:val="004A766F"/>
    <w:pPr>
      <w:shd w:val="clear" w:color="auto" w:fill="D9D9D9"/>
      <w:tabs>
        <w:tab w:val="left" w:pos="992"/>
      </w:tabs>
      <w:ind w:left="119" w:right="119"/>
    </w:pPr>
    <w:rPr>
      <w:sz w:val="20"/>
    </w:rPr>
  </w:style>
  <w:style w:type="paragraph" w:customStyle="1" w:styleId="MarginIcons">
    <w:name w:val="Margin Icons"/>
    <w:basedOn w:val="BodyText"/>
    <w:rsid w:val="004A76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766F"/>
    <w:rPr>
      <w:rFonts w:ascii="Courier New" w:hAnsi="Courier New"/>
    </w:rPr>
  </w:style>
  <w:style w:type="paragraph" w:customStyle="1" w:styleId="NoteBullet">
    <w:name w:val="Note Bullet"/>
    <w:basedOn w:val="Note"/>
    <w:rsid w:val="004A766F"/>
    <w:pPr>
      <w:tabs>
        <w:tab w:val="clear" w:pos="680"/>
      </w:tabs>
      <w:spacing w:before="60" w:after="60"/>
    </w:pPr>
  </w:style>
  <w:style w:type="paragraph" w:customStyle="1" w:styleId="SubHeading2">
    <w:name w:val="SubHeading2"/>
    <w:basedOn w:val="HeadingBase"/>
    <w:rsid w:val="004A766F"/>
    <w:pPr>
      <w:spacing w:before="240" w:after="60"/>
    </w:pPr>
    <w:rPr>
      <w:sz w:val="20"/>
    </w:rPr>
  </w:style>
  <w:style w:type="paragraph" w:customStyle="1" w:styleId="SubHeading1">
    <w:name w:val="SubHeading1"/>
    <w:basedOn w:val="HeadingBase"/>
    <w:rsid w:val="004A766F"/>
    <w:pPr>
      <w:spacing w:before="240" w:after="60"/>
    </w:pPr>
    <w:rPr>
      <w:color w:val="918585"/>
      <w:sz w:val="22"/>
    </w:rPr>
  </w:style>
  <w:style w:type="paragraph" w:customStyle="1" w:styleId="SideHeading">
    <w:name w:val="Side Heading"/>
    <w:basedOn w:val="HeadingBase"/>
    <w:rsid w:val="004A76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766F"/>
    <w:pPr>
      <w:numPr>
        <w:numId w:val="12"/>
      </w:numPr>
    </w:pPr>
  </w:style>
  <w:style w:type="paragraph" w:styleId="PlainText">
    <w:name w:val="Plain Text"/>
    <w:basedOn w:val="Normal"/>
    <w:link w:val="PlainTextChar"/>
    <w:rsid w:val="004A766F"/>
    <w:rPr>
      <w:sz w:val="20"/>
    </w:rPr>
  </w:style>
  <w:style w:type="character" w:customStyle="1" w:styleId="PlainTextChar">
    <w:name w:val="Plain Text Char"/>
    <w:basedOn w:val="DefaultParagraphFont"/>
    <w:link w:val="PlainText"/>
    <w:rsid w:val="004A766F"/>
    <w:rPr>
      <w:rFonts w:ascii="Courier New" w:eastAsia="Times New Roman" w:hAnsi="Courier New" w:cs="Times New Roman"/>
      <w:sz w:val="20"/>
      <w:szCs w:val="20"/>
      <w:lang w:eastAsia="en-US"/>
    </w:rPr>
  </w:style>
  <w:style w:type="character" w:customStyle="1" w:styleId="MenuOption">
    <w:name w:val="Menu Option"/>
    <w:basedOn w:val="DefaultParagraphFont"/>
    <w:rsid w:val="004A766F"/>
    <w:rPr>
      <w:b/>
      <w:smallCaps/>
    </w:rPr>
  </w:style>
  <w:style w:type="paragraph" w:customStyle="1" w:styleId="TableListNumber">
    <w:name w:val="Table List Number"/>
    <w:basedOn w:val="ListNumber"/>
    <w:rsid w:val="004A766F"/>
    <w:pPr>
      <w:numPr>
        <w:numId w:val="0"/>
      </w:numPr>
    </w:pPr>
  </w:style>
  <w:style w:type="paragraph" w:styleId="TOC4">
    <w:name w:val="toc 4"/>
    <w:basedOn w:val="TOCBase"/>
    <w:next w:val="Normal"/>
    <w:semiHidden/>
    <w:rsid w:val="004A766F"/>
    <w:pPr>
      <w:tabs>
        <w:tab w:val="right" w:leader="dot" w:pos="9071"/>
      </w:tabs>
      <w:ind w:left="1701"/>
    </w:pPr>
  </w:style>
  <w:style w:type="paragraph" w:customStyle="1" w:styleId="ListAlpha">
    <w:name w:val="List Alpha"/>
    <w:basedOn w:val="List"/>
    <w:rsid w:val="004A766F"/>
    <w:pPr>
      <w:numPr>
        <w:numId w:val="9"/>
      </w:numPr>
    </w:pPr>
  </w:style>
  <w:style w:type="paragraph" w:customStyle="1" w:styleId="ListAlpha2">
    <w:name w:val="List Alpha 2"/>
    <w:basedOn w:val="List2"/>
    <w:rsid w:val="004A766F"/>
    <w:pPr>
      <w:numPr>
        <w:numId w:val="8"/>
      </w:numPr>
    </w:pPr>
  </w:style>
  <w:style w:type="paragraph" w:styleId="List3">
    <w:name w:val="List 3"/>
    <w:basedOn w:val="BodyText"/>
    <w:rsid w:val="004A766F"/>
    <w:pPr>
      <w:tabs>
        <w:tab w:val="left" w:pos="1021"/>
      </w:tabs>
      <w:spacing w:before="60" w:after="60"/>
      <w:ind w:left="1020" w:hanging="340"/>
    </w:pPr>
  </w:style>
  <w:style w:type="paragraph" w:styleId="List4">
    <w:name w:val="List 4"/>
    <w:basedOn w:val="BodyText"/>
    <w:rsid w:val="004A766F"/>
    <w:pPr>
      <w:tabs>
        <w:tab w:val="left" w:pos="1361"/>
      </w:tabs>
      <w:spacing w:before="60" w:after="60"/>
      <w:ind w:left="1361" w:hanging="340"/>
    </w:pPr>
  </w:style>
  <w:style w:type="paragraph" w:styleId="List5">
    <w:name w:val="List 5"/>
    <w:basedOn w:val="BodyText"/>
    <w:rsid w:val="004A766F"/>
    <w:pPr>
      <w:tabs>
        <w:tab w:val="left" w:pos="1701"/>
      </w:tabs>
      <w:spacing w:before="60" w:after="60"/>
      <w:ind w:left="1701" w:hanging="340"/>
    </w:pPr>
  </w:style>
  <w:style w:type="paragraph" w:styleId="ListBullet3">
    <w:name w:val="List Bullet 3"/>
    <w:basedOn w:val="List3"/>
    <w:rsid w:val="004A766F"/>
    <w:pPr>
      <w:numPr>
        <w:numId w:val="15"/>
      </w:numPr>
      <w:tabs>
        <w:tab w:val="clear" w:pos="1021"/>
      </w:tabs>
      <w:ind w:left="1037" w:hanging="357"/>
    </w:pPr>
  </w:style>
  <w:style w:type="paragraph" w:styleId="ListBullet4">
    <w:name w:val="List Bullet 4"/>
    <w:basedOn w:val="List4"/>
    <w:rsid w:val="004A766F"/>
    <w:pPr>
      <w:numPr>
        <w:numId w:val="3"/>
      </w:numPr>
    </w:pPr>
  </w:style>
  <w:style w:type="paragraph" w:styleId="ListBullet5">
    <w:name w:val="List Bullet 5"/>
    <w:basedOn w:val="List5"/>
    <w:rsid w:val="004A766F"/>
    <w:pPr>
      <w:numPr>
        <w:numId w:val="4"/>
      </w:numPr>
    </w:pPr>
  </w:style>
  <w:style w:type="paragraph" w:styleId="ListContinue2">
    <w:name w:val="List Continue 2"/>
    <w:basedOn w:val="List2"/>
    <w:rsid w:val="004A766F"/>
    <w:pPr>
      <w:ind w:firstLine="0"/>
    </w:pPr>
  </w:style>
  <w:style w:type="paragraph" w:styleId="ListContinue3">
    <w:name w:val="List Continue 3"/>
    <w:basedOn w:val="List3"/>
    <w:rsid w:val="004A766F"/>
    <w:pPr>
      <w:ind w:left="1021" w:firstLine="0"/>
    </w:pPr>
  </w:style>
  <w:style w:type="paragraph" w:styleId="ListContinue4">
    <w:name w:val="List Continue 4"/>
    <w:basedOn w:val="List4"/>
    <w:rsid w:val="004A766F"/>
    <w:pPr>
      <w:ind w:firstLine="0"/>
    </w:pPr>
  </w:style>
  <w:style w:type="paragraph" w:styleId="ListContinue5">
    <w:name w:val="List Continue 5"/>
    <w:basedOn w:val="List5"/>
    <w:rsid w:val="004A766F"/>
    <w:pPr>
      <w:ind w:firstLine="0"/>
    </w:pPr>
  </w:style>
  <w:style w:type="paragraph" w:styleId="ListNumber3">
    <w:name w:val="List Number 3"/>
    <w:basedOn w:val="List3"/>
    <w:rsid w:val="004A766F"/>
    <w:pPr>
      <w:numPr>
        <w:numId w:val="5"/>
      </w:numPr>
    </w:pPr>
  </w:style>
  <w:style w:type="paragraph" w:styleId="ListNumber4">
    <w:name w:val="List Number 4"/>
    <w:basedOn w:val="List4"/>
    <w:rsid w:val="004A766F"/>
    <w:pPr>
      <w:numPr>
        <w:numId w:val="6"/>
      </w:numPr>
    </w:pPr>
  </w:style>
  <w:style w:type="paragraph" w:styleId="ListNumber5">
    <w:name w:val="List Number 5"/>
    <w:basedOn w:val="List5"/>
    <w:rsid w:val="004A766F"/>
    <w:pPr>
      <w:numPr>
        <w:numId w:val="7"/>
      </w:numPr>
    </w:pPr>
  </w:style>
  <w:style w:type="paragraph" w:styleId="BlockText">
    <w:name w:val="Block Text"/>
    <w:basedOn w:val="Normal"/>
    <w:rsid w:val="004A766F"/>
    <w:pPr>
      <w:spacing w:after="120"/>
      <w:ind w:left="1440" w:right="1440"/>
    </w:pPr>
  </w:style>
  <w:style w:type="character" w:customStyle="1" w:styleId="Subscript">
    <w:name w:val="Subscript"/>
    <w:basedOn w:val="DefaultParagraphFont"/>
    <w:rsid w:val="004A766F"/>
    <w:rPr>
      <w:sz w:val="16"/>
      <w:vertAlign w:val="subscript"/>
    </w:rPr>
  </w:style>
  <w:style w:type="character" w:customStyle="1" w:styleId="Superscript">
    <w:name w:val="Superscript"/>
    <w:basedOn w:val="DefaultParagraphFont"/>
    <w:rsid w:val="004A766F"/>
    <w:rPr>
      <w:sz w:val="16"/>
      <w:vertAlign w:val="superscript"/>
    </w:rPr>
  </w:style>
  <w:style w:type="character" w:customStyle="1" w:styleId="Symbols">
    <w:name w:val="Symbols"/>
    <w:basedOn w:val="DefaultParagraphFont"/>
    <w:rsid w:val="004A766F"/>
    <w:rPr>
      <w:rFonts w:ascii="Symbol" w:hAnsi="Symbol"/>
    </w:rPr>
  </w:style>
  <w:style w:type="character" w:customStyle="1" w:styleId="MenuOptions">
    <w:name w:val="Menu Options"/>
    <w:basedOn w:val="DefaultParagraphFont"/>
    <w:rsid w:val="004A766F"/>
    <w:rPr>
      <w:rFonts w:ascii="Arial Narrow" w:hAnsi="Arial Narrow"/>
      <w:smallCaps/>
    </w:rPr>
  </w:style>
  <w:style w:type="character" w:customStyle="1" w:styleId="Buttons">
    <w:name w:val="Buttons"/>
    <w:basedOn w:val="DefaultParagraphFont"/>
    <w:rsid w:val="004A766F"/>
    <w:rPr>
      <w:b/>
    </w:rPr>
  </w:style>
  <w:style w:type="character" w:customStyle="1" w:styleId="Underlined">
    <w:name w:val="Underlined"/>
    <w:basedOn w:val="DefaultParagraphFont"/>
    <w:rsid w:val="004A766F"/>
    <w:rPr>
      <w:u w:val="single"/>
    </w:rPr>
  </w:style>
  <w:style w:type="paragraph" w:customStyle="1" w:styleId="TableBodyTextRight">
    <w:name w:val="Table Body Text Right"/>
    <w:basedOn w:val="TableBodyText"/>
    <w:rsid w:val="004A766F"/>
    <w:pPr>
      <w:widowControl w:val="0"/>
      <w:autoSpaceDE w:val="0"/>
      <w:autoSpaceDN w:val="0"/>
      <w:adjustRightInd w:val="0"/>
      <w:jc w:val="right"/>
    </w:pPr>
    <w:rPr>
      <w:rFonts w:cs="Arial"/>
      <w:szCs w:val="18"/>
    </w:rPr>
  </w:style>
  <w:style w:type="paragraph" w:customStyle="1" w:styleId="CopyrightText">
    <w:name w:val="Copyright Text"/>
    <w:basedOn w:val="BodyText"/>
    <w:rsid w:val="004A766F"/>
    <w:rPr>
      <w:sz w:val="18"/>
    </w:rPr>
  </w:style>
  <w:style w:type="paragraph" w:customStyle="1" w:styleId="BodySmallRight">
    <w:name w:val="Body Small Right"/>
    <w:basedOn w:val="BodyTextRight"/>
    <w:rsid w:val="004A766F"/>
    <w:rPr>
      <w:sz w:val="18"/>
      <w:szCs w:val="18"/>
    </w:rPr>
  </w:style>
  <w:style w:type="paragraph" w:customStyle="1" w:styleId="MarginEdition">
    <w:name w:val="Margin Edition"/>
    <w:basedOn w:val="MarginNote"/>
    <w:rsid w:val="004A766F"/>
    <w:pPr>
      <w:spacing w:before="0" w:after="0"/>
    </w:pPr>
    <w:rPr>
      <w:rFonts w:ascii="Times New Roman" w:hAnsi="Times New Roman"/>
      <w:color w:val="999999"/>
    </w:rPr>
  </w:style>
  <w:style w:type="paragraph" w:customStyle="1" w:styleId="Spacer">
    <w:name w:val="Spacer"/>
    <w:basedOn w:val="Normal"/>
    <w:rsid w:val="004A766F"/>
    <w:rPr>
      <w:sz w:val="2"/>
      <w:szCs w:val="2"/>
    </w:rPr>
  </w:style>
  <w:style w:type="character" w:customStyle="1" w:styleId="Small">
    <w:name w:val="Small"/>
    <w:basedOn w:val="DefaultParagraphFont"/>
    <w:rsid w:val="004A766F"/>
    <w:rPr>
      <w:sz w:val="16"/>
    </w:rPr>
  </w:style>
  <w:style w:type="paragraph" w:customStyle="1" w:styleId="WideTable">
    <w:name w:val="Wide Table"/>
    <w:basedOn w:val="Normal"/>
    <w:rsid w:val="004A766F"/>
    <w:pPr>
      <w:ind w:left="-1418"/>
    </w:pPr>
    <w:rPr>
      <w:sz w:val="2"/>
      <w:szCs w:val="2"/>
    </w:rPr>
  </w:style>
  <w:style w:type="character" w:styleId="PageNumber">
    <w:name w:val="page number"/>
    <w:basedOn w:val="DefaultParagraphFont"/>
    <w:rsid w:val="004A766F"/>
  </w:style>
  <w:style w:type="paragraph" w:styleId="Quote">
    <w:name w:val="Quote"/>
    <w:basedOn w:val="Heading1"/>
    <w:link w:val="QuoteChar"/>
    <w:qFormat/>
    <w:rsid w:val="004A766F"/>
    <w:rPr>
      <w:b w:val="0"/>
      <w:sz w:val="72"/>
      <w:szCs w:val="72"/>
      <w:lang w:val="en-NZ"/>
    </w:rPr>
  </w:style>
  <w:style w:type="character" w:customStyle="1" w:styleId="QuoteChar">
    <w:name w:val="Quote Char"/>
    <w:basedOn w:val="DefaultParagraphFont"/>
    <w:link w:val="Quote"/>
    <w:rsid w:val="004A76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766F"/>
    <w:pPr>
      <w:pageBreakBefore/>
    </w:pPr>
  </w:style>
  <w:style w:type="paragraph" w:customStyle="1" w:styleId="Border">
    <w:name w:val="Border"/>
    <w:basedOn w:val="Normal"/>
    <w:qFormat/>
    <w:rsid w:val="004A76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766F"/>
    <w:rPr>
      <w:b/>
      <w:bCs/>
      <w:i/>
      <w:iCs/>
      <w:color w:val="auto"/>
    </w:rPr>
  </w:style>
  <w:style w:type="paragraph" w:styleId="IntenseQuote">
    <w:name w:val="Intense Quote"/>
    <w:basedOn w:val="Normal"/>
    <w:next w:val="Normal"/>
    <w:link w:val="IntenseQuoteChar"/>
    <w:uiPriority w:val="30"/>
    <w:qFormat/>
    <w:rsid w:val="004A76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76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766F"/>
    <w:rPr>
      <w:smallCaps/>
      <w:color w:val="auto"/>
      <w:u w:val="single"/>
    </w:rPr>
  </w:style>
  <w:style w:type="character" w:styleId="IntenseReference">
    <w:name w:val="Intense Reference"/>
    <w:basedOn w:val="DefaultParagraphFont"/>
    <w:uiPriority w:val="32"/>
    <w:qFormat/>
    <w:rsid w:val="004A766F"/>
    <w:rPr>
      <w:b/>
      <w:bCs/>
      <w:smallCaps/>
      <w:color w:val="auto"/>
      <w:spacing w:val="5"/>
      <w:u w:val="single"/>
    </w:rPr>
  </w:style>
  <w:style w:type="paragraph" w:customStyle="1" w:styleId="2ColumnHeading">
    <w:name w:val="2Column Heading"/>
    <w:basedOn w:val="BodyText"/>
    <w:qFormat/>
    <w:rsid w:val="004A766F"/>
    <w:pPr>
      <w:spacing w:after="60"/>
      <w:ind w:left="-2268"/>
    </w:pPr>
    <w:rPr>
      <w:b/>
    </w:rPr>
  </w:style>
  <w:style w:type="paragraph" w:customStyle="1" w:styleId="Heading1TOC">
    <w:name w:val="Heading1 TOC"/>
    <w:basedOn w:val="Normal"/>
    <w:qFormat/>
    <w:rsid w:val="004A766F"/>
    <w:pPr>
      <w:spacing w:before="240" w:after="120"/>
    </w:pPr>
    <w:rPr>
      <w:rFonts w:ascii="Times New Roman" w:hAnsi="Times New Roman"/>
      <w:b/>
      <w:sz w:val="32"/>
    </w:rPr>
  </w:style>
  <w:style w:type="paragraph" w:customStyle="1" w:styleId="Heading2TOC">
    <w:name w:val="Heading2 TOC"/>
    <w:basedOn w:val="Normal"/>
    <w:qFormat/>
    <w:rsid w:val="004A766F"/>
    <w:pPr>
      <w:spacing w:before="240" w:after="60"/>
    </w:pPr>
    <w:rPr>
      <w:rFonts w:ascii="Times New Roman" w:hAnsi="Times New Roman"/>
      <w:b/>
      <w:sz w:val="28"/>
    </w:rPr>
  </w:style>
  <w:style w:type="character" w:customStyle="1" w:styleId="Underline">
    <w:name w:val="Underline"/>
    <w:basedOn w:val="DefaultParagraphFont"/>
    <w:qFormat/>
    <w:rsid w:val="004A766F"/>
    <w:rPr>
      <w:u w:val="single"/>
    </w:rPr>
  </w:style>
  <w:style w:type="paragraph" w:styleId="BalloonText">
    <w:name w:val="Balloon Text"/>
    <w:basedOn w:val="Normal"/>
    <w:link w:val="BalloonTextChar"/>
    <w:rsid w:val="004A766F"/>
    <w:rPr>
      <w:rFonts w:ascii="Tahoma" w:hAnsi="Tahoma" w:cs="Tahoma"/>
      <w:sz w:val="16"/>
      <w:szCs w:val="16"/>
    </w:rPr>
  </w:style>
  <w:style w:type="character" w:customStyle="1" w:styleId="BalloonTextChar">
    <w:name w:val="Balloon Text Char"/>
    <w:basedOn w:val="DefaultParagraphFont"/>
    <w:link w:val="BalloonText"/>
    <w:rsid w:val="004A76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76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76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766F"/>
    <w:rPr>
      <w:b/>
      <w:color w:val="660033"/>
      <w:spacing w:val="0"/>
    </w:rPr>
  </w:style>
  <w:style w:type="paragraph" w:customStyle="1" w:styleId="Nameditemlist">
    <w:name w:val="Named item list"/>
    <w:basedOn w:val="BodyText"/>
    <w:qFormat/>
    <w:rsid w:val="004A766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2161</Words>
  <Characters>13641</Characters>
  <Application>Microsoft Office Word</Application>
  <DocSecurity>0</DocSecurity>
  <Lines>486</Lines>
  <Paragraphs>269</Paragraphs>
  <ScaleCrop>false</ScaleCrop>
  <Company>Author-it Software Corporation Ltd.</Company>
  <LinksUpToDate>false</LinksUpToDate>
  <CharactersWithSpaces>15724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CPCCLSF2001A Licence to erect, alter and dismantle scaffolding basic level</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2012-10-05T15:00:00Z</dcterms:created>
  <dcterms:modified xsi:type="dcterms:W3CDTF">2012-10-05T15:00:00Z</dcterms:modified>
</cp:coreProperties>
</file>