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BE8" w:rsidP="00D17BE8">
      <w:pPr>
        <w:pStyle w:val="Title"/>
      </w:pPr>
      <w:r>
        <w:fldChar w:fldCharType="begin"/>
      </w:r>
      <w:r>
        <w:instrText xml:space="preserve"> TITLE   \* MERGEFORMAT </w:instrText>
      </w:r>
      <w:r>
        <w:fldChar w:fldCharType="separate"/>
      </w:r>
      <w:r>
        <w:t>CPCCJN3002A Use computer-controlled machinery</w:t>
      </w:r>
      <w:r>
        <w:fldChar w:fldCharType="end"/>
      </w:r>
    </w:p>
    <w:p w:rsidR="00D17BE8" w:rsidP="00D17BE8">
      <w:pPr>
        <w:pStyle w:val="Version"/>
        <w:sectPr w:rsidSect="00424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A64" w:rsidP="00424A64">
      <w:pPr>
        <w:pStyle w:val="SuperHeading"/>
      </w:pPr>
      <w:r w:rsidRPr="00424A64">
        <w:t>CPCCJN3002A Use computer-controlled machinery</w:t>
      </w:r>
    </w:p>
    <w:p w:rsidR="00000000" w:rsidRPr="00424A64" w:rsidP="00424A64">
      <w:pPr>
        <w:pStyle w:val="Heading1"/>
      </w:pPr>
      <w:bookmarkStart w:id="1" w:name="O_269572"/>
      <w:bookmarkEnd w:id="1"/>
      <w:r w:rsidRPr="00424A64">
        <w:t>Modification History</w:t>
      </w:r>
    </w:p>
    <w:p w:rsidR="00000000" w:rsidRPr="00424A64" w:rsidP="00424A64">
      <w:pPr>
        <w:pStyle w:val="BodyText"/>
      </w:pPr>
      <w:r w:rsidRPr="00424A64">
        <w:t>Not Applicable</w:t>
      </w:r>
    </w:p>
    <w:p w:rsidR="00000000" w:rsidRPr="00424A64" w:rsidP="00424A64">
      <w:pPr>
        <w:pStyle w:val="AllowPageBreak"/>
      </w:pPr>
    </w:p>
    <w:p w:rsidR="00000000" w:rsidRPr="00424A64" w:rsidP="00424A64">
      <w:pPr>
        <w:pStyle w:val="Heading1"/>
      </w:pPr>
      <w:bookmarkStart w:id="2" w:name="O_197864"/>
      <w:bookmarkEnd w:id="2"/>
      <w:r w:rsidRPr="00424A64">
        <w:t>Unit Descriptor</w:t>
      </w:r>
    </w:p>
    <w:tbl>
      <w:tblPr>
        <w:tblW w:w="0" w:type="auto"/>
        <w:tblLayout w:type="fixed"/>
        <w:tblCellMar>
          <w:left w:w="62" w:type="dxa"/>
          <w:right w:w="62" w:type="dxa"/>
        </w:tblCellMar>
        <w:tblLook w:val="0000"/>
      </w:tblPr>
      <w:tblGrid>
        <w:gridCol w:w="2571"/>
        <w:gridCol w:w="5951"/>
      </w:tblGrid>
      <w:tr w:rsidTr="00D17BE8">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Unit descriptor</w:t>
            </w:r>
          </w:p>
        </w:tc>
        <w:tc>
          <w:tcPr>
            <w:tcW w:w="5951"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 xml:space="preserve">This unit specifies the outcomes required to program, load and operate computer-controlled machinery for </w:t>
            </w:r>
            <w:r w:rsidRPr="00424A64">
              <w:t xml:space="preserve">the production of components. </w:t>
            </w:r>
          </w:p>
          <w:p w:rsidR="00000000" w:rsidRPr="00424A64" w:rsidP="00424A64">
            <w:pPr>
              <w:pStyle w:val="BodyText"/>
            </w:pPr>
            <w:r w:rsidRPr="00424A64">
              <w:t>Manufacturing applications are shopfitting, joinery and stair building work.</w:t>
            </w:r>
          </w:p>
        </w:tc>
      </w:tr>
    </w:tbl>
    <w:p w:rsidR="00D17BE8" w:rsidP="00424A64">
      <w:pPr>
        <w:pStyle w:val="BodyText"/>
      </w:pPr>
    </w:p>
    <w:p w:rsidR="00D17BE8" w:rsidP="00424A64">
      <w:pPr>
        <w:pStyle w:val="BodyText"/>
      </w:pPr>
    </w:p>
    <w:p w:rsidR="00000000" w:rsidRPr="00424A64" w:rsidP="00424A64">
      <w:pPr>
        <w:pStyle w:val="Heading1"/>
      </w:pPr>
      <w:bookmarkStart w:id="3" w:name="O_197868"/>
      <w:bookmarkEnd w:id="3"/>
      <w:r w:rsidRPr="00424A64">
        <w:t>Application of the Unit</w:t>
      </w:r>
    </w:p>
    <w:tbl>
      <w:tblPr>
        <w:tblW w:w="0" w:type="auto"/>
        <w:tblLayout w:type="fixed"/>
        <w:tblCellMar>
          <w:left w:w="62" w:type="dxa"/>
          <w:right w:w="62" w:type="dxa"/>
        </w:tblCellMar>
        <w:tblLook w:val="0000"/>
      </w:tblPr>
      <w:tblGrid>
        <w:gridCol w:w="2658"/>
        <w:gridCol w:w="5864"/>
      </w:tblGrid>
      <w:tr w:rsidTr="00D17BE8">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Application of the unit</w:t>
            </w:r>
          </w:p>
        </w:tc>
        <w:tc>
          <w:tcPr>
            <w:tcW w:w="5864"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This unit of competency supports the achievement of skills and knowledge to use computer-controlled machining processes providing for multiple production process or designed finishes, which may include working with others and as a member of a team.</w:t>
            </w:r>
          </w:p>
          <w:p w:rsidR="00000000" w:rsidRPr="00424A64" w:rsidP="00424A64">
            <w:pPr>
              <w:pStyle w:val="BodyText"/>
            </w:pPr>
            <w:r w:rsidRPr="00424A64">
              <w:t>It does</w:t>
            </w:r>
            <w:r w:rsidRPr="00424A64">
              <w:t xml:space="preserve"> not apply to stonemasonry work or stonemasonry production work. </w:t>
            </w:r>
          </w:p>
        </w:tc>
      </w:tr>
    </w:tbl>
    <w:p w:rsidR="00D17BE8" w:rsidP="00424A64">
      <w:pPr>
        <w:pStyle w:val="BodyText"/>
      </w:pPr>
    </w:p>
    <w:p w:rsidR="00D17BE8" w:rsidP="00424A64">
      <w:pPr>
        <w:pStyle w:val="BodyText"/>
      </w:pPr>
    </w:p>
    <w:p w:rsidR="00000000" w:rsidRPr="00424A64" w:rsidP="00424A64">
      <w:pPr>
        <w:pStyle w:val="Heading1"/>
      </w:pPr>
      <w:bookmarkStart w:id="4" w:name="O_277832"/>
      <w:bookmarkEnd w:id="4"/>
      <w:r w:rsidRPr="00424A64">
        <w:t>Licensing/Regulatory Information</w:t>
      </w:r>
    </w:p>
    <w:p w:rsidR="00000000" w:rsidRPr="00424A64" w:rsidP="00424A64">
      <w:pPr>
        <w:pStyle w:val="BodyText"/>
      </w:pPr>
      <w:r w:rsidRPr="00424A64">
        <w:t>Not Applicable</w:t>
      </w:r>
    </w:p>
    <w:p w:rsidR="00000000" w:rsidRPr="00424A64" w:rsidP="00424A64">
      <w:pPr>
        <w:pStyle w:val="AllowPageBreak"/>
      </w:pPr>
    </w:p>
    <w:p w:rsidR="00000000" w:rsidRPr="00424A64" w:rsidP="00424A64">
      <w:pPr>
        <w:pStyle w:val="Heading1"/>
      </w:pPr>
      <w:bookmarkStart w:id="5" w:name="O_197866"/>
      <w:bookmarkEnd w:id="5"/>
      <w:r w:rsidRPr="00424A64">
        <w:t>Pre-Requisites</w:t>
      </w:r>
    </w:p>
    <w:tbl>
      <w:tblPr>
        <w:tblW w:w="0" w:type="auto"/>
        <w:tblLayout w:type="fixed"/>
        <w:tblCellMar>
          <w:left w:w="62" w:type="dxa"/>
          <w:right w:w="62" w:type="dxa"/>
        </w:tblCellMar>
        <w:tblLook w:val="0000"/>
      </w:tblPr>
      <w:tblGrid>
        <w:gridCol w:w="2593"/>
        <w:gridCol w:w="2737"/>
        <w:gridCol w:w="3192"/>
      </w:tblGrid>
      <w:tr w:rsidTr="00D17BE8">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424A64">
            <w:pPr>
              <w:pStyle w:val="BodyText"/>
              <w:rPr>
                <w:lang w:val="en-NZ"/>
              </w:rPr>
            </w:pPr>
          </w:p>
        </w:tc>
      </w:tr>
      <w:tr w:rsidTr="00D17BE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t>CPCCOHS2001A</w:t>
            </w:r>
          </w:p>
        </w:tc>
        <w:tc>
          <w:tcPr>
            <w:tcW w:w="3192"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t>Apply OHS requirements, policies and procedures in the construction industry</w:t>
            </w:r>
          </w:p>
        </w:tc>
      </w:tr>
      <w:tr w:rsidTr="00D17BE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2" w:type="dxa"/>
            <w:tcBorders>
              <w:top w:val="nil"/>
              <w:left w:val="nil"/>
              <w:bottom w:val="nil"/>
              <w:right w:val="nil"/>
            </w:tcBorders>
            <w:tcMar>
              <w:top w:w="0" w:type="dxa"/>
              <w:left w:w="62" w:type="dxa"/>
              <w:bottom w:w="0" w:type="dxa"/>
              <w:right w:w="62" w:type="dxa"/>
            </w:tcMar>
          </w:tcPr>
          <w:p w:rsidR="00000000" w:rsidRPr="00424A64" w:rsidP="00424A64">
            <w:pPr>
              <w:pStyle w:val="BodyText"/>
            </w:pPr>
          </w:p>
        </w:tc>
      </w:tr>
    </w:tbl>
    <w:p w:rsidR="00D17BE8" w:rsidP="00424A64">
      <w:pPr>
        <w:pStyle w:val="BodyText"/>
      </w:pPr>
    </w:p>
    <w:p w:rsidR="00D17BE8" w:rsidP="00424A64">
      <w:pPr>
        <w:pStyle w:val="BodyText"/>
      </w:pPr>
    </w:p>
    <w:p w:rsidR="00000000" w:rsidRPr="00424A64" w:rsidP="00424A64">
      <w:pPr>
        <w:pStyle w:val="Heading1"/>
      </w:pPr>
      <w:bookmarkStart w:id="6" w:name="O_197865"/>
      <w:bookmarkEnd w:id="6"/>
      <w:r w:rsidRPr="00424A64">
        <w:t>Employability Skills Information</w:t>
      </w:r>
    </w:p>
    <w:tbl>
      <w:tblPr>
        <w:tblW w:w="0" w:type="auto"/>
        <w:tblLayout w:type="fixed"/>
        <w:tblCellMar>
          <w:left w:w="62" w:type="dxa"/>
          <w:right w:w="62" w:type="dxa"/>
        </w:tblCellMar>
        <w:tblLook w:val="0000"/>
      </w:tblPr>
      <w:tblGrid>
        <w:gridCol w:w="2694"/>
        <w:gridCol w:w="5828"/>
      </w:tblGrid>
      <w:tr w:rsidTr="00D17BE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Employability skills</w:t>
            </w:r>
          </w:p>
        </w:tc>
        <w:tc>
          <w:tcPr>
            <w:tcW w:w="5828"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This unit contains employability skills.</w:t>
            </w:r>
          </w:p>
        </w:tc>
      </w:tr>
    </w:tbl>
    <w:p w:rsidR="00D17BE8" w:rsidP="00424A64">
      <w:pPr>
        <w:pStyle w:val="BodyText"/>
      </w:pPr>
    </w:p>
    <w:p w:rsidR="00D17BE8" w:rsidP="00424A64">
      <w:pPr>
        <w:pStyle w:val="BodyText"/>
      </w:pPr>
    </w:p>
    <w:p w:rsidR="00000000" w:rsidRPr="00424A64" w:rsidP="00424A64">
      <w:pPr>
        <w:pStyle w:val="Heading1"/>
      </w:pPr>
      <w:bookmarkStart w:id="7" w:name="O_287618"/>
      <w:bookmarkEnd w:id="7"/>
      <w:r w:rsidRPr="00424A64">
        <w:t>Elements and Performance Criteria Pre-Content</w:t>
      </w:r>
    </w:p>
    <w:tbl>
      <w:tblPr>
        <w:tblW w:w="0" w:type="auto"/>
        <w:tblLayout w:type="fixed"/>
        <w:tblCellMar>
          <w:left w:w="62" w:type="dxa"/>
          <w:right w:w="62" w:type="dxa"/>
        </w:tblCellMar>
        <w:tblLook w:val="0000"/>
      </w:tblPr>
      <w:tblGrid>
        <w:gridCol w:w="2607"/>
        <w:gridCol w:w="5915"/>
      </w:tblGrid>
      <w:tr w:rsidTr="00D17BE8">
        <w:tblPrEx>
          <w:tblW w:w="0" w:type="auto"/>
          <w:tblLayout w:type="fixed"/>
          <w:tblCellMar>
            <w:left w:w="62" w:type="dxa"/>
            <w:right w:w="62" w:type="dxa"/>
          </w:tblCellMar>
          <w:tblLook w:val="0000"/>
        </w:tblPrEx>
        <w:tc>
          <w:tcPr>
            <w:tcW w:w="2607" w:type="dxa"/>
            <w:tcBorders>
              <w:top w:val="single" w:sz="6" w:space="0" w:color="auto"/>
              <w:left w:val="nil"/>
              <w:bottom w:val="nil"/>
              <w:right w:val="nil"/>
            </w:tcBorders>
            <w:tcMar>
              <w:top w:w="0" w:type="dxa"/>
              <w:left w:w="62" w:type="dxa"/>
              <w:bottom w:w="0" w:type="dxa"/>
              <w:right w:w="62" w:type="dxa"/>
            </w:tcMar>
          </w:tcPr>
          <w:p w:rsidR="00000000" w:rsidP="00424A64">
            <w:pPr>
              <w:pStyle w:val="BodyText"/>
              <w:rPr>
                <w:lang w:val="en-NZ"/>
              </w:rPr>
            </w:pPr>
            <w:r w:rsidRPr="00424A64">
              <w:t>Elements describe the essential outcomes of a unit of competency.</w:t>
            </w:r>
          </w:p>
        </w:tc>
        <w:tc>
          <w:tcPr>
            <w:tcW w:w="5915" w:type="dxa"/>
            <w:tcBorders>
              <w:top w:val="single" w:sz="6" w:space="0" w:color="auto"/>
              <w:left w:val="nil"/>
              <w:bottom w:val="nil"/>
              <w:right w:val="nil"/>
            </w:tcBorders>
            <w:tcMar>
              <w:top w:w="0" w:type="dxa"/>
              <w:left w:w="62" w:type="dxa"/>
              <w:bottom w:w="0" w:type="dxa"/>
              <w:right w:w="62" w:type="dxa"/>
            </w:tcMar>
          </w:tcPr>
          <w:p w:rsidR="00000000" w:rsidRPr="00424A64" w:rsidP="00424A64">
            <w:pPr>
              <w:pStyle w:val="BodyText"/>
            </w:pPr>
            <w:r w:rsidRPr="00424A64">
              <w:t>Performance criteria describe the performance needed to demonstrate achievement of the element. Where bold italicised text is used, further info</w:t>
            </w:r>
            <w:r w:rsidRPr="00424A64">
              <w:t>rmation is detailed in the required skills and knowledge section and the range statement. Assessment of performance is to be consistent with the evidence guide.</w:t>
            </w:r>
          </w:p>
        </w:tc>
      </w:tr>
    </w:tbl>
    <w:p w:rsidR="00000000" w:rsidRPr="00424A64" w:rsidP="00424A64">
      <w:pPr>
        <w:pStyle w:val="BodyText"/>
      </w:pPr>
    </w:p>
    <w:p w:rsidR="00000000" w:rsidRPr="00424A64" w:rsidP="00424A64">
      <w:pPr>
        <w:pStyle w:val="AllowPageBreak"/>
      </w:pPr>
    </w:p>
    <w:p w:rsidR="00000000" w:rsidRPr="00424A64" w:rsidP="00424A64">
      <w:pPr>
        <w:pStyle w:val="Heading1"/>
      </w:pPr>
      <w:bookmarkStart w:id="8" w:name="O_234285"/>
      <w:bookmarkEnd w:id="8"/>
      <w:r w:rsidRPr="00424A64">
        <w:t>Elements and Performance Criteria</w:t>
      </w:r>
    </w:p>
    <w:tbl>
      <w:tblPr>
        <w:tblW w:w="0" w:type="auto"/>
        <w:tblLayout w:type="fixed"/>
        <w:tblCellMar>
          <w:left w:w="62" w:type="dxa"/>
          <w:right w:w="62" w:type="dxa"/>
        </w:tblCellMar>
        <w:tblLook w:val="0000"/>
      </w:tblPr>
      <w:tblGrid>
        <w:gridCol w:w="2607"/>
        <w:gridCol w:w="5915"/>
      </w:tblGrid>
      <w:tr w:rsidTr="00D17BE8">
        <w:tblPrEx>
          <w:tblW w:w="0" w:type="auto"/>
          <w:tblLayout w:type="fixed"/>
          <w:tblCellMar>
            <w:left w:w="62" w:type="dxa"/>
            <w:right w:w="62" w:type="dxa"/>
          </w:tblCellMar>
          <w:tblLook w:val="0000"/>
        </w:tblPrEx>
        <w:trPr>
          <w:tblHeader/>
        </w:trPr>
        <w:tc>
          <w:tcPr>
            <w:tcW w:w="2607" w:type="dxa"/>
            <w:tcBorders>
              <w:top w:val="nil"/>
              <w:left w:val="nil"/>
              <w:bottom w:val="single" w:sz="6" w:space="0" w:color="auto"/>
              <w:right w:val="nil"/>
            </w:tcBorders>
            <w:tcMar>
              <w:top w:w="0" w:type="dxa"/>
              <w:left w:w="62" w:type="dxa"/>
              <w:bottom w:w="0" w:type="dxa"/>
              <w:right w:w="62" w:type="dxa"/>
            </w:tcMar>
          </w:tcPr>
          <w:p w:rsidR="00000000" w:rsidRPr="00424A64" w:rsidP="00424A64">
            <w:pPr>
              <w:pStyle w:val="BodyText"/>
            </w:pPr>
            <w:r w:rsidRPr="00424A64">
              <w:rPr>
                <w:rStyle w:val="SpecialBold"/>
              </w:rPr>
              <w:t>ELEMENT</w:t>
            </w:r>
          </w:p>
        </w:tc>
        <w:tc>
          <w:tcPr>
            <w:tcW w:w="5915" w:type="dxa"/>
            <w:tcBorders>
              <w:top w:val="nil"/>
              <w:left w:val="nil"/>
              <w:bottom w:val="single" w:sz="6" w:space="0" w:color="auto"/>
              <w:right w:val="nil"/>
            </w:tcBorders>
            <w:tcMar>
              <w:top w:w="0" w:type="dxa"/>
              <w:left w:w="62" w:type="dxa"/>
              <w:bottom w:w="0" w:type="dxa"/>
              <w:right w:w="62" w:type="dxa"/>
            </w:tcMar>
          </w:tcPr>
          <w:p w:rsidR="00000000" w:rsidP="00424A64">
            <w:pPr>
              <w:pStyle w:val="BodyText"/>
              <w:rPr>
                <w:lang w:val="en-NZ"/>
              </w:rPr>
            </w:pPr>
            <w:r w:rsidRPr="00424A64">
              <w:rPr>
                <w:rStyle w:val="SpecialBold"/>
              </w:rPr>
              <w:t>PERFORMANCE CRITERIA</w:t>
            </w:r>
          </w:p>
        </w:tc>
      </w:tr>
      <w:tr w:rsidTr="00D17BE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424A64">
            <w:pPr>
              <w:pStyle w:val="List"/>
              <w:rPr>
                <w:lang w:val="en-NZ"/>
              </w:rPr>
            </w:pPr>
            <w:r w:rsidRPr="00424A64">
              <w:t>1.</w:t>
            </w:r>
            <w:r w:rsidRPr="00424A64">
              <w:tab/>
            </w:r>
            <w:r w:rsidRPr="00424A64">
              <w:t>Plan and prepare.</w:t>
            </w:r>
          </w:p>
        </w:tc>
        <w:tc>
          <w:tcPr>
            <w:tcW w:w="5915" w:type="dxa"/>
            <w:tcBorders>
              <w:top w:val="nil"/>
              <w:left w:val="nil"/>
              <w:bottom w:val="nil"/>
              <w:right w:val="nil"/>
            </w:tcBorders>
            <w:tcMar>
              <w:top w:w="0" w:type="dxa"/>
              <w:left w:w="62" w:type="dxa"/>
              <w:bottom w:w="0" w:type="dxa"/>
              <w:right w:w="62" w:type="dxa"/>
            </w:tcMar>
          </w:tcPr>
          <w:p w:rsidR="00000000" w:rsidRPr="00424A64" w:rsidP="00424A64">
            <w:pPr>
              <w:pStyle w:val="List2"/>
            </w:pPr>
            <w:r w:rsidRPr="00424A64">
              <w:t>1.1.</w:t>
            </w:r>
            <w:r w:rsidRPr="00424A64">
              <w:tab/>
              <w:t xml:space="preserve">Work instructions and operational details are obtained using relevant </w:t>
            </w:r>
            <w:r w:rsidRPr="00424A64">
              <w:rPr>
                <w:rStyle w:val="BoldandItalics"/>
              </w:rPr>
              <w:t>information</w:t>
            </w:r>
            <w:r w:rsidRPr="00424A64">
              <w:t xml:space="preserve">, confirmed and applied for </w:t>
            </w:r>
            <w:r w:rsidRPr="00424A64">
              <w:rPr>
                <w:rStyle w:val="BoldandItalics"/>
              </w:rPr>
              <w:t>planning and preparation</w:t>
            </w:r>
            <w:r w:rsidRPr="00424A64">
              <w:t xml:space="preserve"> purposes. </w:t>
            </w:r>
          </w:p>
          <w:p w:rsidR="00000000" w:rsidRPr="00424A64" w:rsidP="00424A64">
            <w:pPr>
              <w:pStyle w:val="List2"/>
            </w:pPr>
            <w:r w:rsidRPr="00424A64">
              <w:t>1.2.</w:t>
            </w:r>
            <w:r w:rsidRPr="00424A64">
              <w:tab/>
            </w:r>
            <w:r w:rsidRPr="00424A64">
              <w:rPr>
                <w:rStyle w:val="BoldandItalics"/>
              </w:rPr>
              <w:t>Safety</w:t>
            </w:r>
            <w:r w:rsidRPr="00424A64">
              <w:t xml:space="preserve"> (</w:t>
            </w:r>
            <w:r w:rsidRPr="00424A64">
              <w:rPr>
                <w:rStyle w:val="BoldandItalics"/>
              </w:rPr>
              <w:t>OHS</w:t>
            </w:r>
            <w:r w:rsidRPr="00424A64">
              <w:t>) requirements are followed in accordance with safety plans and policies</w:t>
            </w:r>
            <w:r w:rsidRPr="00424A64">
              <w:t xml:space="preserve">. </w:t>
            </w:r>
          </w:p>
          <w:p w:rsidR="00000000" w:rsidRPr="00424A64" w:rsidP="00424A64">
            <w:pPr>
              <w:pStyle w:val="List2"/>
            </w:pPr>
            <w:r w:rsidRPr="00424A64">
              <w:t>1.3.</w:t>
            </w:r>
            <w:r w:rsidRPr="00424A64">
              <w:tab/>
              <w:t>Signage and barricade requirements are identified and implemented.</w:t>
            </w:r>
          </w:p>
          <w:p w:rsidR="00000000" w:rsidRPr="00424A64" w:rsidP="00424A64">
            <w:pPr>
              <w:pStyle w:val="List2"/>
            </w:pPr>
            <w:r w:rsidRPr="00424A64">
              <w:t>1.4.</w:t>
            </w:r>
            <w:r w:rsidRPr="00424A64">
              <w:tab/>
              <w:t>Tools and equipment selected to carry out tasks are consistent with job requirements, checked for serviceability and any faults are rectified or reported prior to commencement.</w:t>
            </w:r>
          </w:p>
          <w:p w:rsidR="00000000" w:rsidRPr="00424A64" w:rsidP="00424A64">
            <w:pPr>
              <w:pStyle w:val="List2"/>
            </w:pPr>
            <w:r w:rsidRPr="00424A64">
              <w:t>1.5.</w:t>
            </w:r>
            <w:r w:rsidRPr="00424A64">
              <w:tab/>
              <w:t xml:space="preserve">Material quantity requirements are calculated in accordance with plans, specifications and </w:t>
            </w:r>
            <w:r w:rsidRPr="00424A64">
              <w:rPr>
                <w:rStyle w:val="BoldandItalics"/>
              </w:rPr>
              <w:t>quality requirements</w:t>
            </w:r>
            <w:r w:rsidRPr="00424A64">
              <w:t xml:space="preserve">. </w:t>
            </w:r>
          </w:p>
          <w:p w:rsidR="00000000" w:rsidRPr="00424A64" w:rsidP="00424A64">
            <w:pPr>
              <w:pStyle w:val="List2"/>
            </w:pPr>
            <w:r w:rsidRPr="00424A64">
              <w:t>1.6.</w:t>
            </w:r>
            <w:r w:rsidRPr="00424A64">
              <w:tab/>
            </w:r>
            <w:r w:rsidRPr="00424A64">
              <w:rPr>
                <w:rStyle w:val="BoldandItalics"/>
              </w:rPr>
              <w:t>Materials</w:t>
            </w:r>
            <w:r w:rsidRPr="00424A64">
              <w:t xml:space="preserve"> appropriate to the work application are identified, obtained, prepared, safely handled and located ready for use. </w:t>
            </w:r>
          </w:p>
          <w:p w:rsidR="00000000" w:rsidP="00424A64">
            <w:pPr>
              <w:pStyle w:val="List2"/>
              <w:rPr>
                <w:lang w:val="en-NZ"/>
              </w:rPr>
            </w:pPr>
            <w:r w:rsidRPr="00424A64">
              <w:t>1.7.</w:t>
            </w:r>
            <w:r w:rsidRPr="00424A64">
              <w:tab/>
            </w:r>
            <w:r w:rsidRPr="00424A64">
              <w:rPr>
                <w:rStyle w:val="BoldandItalics"/>
              </w:rPr>
              <w:t>E</w:t>
            </w:r>
            <w:r w:rsidRPr="00424A64">
              <w:rPr>
                <w:rStyle w:val="BoldandItalics"/>
              </w:rPr>
              <w:t>nvironmental requirements</w:t>
            </w:r>
            <w:r w:rsidRPr="00424A64">
              <w:t xml:space="preserve"> are identified for the project in accordance with environmental plans and </w:t>
            </w:r>
            <w:r w:rsidRPr="00424A64">
              <w:rPr>
                <w:rStyle w:val="BoldandItalics"/>
              </w:rPr>
              <w:t>statutory and regulatory authority</w:t>
            </w:r>
            <w:r w:rsidRPr="00424A64">
              <w:t xml:space="preserve"> requirements, and are applied. </w:t>
            </w:r>
          </w:p>
        </w:tc>
      </w:tr>
      <w:tr w:rsidTr="00D17BE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424A64">
            <w:pPr>
              <w:pStyle w:val="List"/>
              <w:rPr>
                <w:lang w:val="en-NZ"/>
              </w:rPr>
            </w:pPr>
            <w:r w:rsidRPr="00424A64">
              <w:t>2.</w:t>
            </w:r>
            <w:r w:rsidRPr="00424A64">
              <w:tab/>
              <w:t>Carry out data input adjustments.</w:t>
            </w:r>
          </w:p>
        </w:tc>
        <w:tc>
          <w:tcPr>
            <w:tcW w:w="5915" w:type="dxa"/>
            <w:tcBorders>
              <w:top w:val="nil"/>
              <w:left w:val="nil"/>
              <w:bottom w:val="nil"/>
              <w:right w:val="nil"/>
            </w:tcBorders>
            <w:tcMar>
              <w:top w:w="0" w:type="dxa"/>
              <w:left w:w="62" w:type="dxa"/>
              <w:bottom w:w="0" w:type="dxa"/>
              <w:right w:w="62" w:type="dxa"/>
            </w:tcMar>
          </w:tcPr>
          <w:p w:rsidR="00000000" w:rsidRPr="00424A64" w:rsidP="00424A64">
            <w:pPr>
              <w:pStyle w:val="List2"/>
            </w:pPr>
            <w:r w:rsidRPr="00424A64">
              <w:t>2.1.</w:t>
            </w:r>
            <w:r w:rsidRPr="00424A64">
              <w:tab/>
            </w:r>
            <w:r w:rsidRPr="00424A64">
              <w:t>Programming terms, methods and data storage capacity are determined and stated consistent with job requirements and machine specifications.</w:t>
            </w:r>
          </w:p>
          <w:p w:rsidR="00000000" w:rsidRPr="00424A64" w:rsidP="00424A64">
            <w:pPr>
              <w:pStyle w:val="List2"/>
            </w:pPr>
            <w:r w:rsidRPr="00424A64">
              <w:t>2.2.</w:t>
            </w:r>
            <w:r w:rsidRPr="00424A64">
              <w:tab/>
              <w:t>Program is edited to produce straight and circular tool movements, compensating for tool profiles.</w:t>
            </w:r>
          </w:p>
          <w:p w:rsidR="00000000" w:rsidP="00424A64">
            <w:pPr>
              <w:pStyle w:val="List2"/>
              <w:rPr>
                <w:lang w:val="en-NZ"/>
              </w:rPr>
            </w:pPr>
            <w:r w:rsidRPr="00424A64">
              <w:t>2.3.</w:t>
            </w:r>
            <w:r w:rsidRPr="00424A64">
              <w:tab/>
              <w:t>Program</w:t>
            </w:r>
            <w:r w:rsidRPr="00424A64">
              <w:t xml:space="preserve"> is entered.</w:t>
            </w:r>
          </w:p>
        </w:tc>
      </w:tr>
      <w:tr w:rsidTr="00D17BE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424A64">
            <w:pPr>
              <w:pStyle w:val="List"/>
              <w:rPr>
                <w:lang w:val="en-NZ"/>
              </w:rPr>
            </w:pPr>
            <w:r w:rsidRPr="00424A64">
              <w:t>3.</w:t>
            </w:r>
            <w:r w:rsidRPr="00424A64">
              <w:tab/>
              <w:t>Transfer program to machine control.</w:t>
            </w:r>
          </w:p>
        </w:tc>
        <w:tc>
          <w:tcPr>
            <w:tcW w:w="5915" w:type="dxa"/>
            <w:tcBorders>
              <w:top w:val="nil"/>
              <w:left w:val="nil"/>
              <w:bottom w:val="nil"/>
              <w:right w:val="nil"/>
            </w:tcBorders>
            <w:tcMar>
              <w:top w:w="0" w:type="dxa"/>
              <w:left w:w="62" w:type="dxa"/>
              <w:bottom w:w="0" w:type="dxa"/>
              <w:right w:w="62" w:type="dxa"/>
            </w:tcMar>
          </w:tcPr>
          <w:p w:rsidR="00000000" w:rsidRPr="00424A64" w:rsidP="00424A64">
            <w:pPr>
              <w:pStyle w:val="List2"/>
            </w:pPr>
            <w:r w:rsidRPr="00424A64">
              <w:t>3.1.</w:t>
            </w:r>
            <w:r w:rsidRPr="00424A64">
              <w:tab/>
              <w:t>Methods of transferring programs into machine memory are identified and listed.</w:t>
            </w:r>
          </w:p>
          <w:p w:rsidR="00000000" w:rsidP="00424A64">
            <w:pPr>
              <w:pStyle w:val="List2"/>
              <w:rPr>
                <w:lang w:val="en-NZ"/>
              </w:rPr>
            </w:pPr>
            <w:r w:rsidRPr="00424A64">
              <w:t>3.2.</w:t>
            </w:r>
            <w:r w:rsidRPr="00424A64">
              <w:tab/>
              <w:t>Program is loaded into machine memory using appropriate method.</w:t>
            </w:r>
          </w:p>
        </w:tc>
      </w:tr>
      <w:tr w:rsidTr="00D17BE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424A64">
            <w:pPr>
              <w:pStyle w:val="List"/>
              <w:rPr>
                <w:lang w:val="en-NZ"/>
              </w:rPr>
            </w:pPr>
            <w:r w:rsidRPr="00424A64">
              <w:t>4.</w:t>
            </w:r>
            <w:r w:rsidRPr="00424A64">
              <w:tab/>
              <w:t xml:space="preserve">Demonstrate operation of the loaded program </w:t>
            </w:r>
            <w:r w:rsidRPr="00424A64">
              <w:t>to control the machine.</w:t>
            </w:r>
          </w:p>
        </w:tc>
        <w:tc>
          <w:tcPr>
            <w:tcW w:w="5915" w:type="dxa"/>
            <w:tcBorders>
              <w:top w:val="nil"/>
              <w:left w:val="nil"/>
              <w:bottom w:val="nil"/>
              <w:right w:val="nil"/>
            </w:tcBorders>
            <w:tcMar>
              <w:top w:w="0" w:type="dxa"/>
              <w:left w:w="62" w:type="dxa"/>
              <w:bottom w:w="0" w:type="dxa"/>
              <w:right w:w="62" w:type="dxa"/>
            </w:tcMar>
          </w:tcPr>
          <w:p w:rsidR="00000000" w:rsidRPr="00424A64" w:rsidP="00424A64">
            <w:pPr>
              <w:pStyle w:val="List2"/>
            </w:pPr>
            <w:r w:rsidRPr="00424A64">
              <w:t>4.1.</w:t>
            </w:r>
            <w:r w:rsidRPr="00424A64">
              <w:tab/>
            </w:r>
            <w:r w:rsidRPr="00424A64">
              <w:rPr>
                <w:rStyle w:val="BoldandItalics"/>
              </w:rPr>
              <w:t>Program operations</w:t>
            </w:r>
            <w:r w:rsidRPr="00424A64">
              <w:t xml:space="preserve"> are tested through dry run simulation mode, and alarm settings and program are edited where required using the control station. </w:t>
            </w:r>
          </w:p>
          <w:p w:rsidR="00000000" w:rsidP="00424A64">
            <w:pPr>
              <w:pStyle w:val="List2"/>
              <w:rPr>
                <w:lang w:val="en-NZ"/>
              </w:rPr>
            </w:pPr>
            <w:r w:rsidRPr="00424A64">
              <w:t>4.2.</w:t>
            </w:r>
            <w:r w:rsidRPr="00424A64">
              <w:tab/>
              <w:t xml:space="preserve">Specified work piece is produced using automatic mode as per manufacturer </w:t>
            </w:r>
            <w:r w:rsidRPr="00424A64">
              <w:t>specifications.</w:t>
            </w:r>
          </w:p>
        </w:tc>
      </w:tr>
      <w:tr w:rsidTr="00D17BE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424A64">
            <w:pPr>
              <w:pStyle w:val="List"/>
              <w:rPr>
                <w:lang w:val="en-NZ"/>
              </w:rPr>
            </w:pPr>
            <w:r w:rsidRPr="00424A64">
              <w:t>5.</w:t>
            </w:r>
            <w:r w:rsidRPr="00424A64">
              <w:tab/>
              <w:t>Clean up.</w:t>
            </w:r>
          </w:p>
        </w:tc>
        <w:tc>
          <w:tcPr>
            <w:tcW w:w="5915" w:type="dxa"/>
            <w:tcBorders>
              <w:top w:val="nil"/>
              <w:left w:val="nil"/>
              <w:bottom w:val="nil"/>
              <w:right w:val="nil"/>
            </w:tcBorders>
            <w:tcMar>
              <w:top w:w="0" w:type="dxa"/>
              <w:left w:w="62" w:type="dxa"/>
              <w:bottom w:w="0" w:type="dxa"/>
              <w:right w:w="62" w:type="dxa"/>
            </w:tcMar>
          </w:tcPr>
          <w:p w:rsidR="00000000" w:rsidRPr="00424A64" w:rsidP="00424A64">
            <w:pPr>
              <w:pStyle w:val="List2"/>
            </w:pPr>
            <w:r w:rsidRPr="00424A64">
              <w:t>5.1.</w:t>
            </w:r>
            <w:r w:rsidRPr="00424A64">
              <w:tab/>
              <w:t>Debris and waste materials are removed on completion of process.</w:t>
            </w:r>
          </w:p>
          <w:p w:rsidR="00000000" w:rsidRPr="00424A64" w:rsidP="00424A64">
            <w:pPr>
              <w:pStyle w:val="List2"/>
            </w:pPr>
            <w:r w:rsidRPr="00424A64">
              <w:t>5.2.</w:t>
            </w:r>
            <w:r w:rsidRPr="00424A64">
              <w:tab/>
              <w:t>Re-usable and recyclable materials are salvaged and stored.</w:t>
            </w:r>
          </w:p>
          <w:p w:rsidR="00000000" w:rsidRPr="00424A64" w:rsidP="00424A64">
            <w:pPr>
              <w:pStyle w:val="List2"/>
            </w:pPr>
            <w:r w:rsidRPr="00424A64">
              <w:t>5.3.</w:t>
            </w:r>
            <w:r w:rsidRPr="00424A64">
              <w:tab/>
              <w:t>Tools and equipment are cleaned, maintained and stored.</w:t>
            </w:r>
          </w:p>
        </w:tc>
      </w:tr>
    </w:tbl>
    <w:p w:rsidR="00D17BE8" w:rsidP="00424A64">
      <w:pPr>
        <w:pStyle w:val="BodyText"/>
      </w:pPr>
    </w:p>
    <w:p w:rsidR="00D17BE8" w:rsidP="00424A64">
      <w:pPr>
        <w:pStyle w:val="BodyText"/>
      </w:pPr>
    </w:p>
    <w:p w:rsidR="00000000" w:rsidRPr="00424A64" w:rsidP="00424A64">
      <w:pPr>
        <w:pStyle w:val="Heading1"/>
      </w:pPr>
      <w:bookmarkStart w:id="9" w:name="O_258235"/>
      <w:bookmarkEnd w:id="9"/>
      <w:r w:rsidRPr="00424A64">
        <w:t>Required Skills and Knowledge</w:t>
      </w:r>
    </w:p>
    <w:tbl>
      <w:tblPr>
        <w:tblW w:w="0" w:type="auto"/>
        <w:tblLayout w:type="fixed"/>
        <w:tblCellMar>
          <w:left w:w="62" w:type="dxa"/>
          <w:right w:w="62" w:type="dxa"/>
        </w:tblCellMar>
        <w:tblLook w:val="0000"/>
      </w:tblPr>
      <w:tblGrid>
        <w:gridCol w:w="8522"/>
      </w:tblGrid>
      <w:tr w:rsidTr="00D17BE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REQUIRED SKILLS AND KNOWLEDGE</w:t>
            </w:r>
          </w:p>
        </w:tc>
      </w:tr>
      <w:tr w:rsidTr="00D17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t>This section describes the skills and knowledge required for this unit.</w:t>
            </w:r>
          </w:p>
        </w:tc>
      </w:tr>
      <w:tr w:rsidTr="00D17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Required skills</w:t>
            </w:r>
          </w:p>
        </w:tc>
      </w:tr>
      <w:tr w:rsidTr="00D17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Required skills for this unit are:</w:t>
            </w:r>
          </w:p>
          <w:p w:rsidR="00000000" w:rsidRPr="00424A64" w:rsidP="00424A64">
            <w:pPr>
              <w:pStyle w:val="ListBullet"/>
            </w:pPr>
            <w:r w:rsidRPr="00424A64">
              <w:t>ability to recognise procedures, respond to change and contribute to workplace responsibilities, such as current work site environmental or sustainability frameworks or management systems</w:t>
            </w:r>
          </w:p>
          <w:p w:rsidR="00000000" w:rsidRPr="00424A64" w:rsidP="00424A64">
            <w:pPr>
              <w:pStyle w:val="ListBullet"/>
            </w:pPr>
            <w:r w:rsidRPr="00424A64">
              <w:t>communication skills to:</w:t>
            </w:r>
          </w:p>
          <w:p w:rsidR="00000000" w:rsidRPr="00424A64" w:rsidP="00424A64">
            <w:pPr>
              <w:pStyle w:val="ListBullet2"/>
            </w:pPr>
            <w:r w:rsidRPr="00424A64">
              <w:t>enable clear and direct communication, usi</w:t>
            </w:r>
            <w:r w:rsidRPr="00424A64">
              <w:t>ng questioning to identify and confirm requirements, share information, listen and understand</w:t>
            </w:r>
          </w:p>
          <w:p w:rsidR="00000000" w:rsidRPr="00424A64" w:rsidP="00424A64">
            <w:pPr>
              <w:pStyle w:val="ListBullet2"/>
            </w:pPr>
            <w:r w:rsidRPr="00424A64">
              <w:t>follow instructions</w:t>
            </w:r>
          </w:p>
          <w:p w:rsidR="00000000" w:rsidRPr="00424A64" w:rsidP="00424A64">
            <w:pPr>
              <w:pStyle w:val="ListBullet2"/>
            </w:pPr>
            <w:r w:rsidRPr="00424A64">
              <w:t>read and interpret drawings, specifications and job designs</w:t>
            </w:r>
          </w:p>
          <w:p w:rsidR="00000000" w:rsidRPr="00424A64" w:rsidP="00424A64">
            <w:pPr>
              <w:pStyle w:val="ListBullet2"/>
            </w:pPr>
            <w:r w:rsidRPr="00424A64">
              <w:t>use and interpret non-verbal communication</w:t>
            </w:r>
          </w:p>
          <w:p w:rsidR="00000000" w:rsidRPr="00424A64" w:rsidP="00424A64">
            <w:pPr>
              <w:pStyle w:val="ListBullet2"/>
            </w:pPr>
            <w:r w:rsidRPr="00424A64">
              <w:t>use language and concepts appropriate to cultural differences</w:t>
            </w:r>
          </w:p>
          <w:p w:rsidR="00000000" w:rsidRPr="00424A64" w:rsidP="00424A64">
            <w:pPr>
              <w:pStyle w:val="ListBullet"/>
            </w:pPr>
            <w:r w:rsidRPr="00424A64">
              <w:t>basic keyboarding skills</w:t>
            </w:r>
          </w:p>
          <w:p w:rsidR="00000000" w:rsidRPr="00424A64" w:rsidP="00424A64">
            <w:pPr>
              <w:pStyle w:val="ListBullet"/>
            </w:pPr>
            <w:r w:rsidRPr="00424A64">
              <w:t>basic problem and fault-finding skills with software applications</w:t>
            </w:r>
          </w:p>
          <w:p w:rsidR="00000000" w:rsidRPr="00424A64" w:rsidP="00424A64">
            <w:pPr>
              <w:pStyle w:val="ListBullet"/>
            </w:pPr>
            <w:r w:rsidRPr="00424A64">
              <w:t>innovation skills to select appropriate tools and equipment, respond to workplace challenges and put i</w:t>
            </w:r>
            <w:r w:rsidRPr="00424A64">
              <w:t>deas into action</w:t>
            </w:r>
          </w:p>
          <w:p w:rsidR="00000000" w:rsidRPr="00424A64" w:rsidP="00424A64">
            <w:pPr>
              <w:pStyle w:val="ListBullet"/>
            </w:pPr>
            <w:r w:rsidRPr="00424A64">
              <w:t>numeracy skills to apply workplace requirements</w:t>
            </w:r>
          </w:p>
          <w:p w:rsidR="00000000" w:rsidRPr="00424A64" w:rsidP="00424A64">
            <w:pPr>
              <w:pStyle w:val="ListBullet"/>
            </w:pPr>
            <w:r w:rsidRPr="00424A64">
              <w:t>planning and organisational skills to identify requirements, apply relevant resources and sequence tasks</w:t>
            </w:r>
          </w:p>
          <w:p w:rsidR="00000000" w:rsidRPr="00424A64" w:rsidP="00424A64">
            <w:pPr>
              <w:pStyle w:val="ListBullet"/>
            </w:pPr>
            <w:r w:rsidRPr="00424A64">
              <w:t>problem solving skills to recognise and take action to rectify minor faults and proble</w:t>
            </w:r>
            <w:r w:rsidRPr="00424A64">
              <w:t>ms</w:t>
            </w:r>
          </w:p>
          <w:p w:rsidR="00000000" w:rsidP="00424A64">
            <w:pPr>
              <w:pStyle w:val="ListBullet"/>
              <w:rPr>
                <w:lang w:val="en-NZ"/>
              </w:rPr>
            </w:pPr>
            <w:r w:rsidRPr="00424A64">
              <w:t>teamwork skills to be able to work with others to action tasks and relate to people from a range of cultural, social, ethnic backgrounds and with varying physical and mental abilities.</w:t>
            </w:r>
          </w:p>
        </w:tc>
      </w:tr>
      <w:tr w:rsidTr="00D17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Required knowledge</w:t>
            </w:r>
          </w:p>
        </w:tc>
      </w:tr>
      <w:tr w:rsidTr="00D17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Required knowledge for this unit is:</w:t>
            </w:r>
          </w:p>
          <w:p w:rsidR="00000000" w:rsidRPr="00424A64" w:rsidP="00424A64">
            <w:pPr>
              <w:pStyle w:val="ListBullet"/>
            </w:pPr>
            <w:r w:rsidRPr="00424A64">
              <w:t>construction materials and their characteristics</w:t>
            </w:r>
          </w:p>
          <w:p w:rsidR="00000000" w:rsidRPr="00424A64" w:rsidP="00424A64">
            <w:pPr>
              <w:pStyle w:val="ListBullet"/>
            </w:pPr>
            <w:r w:rsidRPr="00424A64">
              <w:t>hardware requirements for relevant software</w:t>
            </w:r>
          </w:p>
          <w:p w:rsidR="00000000" w:rsidRPr="00424A64" w:rsidP="00424A64">
            <w:pPr>
              <w:pStyle w:val="ListBullet"/>
            </w:pPr>
            <w:r w:rsidRPr="00424A64">
              <w:t>job safety analysis (JSA) and safe work method statements</w:t>
            </w:r>
          </w:p>
          <w:p w:rsidR="00000000" w:rsidRPr="00424A64" w:rsidP="00424A64">
            <w:pPr>
              <w:pStyle w:val="ListBullet"/>
            </w:pPr>
            <w:r w:rsidRPr="00424A64">
              <w:t>measuring techniques relevant to dimensions and shape</w:t>
            </w:r>
          </w:p>
          <w:p w:rsidR="00000000" w:rsidRPr="00424A64" w:rsidP="00424A64">
            <w:pPr>
              <w:pStyle w:val="ListBullet"/>
            </w:pPr>
            <w:r w:rsidRPr="00424A64">
              <w:t>range of software applications appropriate to compu</w:t>
            </w:r>
            <w:r w:rsidRPr="00424A64">
              <w:t>ter numerically-controlled (CNC) equipment</w:t>
            </w:r>
          </w:p>
          <w:p w:rsidR="00000000" w:rsidRPr="00424A64" w:rsidP="00424A64">
            <w:pPr>
              <w:pStyle w:val="ListBullet"/>
            </w:pPr>
            <w:r w:rsidRPr="00424A64">
              <w:t>types and uses of computer-controlled machinery</w:t>
            </w:r>
          </w:p>
          <w:p w:rsidR="00000000" w:rsidRPr="00424A64" w:rsidP="00424A64">
            <w:pPr>
              <w:pStyle w:val="ListBullet"/>
            </w:pPr>
            <w:r w:rsidRPr="00424A64">
              <w:t>types of static machines and machining processes</w:t>
            </w:r>
          </w:p>
          <w:p w:rsidR="00000000" w:rsidRPr="00424A64" w:rsidP="00424A64">
            <w:pPr>
              <w:pStyle w:val="ListBullet"/>
            </w:pPr>
            <w:r w:rsidRPr="00424A64">
              <w:t>workplace and equipment safety requirements.</w:t>
            </w:r>
          </w:p>
        </w:tc>
      </w:tr>
    </w:tbl>
    <w:p w:rsidR="00D17BE8" w:rsidP="00424A64">
      <w:pPr>
        <w:pStyle w:val="BodyText"/>
      </w:pPr>
    </w:p>
    <w:p w:rsidR="00D17BE8" w:rsidP="00424A64">
      <w:pPr>
        <w:pStyle w:val="BodyText"/>
      </w:pPr>
    </w:p>
    <w:p w:rsidR="00000000" w:rsidRPr="00424A64" w:rsidP="00424A64">
      <w:pPr>
        <w:pStyle w:val="AllowPageBreak"/>
      </w:pPr>
    </w:p>
    <w:p w:rsidR="00000000" w:rsidRPr="00424A64" w:rsidP="00424A64">
      <w:pPr>
        <w:pStyle w:val="Heading1"/>
      </w:pPr>
      <w:bookmarkStart w:id="10" w:name="O_242269"/>
      <w:bookmarkEnd w:id="10"/>
      <w:r w:rsidRPr="00424A64">
        <w:t>Evidence Guide</w:t>
      </w:r>
    </w:p>
    <w:tbl>
      <w:tblPr>
        <w:tblW w:w="0" w:type="auto"/>
        <w:tblLayout w:type="fixed"/>
        <w:tblCellMar>
          <w:left w:w="62" w:type="dxa"/>
          <w:right w:w="62" w:type="dxa"/>
        </w:tblCellMar>
        <w:tblLook w:val="0000"/>
      </w:tblPr>
      <w:tblGrid>
        <w:gridCol w:w="3508"/>
        <w:gridCol w:w="5014"/>
      </w:tblGrid>
      <w:tr w:rsidTr="00D17BE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4A64">
            <w:pPr>
              <w:pStyle w:val="BodyText"/>
              <w:rPr>
                <w:lang w:val="en-NZ"/>
              </w:rPr>
            </w:pPr>
            <w:r w:rsidRPr="00424A64">
              <w:rPr>
                <w:rStyle w:val="SpecialBold"/>
              </w:rPr>
              <w:t>EVIDENCE GUIDE</w:t>
            </w:r>
          </w:p>
        </w:tc>
      </w:tr>
      <w:tr w:rsidTr="00D17BE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4A64">
            <w:pPr>
              <w:pStyle w:val="BodyText"/>
              <w:rPr>
                <w:lang w:val="en-NZ"/>
              </w:rPr>
            </w:pPr>
            <w:r w:rsidRPr="00424A64">
              <w:t>The evidence guide provides advice on assessment and must be read in conjunction with the performance criteria, required skills and knowledge, range statement and the Assessment Guidelines for the Training Package.</w:t>
            </w:r>
          </w:p>
        </w:tc>
      </w:tr>
      <w:tr w:rsidTr="00D17BE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t>This unit of com</w:t>
            </w:r>
            <w:r w:rsidRPr="00424A64">
              <w:t>petency could be assessed in the workplace or a close simulation of the workplace environment, provided that simulated or project-based assessment techniques fully replicate construction workplace conditions, materials, activities, responsibilities and pro</w:t>
            </w:r>
            <w:r w:rsidRPr="00424A64">
              <w:t xml:space="preserve">cedures. </w:t>
            </w:r>
          </w:p>
        </w:tc>
      </w:tr>
      <w:tr w:rsidTr="00D17BE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A person who demonstrates competency in this unit must be able to provide evidence of the ability to produce two separate components using any of the ma</w:t>
            </w:r>
            <w:r w:rsidRPr="00424A64">
              <w:t>terials listed in the range statement, providing evidence of the ability to:</w:t>
            </w:r>
          </w:p>
          <w:p w:rsidR="00000000" w:rsidRPr="00424A64" w:rsidP="00424A64">
            <w:pPr>
              <w:pStyle w:val="ListBullet"/>
            </w:pPr>
            <w:r w:rsidRPr="00424A64">
              <w:t>comply with OHS regulations applicable to workplace operations</w:t>
            </w:r>
          </w:p>
          <w:p w:rsidR="00000000" w:rsidRPr="00424A64" w:rsidP="00424A64">
            <w:pPr>
              <w:pStyle w:val="ListBullet"/>
            </w:pPr>
            <w:r w:rsidRPr="00424A64">
              <w:t>select and use appropriate processes, tools and equipment consistent with requirements of activity</w:t>
            </w:r>
          </w:p>
          <w:p w:rsidR="00000000" w:rsidRPr="00424A64" w:rsidP="00424A64">
            <w:pPr>
              <w:pStyle w:val="ListBullet"/>
            </w:pPr>
            <w:r w:rsidRPr="00424A64">
              <w:t>apply organisational quality procedures and processes within the context of operating computer-controlled machinery</w:t>
            </w:r>
          </w:p>
          <w:p w:rsidR="00000000" w:rsidRPr="00424A64" w:rsidP="00424A64">
            <w:pPr>
              <w:pStyle w:val="ListBullet"/>
            </w:pPr>
            <w:r w:rsidRPr="00424A64">
              <w:t>select and correctly apply program opening and shut-down procedures</w:t>
            </w:r>
          </w:p>
          <w:p w:rsidR="00000000" w:rsidRPr="00424A64" w:rsidP="00424A64">
            <w:pPr>
              <w:pStyle w:val="ListBullet"/>
            </w:pPr>
            <w:r w:rsidRPr="00424A64">
              <w:t>demonstrate correct procedures to provide data input to achieve requirem</w:t>
            </w:r>
            <w:r w:rsidRPr="00424A64">
              <w:t>ents of job</w:t>
            </w:r>
          </w:p>
          <w:p w:rsidR="00000000" w:rsidRPr="00424A64" w:rsidP="00424A64">
            <w:pPr>
              <w:pStyle w:val="ListBullet"/>
            </w:pPr>
            <w:r w:rsidRPr="00424A64">
              <w:t>demonstrate sound procedures with machine operated through a reduced speed dry run to check functions and alarms</w:t>
            </w:r>
          </w:p>
          <w:p w:rsidR="00000000" w:rsidRPr="00424A64" w:rsidP="00424A64">
            <w:pPr>
              <w:pStyle w:val="ListBullet"/>
            </w:pPr>
            <w:r w:rsidRPr="00424A64">
              <w:t>produce products to design in accordance with job specifications and drawings</w:t>
            </w:r>
          </w:p>
          <w:p w:rsidR="00000000" w:rsidRPr="00424A64" w:rsidP="00424A64">
            <w:pPr>
              <w:pStyle w:val="ListBullet"/>
            </w:pPr>
            <w:r w:rsidRPr="00424A64">
              <w:t xml:space="preserve">communicate with others to ensure safe and effective </w:t>
            </w:r>
            <w:r w:rsidRPr="00424A64">
              <w:t>workplace operations</w:t>
            </w:r>
          </w:p>
          <w:p w:rsidR="00000000" w:rsidP="00424A64">
            <w:pPr>
              <w:pStyle w:val="ListBullet"/>
              <w:rPr>
                <w:lang w:val="en-NZ"/>
              </w:rPr>
            </w:pPr>
            <w:r w:rsidRPr="00424A64">
              <w:t>identify typical faults and problems that may occur and action required to rectify them.</w:t>
            </w:r>
          </w:p>
        </w:tc>
      </w:tr>
      <w:tr w:rsidTr="00D17BE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This competency is to be assessed using standard and authorised work practices, safety requirements and environmental constraints.</w:t>
            </w:r>
          </w:p>
          <w:p w:rsidR="00000000" w:rsidRPr="00424A64" w:rsidP="00424A64">
            <w:pPr>
              <w:pStyle w:val="BodyText"/>
            </w:pPr>
            <w:r w:rsidRPr="00424A64">
              <w:t>Assessment of essential underpinning knowledge will usually be conducted in an off-site context.</w:t>
            </w:r>
          </w:p>
          <w:p w:rsidR="00000000" w:rsidRPr="00424A64" w:rsidP="00424A64">
            <w:pPr>
              <w:pStyle w:val="BodyText"/>
            </w:pPr>
            <w:r w:rsidRPr="00424A64">
              <w:t>Assessment is to comply with</w:t>
            </w:r>
            <w:r w:rsidRPr="00424A64">
              <w:t xml:space="preserve"> relevant regulatory or Australian standards' requirements.</w:t>
            </w:r>
          </w:p>
          <w:p w:rsidR="00000000" w:rsidRPr="00424A64" w:rsidP="00424A64">
            <w:pPr>
              <w:pStyle w:val="BodyText"/>
            </w:pPr>
            <w:r w:rsidRPr="00424A64">
              <w:t>Resource implications for assessment include:</w:t>
            </w:r>
          </w:p>
          <w:p w:rsidR="00000000" w:rsidRPr="00424A64" w:rsidP="00424A64">
            <w:pPr>
              <w:pStyle w:val="ListBullet"/>
            </w:pPr>
            <w:r w:rsidRPr="00424A64">
              <w:t>CNC machinery applicable to proposed activity</w:t>
            </w:r>
          </w:p>
          <w:p w:rsidR="00000000" w:rsidRPr="00424A64" w:rsidP="00424A64">
            <w:pPr>
              <w:pStyle w:val="ListBullet"/>
            </w:pPr>
            <w:r w:rsidRPr="00424A64">
              <w:t>range of cutters, heads and required tools and equipment</w:t>
            </w:r>
          </w:p>
          <w:p w:rsidR="00000000" w:rsidRPr="00424A64" w:rsidP="00424A64">
            <w:pPr>
              <w:pStyle w:val="ListBullet"/>
            </w:pPr>
            <w:r w:rsidRPr="00424A64">
              <w:t>machining projects and specifications relevant to activity</w:t>
            </w:r>
          </w:p>
          <w:p w:rsidR="00000000" w:rsidRPr="00424A64" w:rsidP="00424A64">
            <w:pPr>
              <w:pStyle w:val="ListBullet"/>
            </w:pPr>
            <w:r w:rsidRPr="00424A64">
              <w:t>data and software programs relevant to application activity</w:t>
            </w:r>
          </w:p>
          <w:p w:rsidR="00000000" w:rsidRPr="00424A64" w:rsidP="00424A64">
            <w:pPr>
              <w:pStyle w:val="ListBullet"/>
            </w:pPr>
            <w:r w:rsidRPr="00424A64">
              <w:t>material applicable to activity.</w:t>
            </w:r>
          </w:p>
          <w:p w:rsidR="00000000" w:rsidP="00424A64">
            <w:pPr>
              <w:pStyle w:val="BodyText"/>
              <w:rPr>
                <w:lang w:val="en-NZ"/>
              </w:rPr>
            </w:pPr>
            <w:r w:rsidRPr="00424A64">
              <w:t>Reasonable adjustments for people with disabilities must be made to assessment processes where required.</w:t>
            </w:r>
            <w:r w:rsidRPr="00424A64">
              <w:t xml:space="preserve"> This could include access to modified equipment and other physical resources, and the provision of appropriate assessment support. </w:t>
            </w:r>
          </w:p>
        </w:tc>
      </w:tr>
      <w:tr w:rsidTr="00D17BE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Assessment methods must:</w:t>
            </w:r>
          </w:p>
          <w:p w:rsidR="00000000" w:rsidRPr="00424A64" w:rsidP="00424A64">
            <w:pPr>
              <w:pStyle w:val="ListBullet"/>
            </w:pPr>
            <w:r w:rsidRPr="00424A64">
              <w:t>satisfy the endorsed Assessment Guidelines of the Construction, Plumbing an</w:t>
            </w:r>
            <w:r w:rsidRPr="00424A64">
              <w:t>d Services Training Package</w:t>
            </w:r>
          </w:p>
          <w:p w:rsidR="00000000" w:rsidRPr="00424A64" w:rsidP="00424A64">
            <w:pPr>
              <w:pStyle w:val="ListBullet"/>
            </w:pPr>
            <w:r w:rsidRPr="00424A64">
              <w:t>include direct observation of tasks in real or simulated work conditions, with questioning to confirm the ability to consistently identify and correctly interpret the essential underpinning knowledge required for practical appli</w:t>
            </w:r>
            <w:r w:rsidRPr="00424A64">
              <w:t>cation</w:t>
            </w:r>
          </w:p>
          <w:p w:rsidR="00000000" w:rsidRPr="00424A64" w:rsidP="00424A64">
            <w:pPr>
              <w:pStyle w:val="ListBullet"/>
            </w:pPr>
            <w:r w:rsidRPr="00424A64">
              <w:t>reinforce the integration of employability skills with workplace tasks and job roles</w:t>
            </w:r>
          </w:p>
          <w:p w:rsidR="00000000" w:rsidRPr="00424A64" w:rsidP="00424A64">
            <w:pPr>
              <w:pStyle w:val="ListBullet"/>
            </w:pPr>
            <w:r w:rsidRPr="00424A64">
              <w:t>confirm a reasonable inference that competency is not only verified under the particular assessment circumstance, but is able to be transferred to other circumstanc</w:t>
            </w:r>
            <w:r w:rsidRPr="00424A64">
              <w:t>es and environments.</w:t>
            </w:r>
          </w:p>
          <w:p w:rsidR="00000000" w:rsidRPr="00424A64" w:rsidP="00424A64">
            <w:pPr>
              <w:pStyle w:val="BodyText"/>
            </w:pPr>
            <w:r w:rsidRPr="00424A64">
              <w:t>Validity and sufficiency of evidence requires that:</w:t>
            </w:r>
          </w:p>
          <w:p w:rsidR="00000000" w:rsidRPr="00424A64" w:rsidP="00424A64">
            <w:pPr>
              <w:pStyle w:val="ListBullet"/>
            </w:pPr>
            <w:r w:rsidRPr="00424A64">
              <w:t>competency will need to be demonstrated over a period of time reflecting the scope of the role and practical requirements of the workplace</w:t>
            </w:r>
          </w:p>
          <w:p w:rsidR="00000000" w:rsidRPr="00424A64" w:rsidP="00424A64">
            <w:pPr>
              <w:pStyle w:val="ListBullet"/>
            </w:pPr>
            <w:r w:rsidRPr="00424A64">
              <w:t>where the assessment is part of a structure</w:t>
            </w:r>
            <w:r w:rsidRPr="00424A64">
              <w:t>d learning experience the evidence collected must relate to a number of performances assessed at different points in time and separated by further learning and practice with a decision on competency only taken at the point when the assessor has complete co</w:t>
            </w:r>
            <w:r w:rsidRPr="00424A64">
              <w:t>nfidence in the person's demonstrated ability and applied knowledge</w:t>
            </w:r>
          </w:p>
          <w:p w:rsidR="00000000" w:rsidRPr="00424A64" w:rsidP="00424A64">
            <w:pPr>
              <w:pStyle w:val="ListBullet"/>
            </w:pPr>
            <w:r w:rsidRPr="00424A64">
              <w:t>all assessment that is part of a structured learning experience must include a combination of direct, indirect and supplementary evidence.</w:t>
            </w:r>
          </w:p>
          <w:p w:rsidR="00000000" w:rsidRPr="00424A64" w:rsidP="00424A64">
            <w:pPr>
              <w:pStyle w:val="BodyText"/>
            </w:pPr>
            <w:r w:rsidRPr="00424A64">
              <w:t>Assessment processes and techniques should, as far as is practical, take into account the language, literacy and numeracy capacity of the candidate in relation to the competency being assessed.</w:t>
            </w:r>
          </w:p>
          <w:p w:rsidR="00000000" w:rsidRPr="00424A64" w:rsidP="00424A64">
            <w:pPr>
              <w:pStyle w:val="BodyText"/>
            </w:pPr>
            <w:r w:rsidRPr="00424A64">
              <w:t>Supplementary evidence of competency may be obtained from rele</w:t>
            </w:r>
            <w:r w:rsidRPr="00424A64">
              <w:t xml:space="preserve">vant authenticated documentation from third parties, such as existing supervisors, team leaders or specialist training staff. </w:t>
            </w:r>
          </w:p>
        </w:tc>
      </w:tr>
    </w:tbl>
    <w:p w:rsidR="00D17BE8" w:rsidP="00424A64">
      <w:pPr>
        <w:pStyle w:val="BodyText"/>
      </w:pPr>
    </w:p>
    <w:p w:rsidR="00D17BE8" w:rsidP="00424A64">
      <w:pPr>
        <w:pStyle w:val="BodyText"/>
      </w:pPr>
    </w:p>
    <w:p w:rsidR="00000000" w:rsidRPr="00424A64" w:rsidP="00424A64">
      <w:pPr>
        <w:pStyle w:val="Heading1"/>
      </w:pPr>
      <w:bookmarkStart w:id="11" w:name="O_250252"/>
      <w:bookmarkEnd w:id="11"/>
      <w:r w:rsidRPr="00424A64">
        <w:t>Range Statement</w:t>
      </w:r>
    </w:p>
    <w:tbl>
      <w:tblPr>
        <w:tblW w:w="0" w:type="auto"/>
        <w:tblLayout w:type="fixed"/>
        <w:tblCellMar>
          <w:left w:w="62" w:type="dxa"/>
          <w:right w:w="62" w:type="dxa"/>
        </w:tblCellMar>
        <w:tblLook w:val="0000"/>
      </w:tblPr>
      <w:tblGrid>
        <w:gridCol w:w="3481"/>
        <w:gridCol w:w="5041"/>
      </w:tblGrid>
      <w:tr w:rsidTr="00D17BE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4A64">
            <w:pPr>
              <w:pStyle w:val="BodyText"/>
              <w:rPr>
                <w:lang w:val="en-NZ"/>
              </w:rPr>
            </w:pPr>
            <w:r w:rsidRPr="00424A64">
              <w:rPr>
                <w:rStyle w:val="SpecialBold"/>
              </w:rPr>
              <w:t>RANGE STATEMENT</w:t>
            </w:r>
          </w:p>
        </w:tc>
      </w:tr>
      <w:tr w:rsidTr="00D17BE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4A64">
            <w:pPr>
              <w:pStyle w:val="BodyText"/>
              <w:rPr>
                <w:lang w:val="en-NZ"/>
              </w:rPr>
            </w:pPr>
            <w:r w:rsidRPr="00424A64">
              <w:t>The range statement relates to the unit of competency as a whole. It allows for different work environments and situations that may affect performance. Bold italicised wording, if used in the performance criteria, is detailed below. Essential operating con</w:t>
            </w:r>
            <w:r w:rsidRPr="00424A64">
              <w:t>ditions that may be present with training and assessment (depending on the work situation, needs of the candidate, accessibility of the item, and local industry and regional contexts) may also be included.</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Information</w:t>
            </w:r>
            <w:r w:rsidRPr="00424A64">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diagrams or sketches</w:t>
            </w:r>
          </w:p>
          <w:p w:rsidR="00000000" w:rsidRPr="00424A64" w:rsidP="00424A64">
            <w:pPr>
              <w:pStyle w:val="ListBullet"/>
            </w:pPr>
            <w:r w:rsidRPr="00424A64">
              <w:t>instructions issued by authorised organisational or external personnel</w:t>
            </w:r>
          </w:p>
          <w:p w:rsidR="00000000" w:rsidRPr="00424A64" w:rsidP="00424A64">
            <w:pPr>
              <w:pStyle w:val="ListBullet"/>
            </w:pPr>
            <w:r w:rsidRPr="00424A64">
              <w:t>manufacturer specifications and instructions, where specified</w:t>
            </w:r>
          </w:p>
          <w:p w:rsidR="00000000" w:rsidRPr="00424A64" w:rsidP="00424A64">
            <w:pPr>
              <w:pStyle w:val="ListBullet"/>
            </w:pPr>
            <w:r w:rsidRPr="00424A64">
              <w:t>material safety data sheets (MSDS)</w:t>
            </w:r>
          </w:p>
          <w:p w:rsidR="00000000" w:rsidRPr="00424A64" w:rsidP="00424A64">
            <w:pPr>
              <w:pStyle w:val="ListBullet"/>
            </w:pPr>
            <w:r w:rsidRPr="00424A64">
              <w:t>memos</w:t>
            </w:r>
          </w:p>
          <w:p w:rsidR="00000000" w:rsidRPr="00424A64" w:rsidP="00424A64">
            <w:pPr>
              <w:pStyle w:val="ListBullet"/>
            </w:pPr>
            <w:r w:rsidRPr="00424A64">
              <w:t>regulatory and legislative requirements pertaining to use computer-controlled mach</w:t>
            </w:r>
            <w:r w:rsidRPr="00424A64">
              <w:t xml:space="preserve">inery </w:t>
            </w:r>
          </w:p>
          <w:p w:rsidR="00000000" w:rsidRPr="00424A64" w:rsidP="00424A64">
            <w:pPr>
              <w:pStyle w:val="ListBullet"/>
            </w:pPr>
            <w:r w:rsidRPr="00424A64">
              <w:t>relevant Australian standards</w:t>
            </w:r>
          </w:p>
          <w:p w:rsidR="00000000" w:rsidRPr="00424A64" w:rsidP="00424A64">
            <w:pPr>
              <w:pStyle w:val="ListBullet"/>
            </w:pPr>
            <w:r w:rsidRPr="00424A64">
              <w:t xml:space="preserve">safe work procedures relating to use computer-controlled machinery </w:t>
            </w:r>
          </w:p>
          <w:p w:rsidR="00000000" w:rsidRPr="00424A64" w:rsidP="00424A64">
            <w:pPr>
              <w:pStyle w:val="ListBullet"/>
            </w:pPr>
            <w:r w:rsidRPr="00424A64">
              <w:t>signage</w:t>
            </w:r>
          </w:p>
          <w:p w:rsidR="00000000" w:rsidRPr="00424A64" w:rsidP="00424A64">
            <w:pPr>
              <w:pStyle w:val="ListBullet"/>
            </w:pPr>
            <w:r w:rsidRPr="00424A64">
              <w:t>verbal, written and graphical instructions</w:t>
            </w:r>
          </w:p>
          <w:p w:rsidR="00000000" w:rsidRPr="00424A64" w:rsidP="00424A64">
            <w:pPr>
              <w:pStyle w:val="ListBullet"/>
            </w:pPr>
            <w:r w:rsidRPr="00424A64">
              <w:t>work bulletins</w:t>
            </w:r>
          </w:p>
          <w:p w:rsidR="00000000" w:rsidP="00424A64">
            <w:pPr>
              <w:pStyle w:val="ListBullet"/>
              <w:rPr>
                <w:lang w:val="en-NZ"/>
              </w:rPr>
            </w:pPr>
            <w:r w:rsidRPr="00424A64">
              <w:t>work schedules, plans and specifications.</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Planning and preparation</w:t>
            </w:r>
            <w:r w:rsidRPr="00424A6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assess</w:t>
            </w:r>
            <w:r w:rsidRPr="00424A64">
              <w:t>ment of conditions and hazards</w:t>
            </w:r>
          </w:p>
          <w:p w:rsidR="00000000" w:rsidRPr="00424A64" w:rsidP="00424A64">
            <w:pPr>
              <w:pStyle w:val="ListBullet"/>
            </w:pPr>
            <w:r w:rsidRPr="00424A64">
              <w:t>determination of work requirements and safety plans and policies</w:t>
            </w:r>
          </w:p>
          <w:p w:rsidR="00000000" w:rsidRPr="00424A64" w:rsidP="00424A64">
            <w:pPr>
              <w:pStyle w:val="ListBullet"/>
            </w:pPr>
            <w:r w:rsidRPr="00424A64">
              <w:t>equipment defect identification</w:t>
            </w:r>
          </w:p>
          <w:p w:rsidR="00000000" w:rsidP="00424A64">
            <w:pPr>
              <w:pStyle w:val="ListBullet"/>
              <w:rPr>
                <w:lang w:val="en-NZ"/>
              </w:rPr>
            </w:pPr>
            <w:r w:rsidRPr="00424A64">
              <w:t>work site inspection.</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Safety</w:t>
            </w:r>
            <w:r w:rsidRPr="00424A64">
              <w:t xml:space="preserve"> (</w:t>
            </w:r>
            <w:r w:rsidRPr="00424A64">
              <w:rPr>
                <w:rStyle w:val="BoldandItalics"/>
              </w:rPr>
              <w:t>OHS</w:t>
            </w:r>
            <w:r w:rsidRPr="00424A64">
              <w:t xml:space="preserve">) is to </w:t>
            </w:r>
            <w:r w:rsidRPr="00424A64">
              <w:t xml:space="preserve">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emergency procedures, including extinguishing fires, organisational first aid requirements and evacuation</w:t>
            </w:r>
          </w:p>
          <w:p w:rsidR="00000000" w:rsidRPr="00424A64" w:rsidP="00424A64">
            <w:pPr>
              <w:pStyle w:val="ListBullet"/>
            </w:pPr>
            <w:r w:rsidRPr="00424A64">
              <w:t>hazard control</w:t>
            </w:r>
          </w:p>
          <w:p w:rsidR="00000000" w:rsidRPr="00424A64" w:rsidP="00424A64">
            <w:pPr>
              <w:pStyle w:val="ListBullet"/>
            </w:pPr>
            <w:r w:rsidRPr="00424A64">
              <w:t>hazardous materials an</w:t>
            </w:r>
            <w:r w:rsidRPr="00424A64">
              <w:t>d substances</w:t>
            </w:r>
          </w:p>
          <w:p w:rsidR="00000000" w:rsidRPr="00424A64" w:rsidP="00424A64">
            <w:pPr>
              <w:pStyle w:val="ListBullet"/>
            </w:pPr>
            <w:r w:rsidRPr="00424A64">
              <w:t>organisational first aid</w:t>
            </w:r>
          </w:p>
          <w:p w:rsidR="00000000" w:rsidRPr="00424A64" w:rsidP="00424A64">
            <w:pPr>
              <w:pStyle w:val="ListBullet"/>
            </w:pPr>
            <w:r w:rsidRPr="00424A64">
              <w:t>PPE prescribed under legislation, regulations and workplace policies and practices</w:t>
            </w:r>
          </w:p>
          <w:p w:rsidR="00000000" w:rsidRPr="00424A64" w:rsidP="00424A64">
            <w:pPr>
              <w:pStyle w:val="ListBullet"/>
            </w:pPr>
            <w:r w:rsidRPr="00424A64">
              <w:t>safe operating procedures, including the conduct of operational risk assessment and treatments associated with:</w:t>
            </w:r>
          </w:p>
          <w:p w:rsidR="00000000" w:rsidRPr="00424A64" w:rsidP="00424A64">
            <w:pPr>
              <w:pStyle w:val="ListBullet2"/>
            </w:pPr>
            <w:r w:rsidRPr="00424A64">
              <w:t>concealed services (wa</w:t>
            </w:r>
            <w:r w:rsidRPr="00424A64">
              <w:t>ter, power and gas)</w:t>
            </w:r>
          </w:p>
          <w:p w:rsidR="00000000" w:rsidRPr="00424A64" w:rsidP="00424A64">
            <w:pPr>
              <w:pStyle w:val="ListBullet2"/>
            </w:pPr>
            <w:r w:rsidRPr="00424A64">
              <w:t>lighting</w:t>
            </w:r>
          </w:p>
          <w:p w:rsidR="00000000" w:rsidRPr="00424A64" w:rsidP="00424A64">
            <w:pPr>
              <w:pStyle w:val="ListBullet2"/>
            </w:pPr>
            <w:r w:rsidRPr="00424A64">
              <w:t>restricted access barriers</w:t>
            </w:r>
          </w:p>
          <w:p w:rsidR="00000000" w:rsidRPr="00424A64" w:rsidP="00424A64">
            <w:pPr>
              <w:pStyle w:val="ListBullet2"/>
            </w:pPr>
            <w:r w:rsidRPr="00424A64">
              <w:t>traffic control</w:t>
            </w:r>
          </w:p>
          <w:p w:rsidR="00000000" w:rsidRPr="00424A64" w:rsidP="00424A64">
            <w:pPr>
              <w:pStyle w:val="ListBullet2"/>
            </w:pPr>
            <w:r w:rsidRPr="00424A64">
              <w:t>work site visitors and the public</w:t>
            </w:r>
          </w:p>
          <w:p w:rsidR="00000000" w:rsidRPr="00424A64" w:rsidP="00424A64">
            <w:pPr>
              <w:pStyle w:val="ListBullet2"/>
            </w:pPr>
            <w:r w:rsidRPr="00424A64">
              <w:t>working at heights</w:t>
            </w:r>
          </w:p>
          <w:p w:rsidR="00000000" w:rsidRPr="00424A64" w:rsidP="00424A64">
            <w:pPr>
              <w:pStyle w:val="ListBullet2"/>
            </w:pPr>
            <w:r w:rsidRPr="00424A64">
              <w:t>working in confined spaces</w:t>
            </w:r>
          </w:p>
          <w:p w:rsidR="00000000" w:rsidRPr="00424A64" w:rsidP="00424A64">
            <w:pPr>
              <w:pStyle w:val="ListBullet2"/>
            </w:pPr>
            <w:r w:rsidRPr="00424A64">
              <w:t>working in proximity to others</w:t>
            </w:r>
          </w:p>
          <w:p w:rsidR="00000000" w:rsidRPr="00424A64" w:rsidP="00424A64">
            <w:pPr>
              <w:pStyle w:val="ListBullet"/>
            </w:pPr>
            <w:r w:rsidRPr="00424A64">
              <w:t>use of firefighting equipment</w:t>
            </w:r>
          </w:p>
          <w:p w:rsidR="00000000" w:rsidRPr="00424A64" w:rsidP="00424A64">
            <w:pPr>
              <w:pStyle w:val="ListBullet"/>
            </w:pPr>
            <w:r w:rsidRPr="00424A64">
              <w:t>use of tools and equipment</w:t>
            </w:r>
          </w:p>
          <w:p w:rsidR="00000000" w:rsidP="00424A64">
            <w:pPr>
              <w:pStyle w:val="ListBullet"/>
              <w:rPr>
                <w:lang w:val="en-NZ"/>
              </w:rPr>
            </w:pPr>
            <w:r w:rsidRPr="00424A64">
              <w:t>workplace environmental requirements and safety.</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Quality requirements</w:t>
            </w:r>
            <w:r w:rsidRPr="00424A6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control of handling procedures</w:t>
            </w:r>
          </w:p>
          <w:p w:rsidR="00000000" w:rsidRPr="00424A64" w:rsidP="00424A64">
            <w:pPr>
              <w:pStyle w:val="ListBullet"/>
            </w:pPr>
            <w:r w:rsidRPr="00424A64">
              <w:t>procedures for computer controlled production</w:t>
            </w:r>
          </w:p>
          <w:p w:rsidR="00000000" w:rsidRPr="00424A64" w:rsidP="00424A64">
            <w:pPr>
              <w:pStyle w:val="ListBullet"/>
            </w:pPr>
            <w:r w:rsidRPr="00424A64">
              <w:t>quality of materials</w:t>
            </w:r>
          </w:p>
          <w:p w:rsidR="00000000" w:rsidRPr="00424A64" w:rsidP="00424A64">
            <w:pPr>
              <w:pStyle w:val="ListBullet"/>
            </w:pPr>
            <w:r w:rsidRPr="00424A64">
              <w:t>relevant regulations, including:</w:t>
            </w:r>
          </w:p>
          <w:p w:rsidR="00000000" w:rsidRPr="00424A64" w:rsidP="00424A64">
            <w:pPr>
              <w:pStyle w:val="ListBullet2"/>
            </w:pPr>
            <w:r w:rsidRPr="00424A64">
              <w:t>Australian standards</w:t>
            </w:r>
          </w:p>
          <w:p w:rsidR="00000000" w:rsidRPr="00424A64" w:rsidP="00424A64">
            <w:pPr>
              <w:pStyle w:val="ListBullet2"/>
            </w:pPr>
            <w:r w:rsidRPr="00424A64">
              <w:t>internal company quality policy and standards</w:t>
            </w:r>
          </w:p>
          <w:p w:rsidR="00000000" w:rsidRPr="00424A64" w:rsidP="00424A64">
            <w:pPr>
              <w:pStyle w:val="ListBullet2"/>
            </w:pPr>
            <w:r w:rsidRPr="00424A64">
              <w:t>manufacturer specifications where specified</w:t>
            </w:r>
          </w:p>
          <w:p w:rsidR="00000000" w:rsidRPr="00424A64" w:rsidP="00424A64">
            <w:pPr>
              <w:pStyle w:val="ListBullet2"/>
            </w:pPr>
            <w:r w:rsidRPr="00424A64">
              <w:t>workplace operations and procedures</w:t>
            </w:r>
          </w:p>
          <w:p w:rsidR="00000000" w:rsidRPr="00424A64" w:rsidP="00424A64">
            <w:pPr>
              <w:pStyle w:val="ListBullet"/>
            </w:pPr>
            <w:r w:rsidRPr="00424A64">
              <w:t>use and maintenance of equipment</w:t>
            </w:r>
          </w:p>
          <w:p w:rsidR="00000000" w:rsidP="00424A64">
            <w:pPr>
              <w:pStyle w:val="ListBullet"/>
              <w:rPr>
                <w:lang w:val="en-NZ"/>
              </w:rPr>
            </w:pPr>
            <w:r w:rsidRPr="00424A64">
              <w:t>workplace operations and procedures.</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Materials</w:t>
            </w:r>
            <w:r w:rsidRPr="00424A6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acrylics</w:t>
            </w:r>
          </w:p>
          <w:p w:rsidR="00000000" w:rsidRPr="00424A64" w:rsidP="00424A64">
            <w:pPr>
              <w:pStyle w:val="ListBullet"/>
            </w:pPr>
            <w:r w:rsidRPr="00424A64">
              <w:t>medium density fibreboard (MDF)</w:t>
            </w:r>
          </w:p>
          <w:p w:rsidR="00000000" w:rsidP="00424A64">
            <w:pPr>
              <w:pStyle w:val="ListBullet"/>
              <w:rPr>
                <w:lang w:val="en-NZ"/>
              </w:rPr>
            </w:pPr>
            <w:r w:rsidRPr="00424A64">
              <w:t>timber.</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Environmental requirements</w:t>
            </w:r>
            <w:r w:rsidRPr="00424A6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clean-up management</w:t>
            </w:r>
          </w:p>
          <w:p w:rsidR="00000000" w:rsidRPr="00424A64" w:rsidP="00424A64">
            <w:pPr>
              <w:pStyle w:val="ListBullet"/>
            </w:pPr>
            <w:r w:rsidRPr="00424A64">
              <w:t>dust and noise</w:t>
            </w:r>
          </w:p>
          <w:p w:rsidR="00000000" w:rsidRPr="00424A64" w:rsidP="00424A64">
            <w:pPr>
              <w:pStyle w:val="ListBullet"/>
            </w:pPr>
            <w:r w:rsidRPr="00424A64">
              <w:t>stormwater protection</w:t>
            </w:r>
          </w:p>
          <w:p w:rsidR="00000000" w:rsidP="00424A64">
            <w:pPr>
              <w:pStyle w:val="ListBullet"/>
              <w:rPr>
                <w:lang w:val="en-NZ"/>
              </w:rPr>
            </w:pPr>
            <w:r w:rsidRPr="00424A64">
              <w:t>waste management.</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Statutory and regulatory authority</w:t>
            </w:r>
            <w:r w:rsidRPr="00424A64">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424A64">
            <w:pPr>
              <w:pStyle w:val="ListBullet"/>
              <w:rPr>
                <w:lang w:val="en-NZ"/>
              </w:rPr>
            </w:pPr>
            <w:r w:rsidRPr="00424A64">
              <w:t>federal, state and local authorities administering app</w:t>
            </w:r>
            <w:r w:rsidRPr="00424A64">
              <w:t>licable Acts, regulations and codes of practice.</w:t>
            </w:r>
          </w:p>
        </w:tc>
      </w:tr>
      <w:tr w:rsidTr="00D17BE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BoldandItalics"/>
              </w:rPr>
              <w:t>Program operations</w:t>
            </w:r>
            <w:r w:rsidRPr="00424A6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424A64" w:rsidP="00424A64">
            <w:pPr>
              <w:pStyle w:val="ListBullet"/>
            </w:pPr>
            <w:r w:rsidRPr="00424A64">
              <w:t>boring</w:t>
            </w:r>
          </w:p>
          <w:p w:rsidR="00000000" w:rsidRPr="00424A64" w:rsidP="00424A64">
            <w:pPr>
              <w:pStyle w:val="ListBullet"/>
            </w:pPr>
            <w:r w:rsidRPr="00424A64">
              <w:t>cutting</w:t>
            </w:r>
          </w:p>
          <w:p w:rsidR="00000000" w:rsidRPr="00424A64" w:rsidP="00424A64">
            <w:pPr>
              <w:pStyle w:val="ListBullet"/>
            </w:pPr>
            <w:r w:rsidRPr="00424A64">
              <w:t>cutting and polishing</w:t>
            </w:r>
          </w:p>
          <w:p w:rsidR="00000000" w:rsidRPr="00424A64" w:rsidP="00424A64">
            <w:pPr>
              <w:pStyle w:val="ListBullet"/>
            </w:pPr>
            <w:r w:rsidRPr="00424A64">
              <w:t>forming/shaping</w:t>
            </w:r>
          </w:p>
          <w:p w:rsidR="00000000" w:rsidRPr="00424A64" w:rsidP="00424A64">
            <w:pPr>
              <w:pStyle w:val="ListBullet"/>
            </w:pPr>
            <w:r w:rsidRPr="00424A64">
              <w:t>milling.</w:t>
            </w:r>
          </w:p>
        </w:tc>
      </w:tr>
    </w:tbl>
    <w:p w:rsidR="00D17BE8" w:rsidP="00424A64">
      <w:pPr>
        <w:pStyle w:val="BodyText"/>
      </w:pPr>
    </w:p>
    <w:p w:rsidR="00D17BE8" w:rsidP="00424A64">
      <w:pPr>
        <w:pStyle w:val="BodyText"/>
      </w:pPr>
    </w:p>
    <w:p w:rsidR="00000000" w:rsidRPr="00424A64" w:rsidP="00424A64">
      <w:pPr>
        <w:pStyle w:val="Heading1"/>
      </w:pPr>
      <w:bookmarkStart w:id="12" w:name="O_197870"/>
      <w:bookmarkEnd w:id="12"/>
      <w:r w:rsidRPr="00424A64">
        <w:t>Unit Sector(s)</w:t>
      </w:r>
    </w:p>
    <w:tbl>
      <w:tblPr>
        <w:tblW w:w="0" w:type="auto"/>
        <w:tblLayout w:type="fixed"/>
        <w:tblCellMar>
          <w:left w:w="62" w:type="dxa"/>
          <w:right w:w="62" w:type="dxa"/>
        </w:tblCellMar>
        <w:tblLook w:val="0000"/>
      </w:tblPr>
      <w:tblGrid>
        <w:gridCol w:w="2554"/>
        <w:gridCol w:w="5968"/>
      </w:tblGrid>
      <w:tr w:rsidTr="00D17BE8">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424A64" w:rsidP="00424A64">
            <w:pPr>
              <w:pStyle w:val="BodyText"/>
            </w:pPr>
            <w:r w:rsidRPr="00424A64">
              <w:t>Construction</w:t>
            </w:r>
          </w:p>
        </w:tc>
      </w:tr>
    </w:tbl>
    <w:p w:rsidR="00D17BE8" w:rsidP="00424A64">
      <w:pPr>
        <w:pStyle w:val="BodyText"/>
      </w:pPr>
    </w:p>
    <w:p w:rsidR="00D17BE8" w:rsidP="00424A64">
      <w:pPr>
        <w:pStyle w:val="BodyText"/>
      </w:pPr>
    </w:p>
    <w:p w:rsidR="00000000" w:rsidRPr="00424A64" w:rsidP="00424A64">
      <w:pPr>
        <w:pStyle w:val="Heading1"/>
      </w:pPr>
      <w:bookmarkStart w:id="13" w:name="O_197867"/>
      <w:bookmarkEnd w:id="13"/>
      <w:r w:rsidRPr="00424A64">
        <w:t>Co-requisite units</w:t>
      </w:r>
    </w:p>
    <w:tbl>
      <w:tblPr>
        <w:tblW w:w="0" w:type="auto"/>
        <w:tblLayout w:type="fixed"/>
        <w:tblCellMar>
          <w:left w:w="62" w:type="dxa"/>
          <w:right w:w="62" w:type="dxa"/>
        </w:tblCellMar>
        <w:tblLook w:val="0000"/>
      </w:tblPr>
      <w:tblGrid>
        <w:gridCol w:w="2568"/>
        <w:gridCol w:w="2127"/>
        <w:gridCol w:w="3827"/>
      </w:tblGrid>
      <w:tr w:rsidTr="00D17BE8">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Co-requisite units</w:t>
            </w:r>
          </w:p>
        </w:tc>
        <w:tc>
          <w:tcPr>
            <w:tcW w:w="5954" w:type="dxa"/>
            <w:gridSpan w:val="2"/>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t>Nil</w:t>
            </w:r>
          </w:p>
        </w:tc>
      </w:tr>
      <w:tr w:rsidTr="00D17BE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p>
        </w:tc>
      </w:tr>
      <w:tr w:rsidTr="00D17BE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RPr="00424A64" w:rsidP="00424A64">
            <w:pPr>
              <w:pStyle w:val="BodyText"/>
            </w:pPr>
          </w:p>
        </w:tc>
      </w:tr>
    </w:tbl>
    <w:p w:rsidR="00D17BE8" w:rsidP="00424A64">
      <w:pPr>
        <w:pStyle w:val="BodyText"/>
      </w:pPr>
    </w:p>
    <w:p w:rsidR="00D17BE8" w:rsidP="00424A64">
      <w:pPr>
        <w:pStyle w:val="BodyText"/>
      </w:pPr>
    </w:p>
    <w:p w:rsidR="00000000" w:rsidRPr="00424A64" w:rsidP="00424A64">
      <w:pPr>
        <w:pStyle w:val="Heading1"/>
      </w:pPr>
      <w:bookmarkStart w:id="14" w:name="O_197869"/>
      <w:bookmarkEnd w:id="14"/>
      <w:r w:rsidRPr="00424A64">
        <w:t>Functional area</w:t>
      </w:r>
    </w:p>
    <w:tbl>
      <w:tblPr>
        <w:tblW w:w="0" w:type="auto"/>
        <w:tblLayout w:type="fixed"/>
        <w:tblCellMar>
          <w:left w:w="62" w:type="dxa"/>
          <w:right w:w="62" w:type="dxa"/>
        </w:tblCellMar>
        <w:tblLook w:val="0000"/>
      </w:tblPr>
      <w:tblGrid>
        <w:gridCol w:w="2658"/>
        <w:gridCol w:w="5864"/>
      </w:tblGrid>
      <w:tr w:rsidTr="00D17BE8">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424A64">
            <w:pPr>
              <w:pStyle w:val="BodyText"/>
              <w:rPr>
                <w:lang w:val="en-NZ"/>
              </w:rPr>
            </w:pPr>
            <w:r w:rsidRPr="00424A64">
              <w:rPr>
                <w:rStyle w:val="SpecialBold"/>
              </w:rPr>
              <w:t>Functional area</w:t>
            </w:r>
          </w:p>
        </w:tc>
        <w:tc>
          <w:tcPr>
            <w:tcW w:w="5864" w:type="dxa"/>
            <w:tcBorders>
              <w:top w:val="nil"/>
              <w:left w:val="nil"/>
              <w:bottom w:val="nil"/>
              <w:right w:val="nil"/>
            </w:tcBorders>
            <w:tcMar>
              <w:top w:w="0" w:type="dxa"/>
              <w:left w:w="62" w:type="dxa"/>
              <w:bottom w:w="0" w:type="dxa"/>
              <w:right w:w="62" w:type="dxa"/>
            </w:tcMar>
          </w:tcPr>
          <w:p w:rsidR="00000000" w:rsidRPr="00424A64" w:rsidP="00424A64">
            <w:pPr>
              <w:pStyle w:val="BodyText"/>
            </w:pPr>
          </w:p>
        </w:tc>
      </w:tr>
    </w:tbl>
    <w:p w:rsidR="00D17BE8" w:rsidP="00424A64">
      <w:pPr>
        <w:pStyle w:val="BodyText"/>
      </w:pPr>
    </w:p>
    <w:p w:rsidR="00D17BE8" w:rsidP="00424A64">
      <w:pPr>
        <w:pStyle w:val="BodyText"/>
      </w:pPr>
    </w:p>
    <w:p w:rsidR="00000000" w:rsidRPr="00424A64" w:rsidP="00424A64"/>
    <w:sectPr w:rsidSect="00424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BE8" w:rsidP="00D17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E8" w:rsidP="00424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7BE8" w:rsidP="00424A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7BE8" w:rsidP="00424A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BE8" w:rsidP="00D17B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E8" w:rsidP="00424A64">
    <w:pPr>
      <w:pStyle w:val="Header"/>
      <w:framePr w:wrap="around"/>
    </w:pPr>
    <w:r>
      <w:fldChar w:fldCharType="begin"/>
    </w:r>
    <w:r>
      <w:instrText xml:space="preserve"> TITLE   \* MERGEFORMAT </w:instrText>
    </w:r>
    <w:r>
      <w:fldChar w:fldCharType="separate"/>
    </w:r>
    <w:r>
      <w:t>CPCCJN3002A Use computer-controlled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7BE8" w:rsidP="00424A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C6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01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6C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A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A64"/>
    <w:pPr>
      <w:spacing w:before="360" w:after="60"/>
      <w:outlineLvl w:val="0"/>
    </w:pPr>
    <w:rPr>
      <w:sz w:val="32"/>
    </w:rPr>
  </w:style>
  <w:style w:type="paragraph" w:styleId="Heading2">
    <w:name w:val="heading 2"/>
    <w:basedOn w:val="HeadingBase"/>
    <w:next w:val="BodyText"/>
    <w:link w:val="Heading2Char"/>
    <w:qFormat/>
    <w:rsid w:val="00424A64"/>
    <w:pPr>
      <w:keepLines/>
      <w:spacing w:before="240" w:after="120"/>
      <w:outlineLvl w:val="1"/>
    </w:pPr>
    <w:rPr>
      <w:sz w:val="28"/>
      <w:szCs w:val="40"/>
    </w:rPr>
  </w:style>
  <w:style w:type="paragraph" w:styleId="Heading3">
    <w:name w:val="heading 3"/>
    <w:basedOn w:val="HeadingBase"/>
    <w:next w:val="BodyText"/>
    <w:link w:val="Heading3Char"/>
    <w:qFormat/>
    <w:rsid w:val="00424A64"/>
    <w:pPr>
      <w:spacing w:before="180" w:after="120"/>
      <w:outlineLvl w:val="2"/>
    </w:pPr>
    <w:rPr>
      <w:spacing w:val="-10"/>
      <w:kern w:val="32"/>
    </w:rPr>
  </w:style>
  <w:style w:type="paragraph" w:styleId="Heading4">
    <w:name w:val="heading 4"/>
    <w:basedOn w:val="HeadingBase"/>
    <w:next w:val="BodyText"/>
    <w:link w:val="Heading4Char"/>
    <w:qFormat/>
    <w:rsid w:val="00424A64"/>
    <w:pPr>
      <w:spacing w:before="160" w:after="120"/>
      <w:outlineLvl w:val="3"/>
    </w:pPr>
    <w:rPr>
      <w:sz w:val="22"/>
    </w:rPr>
  </w:style>
  <w:style w:type="paragraph" w:styleId="Heading5">
    <w:name w:val="heading 5"/>
    <w:basedOn w:val="HeadingBase"/>
    <w:next w:val="Normal"/>
    <w:link w:val="Heading5Char"/>
    <w:qFormat/>
    <w:rsid w:val="00424A64"/>
    <w:pPr>
      <w:spacing w:before="80"/>
      <w:outlineLvl w:val="4"/>
    </w:pPr>
    <w:rPr>
      <w:color w:val="918585"/>
      <w:sz w:val="20"/>
    </w:rPr>
  </w:style>
  <w:style w:type="paragraph" w:styleId="Heading6">
    <w:name w:val="heading 6"/>
    <w:basedOn w:val="HeadingBase"/>
    <w:next w:val="Normal"/>
    <w:link w:val="Heading6Char"/>
    <w:qFormat/>
    <w:rsid w:val="00424A64"/>
    <w:pPr>
      <w:spacing w:before="60"/>
      <w:outlineLvl w:val="5"/>
    </w:pPr>
    <w:rPr>
      <w:color w:val="918585"/>
      <w:sz w:val="20"/>
    </w:rPr>
  </w:style>
  <w:style w:type="paragraph" w:styleId="Heading7">
    <w:name w:val="heading 7"/>
    <w:basedOn w:val="Normal"/>
    <w:next w:val="Normal"/>
    <w:link w:val="Heading7Char"/>
    <w:qFormat/>
    <w:rsid w:val="00424A64"/>
    <w:pPr>
      <w:ind w:left="720"/>
      <w:outlineLvl w:val="6"/>
    </w:pPr>
    <w:rPr>
      <w:i/>
    </w:rPr>
  </w:style>
  <w:style w:type="paragraph" w:styleId="Heading8">
    <w:name w:val="heading 8"/>
    <w:basedOn w:val="Normal"/>
    <w:next w:val="Normal"/>
    <w:link w:val="Heading8Char"/>
    <w:qFormat/>
    <w:rsid w:val="00424A64"/>
    <w:pPr>
      <w:ind w:left="720"/>
      <w:outlineLvl w:val="7"/>
    </w:pPr>
    <w:rPr>
      <w:i/>
    </w:rPr>
  </w:style>
  <w:style w:type="paragraph" w:styleId="Heading9">
    <w:name w:val="heading 9"/>
    <w:basedOn w:val="Normal"/>
    <w:next w:val="Normal"/>
    <w:link w:val="Heading9Char"/>
    <w:qFormat/>
    <w:rsid w:val="00424A64"/>
    <w:pPr>
      <w:ind w:left="720"/>
      <w:outlineLvl w:val="8"/>
    </w:pPr>
    <w:rPr>
      <w:i/>
    </w:rPr>
  </w:style>
  <w:style w:type="character" w:default="1" w:styleId="DefaultParagraphFont">
    <w:name w:val="Default Paragraph Font"/>
    <w:uiPriority w:val="1"/>
    <w:unhideWhenUsed/>
    <w:rsid w:val="00424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A64"/>
  </w:style>
  <w:style w:type="character" w:customStyle="1" w:styleId="Heading1Char">
    <w:name w:val="Heading 1 Char"/>
    <w:basedOn w:val="DefaultParagraphFont"/>
    <w:link w:val="Heading1"/>
    <w:rsid w:val="00424A64"/>
    <w:rPr>
      <w:rFonts w:ascii="Times New Roman" w:eastAsia="Times New Roman" w:hAnsi="Times New Roman" w:cs="Times New Roman"/>
      <w:b/>
      <w:sz w:val="32"/>
      <w:szCs w:val="20"/>
      <w:lang w:eastAsia="en-US"/>
    </w:rPr>
  </w:style>
  <w:style w:type="paragraph" w:styleId="BodyText">
    <w:name w:val="Body Text"/>
    <w:basedOn w:val="Normal"/>
    <w:link w:val="BodyTextChar"/>
    <w:rsid w:val="00424A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A64"/>
    <w:rPr>
      <w:rFonts w:ascii="Times New Roman" w:eastAsia="Times New Roman" w:hAnsi="Times New Roman" w:cs="Times New Roman"/>
      <w:sz w:val="24"/>
      <w:lang w:val="en-US" w:eastAsia="en-US"/>
    </w:rPr>
  </w:style>
  <w:style w:type="paragraph" w:styleId="Footer">
    <w:name w:val="footer"/>
    <w:basedOn w:val="Normal"/>
    <w:link w:val="FooterChar"/>
    <w:rsid w:val="00424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A64"/>
    <w:rPr>
      <w:rFonts w:ascii="Times New Roman" w:eastAsia="Times New Roman" w:hAnsi="Times New Roman" w:cs="Times New Roman"/>
      <w:sz w:val="16"/>
      <w:lang w:val="en-US" w:eastAsia="en-US"/>
    </w:rPr>
  </w:style>
  <w:style w:type="paragraph" w:styleId="List">
    <w:name w:val="List"/>
    <w:basedOn w:val="BodyText"/>
    <w:next w:val="BodyText"/>
    <w:rsid w:val="00424A64"/>
    <w:pPr>
      <w:tabs>
        <w:tab w:val="left" w:pos="340"/>
      </w:tabs>
      <w:spacing w:before="60" w:after="60"/>
      <w:ind w:left="340" w:hanging="340"/>
    </w:pPr>
  </w:style>
  <w:style w:type="paragraph" w:styleId="ListBullet">
    <w:name w:val="List Bullet"/>
    <w:basedOn w:val="List"/>
    <w:rsid w:val="00424A64"/>
    <w:pPr>
      <w:numPr>
        <w:numId w:val="13"/>
      </w:numPr>
      <w:tabs>
        <w:tab w:val="clear" w:pos="340"/>
      </w:tabs>
      <w:spacing w:before="40" w:after="40"/>
    </w:pPr>
  </w:style>
  <w:style w:type="character" w:customStyle="1" w:styleId="SpecialBold">
    <w:name w:val="Special Bold"/>
    <w:basedOn w:val="DefaultParagraphFont"/>
    <w:rsid w:val="00424A64"/>
    <w:rPr>
      <w:b/>
      <w:spacing w:val="0"/>
    </w:rPr>
  </w:style>
  <w:style w:type="paragraph" w:styleId="ListBullet2">
    <w:name w:val="List Bullet 2"/>
    <w:basedOn w:val="List2"/>
    <w:rsid w:val="00424A64"/>
    <w:pPr>
      <w:numPr>
        <w:numId w:val="14"/>
      </w:numPr>
      <w:tabs>
        <w:tab w:val="clear" w:pos="680"/>
      </w:tabs>
    </w:pPr>
  </w:style>
  <w:style w:type="paragraph" w:styleId="Header">
    <w:name w:val="header"/>
    <w:basedOn w:val="Normal"/>
    <w:link w:val="HeaderChar"/>
    <w:rsid w:val="00424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A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A64"/>
    <w:pPr>
      <w:spacing w:before="240" w:after="120"/>
      <w:outlineLvl w:val="0"/>
    </w:pPr>
    <w:rPr>
      <w:rFonts w:ascii="Times New Roman" w:hAnsi="Times New Roman"/>
      <w:b/>
      <w:sz w:val="28"/>
    </w:rPr>
  </w:style>
  <w:style w:type="paragraph" w:customStyle="1" w:styleId="AllowPageBreak">
    <w:name w:val="AllowPageBreak"/>
    <w:rsid w:val="00424A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A64"/>
    <w:pPr>
      <w:tabs>
        <w:tab w:val="left" w:pos="680"/>
      </w:tabs>
      <w:spacing w:before="60" w:after="60"/>
      <w:ind w:left="680" w:hanging="340"/>
    </w:pPr>
  </w:style>
  <w:style w:type="character" w:customStyle="1" w:styleId="BoldandItalics">
    <w:name w:val="Bold and Italics"/>
    <w:qFormat/>
    <w:rsid w:val="00424A64"/>
    <w:rPr>
      <w:b/>
      <w:i/>
      <w:u w:val="none"/>
    </w:rPr>
  </w:style>
  <w:style w:type="character" w:customStyle="1" w:styleId="Heading2Char">
    <w:name w:val="Heading 2 Char"/>
    <w:basedOn w:val="DefaultParagraphFont"/>
    <w:link w:val="Heading2"/>
    <w:rsid w:val="00424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A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A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A64"/>
    <w:rPr>
      <w:rFonts w:ascii="Courier New" w:eastAsia="Times New Roman" w:hAnsi="Courier New" w:cs="Times New Roman"/>
      <w:i/>
      <w:szCs w:val="20"/>
      <w:lang w:val="en-US" w:eastAsia="en-US"/>
    </w:rPr>
  </w:style>
  <w:style w:type="paragraph" w:customStyle="1" w:styleId="HeadingBase">
    <w:name w:val="Heading Base"/>
    <w:rsid w:val="00424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A64"/>
    <w:pPr>
      <w:tabs>
        <w:tab w:val="right" w:leader="dot" w:pos="9072"/>
      </w:tabs>
      <w:ind w:left="567"/>
    </w:pPr>
    <w:rPr>
      <w:szCs w:val="22"/>
    </w:rPr>
  </w:style>
  <w:style w:type="paragraph" w:customStyle="1" w:styleId="TOCBase">
    <w:name w:val="TOC Base"/>
    <w:rsid w:val="00424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A64"/>
    <w:pPr>
      <w:tabs>
        <w:tab w:val="right" w:leader="dot" w:pos="9072"/>
      </w:tabs>
      <w:spacing w:before="40" w:after="40"/>
      <w:ind w:left="284"/>
    </w:pPr>
    <w:rPr>
      <w:rFonts w:ascii="Times New Roman" w:hAnsi="Times New Roman"/>
    </w:rPr>
  </w:style>
  <w:style w:type="paragraph" w:styleId="TOC1">
    <w:name w:val="toc 1"/>
    <w:basedOn w:val="TOCBase"/>
    <w:next w:val="Normal"/>
    <w:rsid w:val="00424A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A64"/>
    <w:pPr>
      <w:spacing w:before="5040"/>
      <w:jc w:val="center"/>
    </w:pPr>
    <w:rPr>
      <w:sz w:val="48"/>
      <w:szCs w:val="72"/>
      <w:lang w:val="en-US"/>
    </w:rPr>
  </w:style>
  <w:style w:type="character" w:customStyle="1" w:styleId="TitleChar">
    <w:name w:val="Title Char"/>
    <w:basedOn w:val="DefaultParagraphFont"/>
    <w:link w:val="Title"/>
    <w:rsid w:val="00424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A64"/>
    <w:pPr>
      <w:tabs>
        <w:tab w:val="left" w:pos="3600"/>
        <w:tab w:val="left" w:pos="3958"/>
      </w:tabs>
    </w:pPr>
  </w:style>
  <w:style w:type="paragraph" w:customStyle="1" w:styleId="Note">
    <w:name w:val="Note"/>
    <w:basedOn w:val="BodyText"/>
    <w:rsid w:val="00424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A64"/>
    <w:pPr>
      <w:framePr w:wrap="auto" w:hAnchor="text" w:y="6049"/>
    </w:pPr>
    <w:rPr>
      <w:color w:val="000000"/>
      <w:sz w:val="40"/>
    </w:rPr>
  </w:style>
  <w:style w:type="paragraph" w:customStyle="1" w:styleId="TOCTitle">
    <w:name w:val="TOCTitle"/>
    <w:basedOn w:val="Heading1"/>
    <w:rsid w:val="00424A64"/>
    <w:pPr>
      <w:spacing w:after="240"/>
      <w:jc w:val="center"/>
      <w:outlineLvl w:val="9"/>
    </w:pPr>
    <w:rPr>
      <w:caps/>
    </w:rPr>
  </w:style>
  <w:style w:type="paragraph" w:customStyle="1" w:styleId="Version">
    <w:name w:val="Version"/>
    <w:rsid w:val="00424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A64"/>
    <w:pPr>
      <w:keepNext w:val="0"/>
      <w:tabs>
        <w:tab w:val="right" w:pos="4176"/>
      </w:tabs>
      <w:ind w:left="198" w:hanging="198"/>
    </w:pPr>
    <w:rPr>
      <w:rFonts w:ascii="Garamond" w:hAnsi="Garamond"/>
    </w:rPr>
  </w:style>
  <w:style w:type="paragraph" w:styleId="IndexHeading">
    <w:name w:val="index heading"/>
    <w:basedOn w:val="Normal"/>
    <w:next w:val="Index1"/>
    <w:semiHidden/>
    <w:rsid w:val="00424A64"/>
    <w:pPr>
      <w:spacing w:before="120" w:after="120"/>
    </w:pPr>
    <w:rPr>
      <w:rFonts w:ascii="Arial" w:hAnsi="Arial"/>
      <w:b/>
      <w:color w:val="918585"/>
      <w:sz w:val="24"/>
    </w:rPr>
  </w:style>
  <w:style w:type="paragraph" w:customStyle="1" w:styleId="Chapter">
    <w:name w:val="Chapter"/>
    <w:basedOn w:val="Normal"/>
    <w:rsid w:val="00424A64"/>
    <w:pPr>
      <w:spacing w:before="240"/>
    </w:pPr>
    <w:rPr>
      <w:rFonts w:ascii="Times New Roman" w:hAnsi="Times New Roman"/>
      <w:smallCaps/>
      <w:spacing w:val="80"/>
      <w:sz w:val="28"/>
    </w:rPr>
  </w:style>
  <w:style w:type="paragraph" w:customStyle="1" w:styleId="InChapter">
    <w:name w:val="InChapter"/>
    <w:basedOn w:val="Heading3"/>
    <w:rsid w:val="00424A64"/>
    <w:pPr>
      <w:spacing w:after="240"/>
      <w:outlineLvl w:val="9"/>
    </w:pPr>
    <w:rPr>
      <w:noProof/>
    </w:rPr>
  </w:style>
  <w:style w:type="paragraph" w:styleId="Index2">
    <w:name w:val="index 2"/>
    <w:basedOn w:val="Normal"/>
    <w:next w:val="Normal"/>
    <w:semiHidden/>
    <w:rsid w:val="00424A64"/>
    <w:pPr>
      <w:tabs>
        <w:tab w:val="right" w:pos="4176"/>
      </w:tabs>
      <w:ind w:left="568" w:hanging="284"/>
    </w:pPr>
    <w:rPr>
      <w:rFonts w:ascii="Garamond" w:hAnsi="Garamond"/>
    </w:rPr>
  </w:style>
  <w:style w:type="paragraph" w:customStyle="1" w:styleId="Byline">
    <w:name w:val="Byline"/>
    <w:rsid w:val="00424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A64"/>
    <w:pPr>
      <w:tabs>
        <w:tab w:val="clear" w:pos="3600"/>
        <w:tab w:val="clear" w:pos="3958"/>
      </w:tabs>
      <w:jc w:val="right"/>
    </w:pPr>
  </w:style>
  <w:style w:type="character" w:styleId="Emphasis">
    <w:name w:val="Emphasis"/>
    <w:basedOn w:val="DefaultParagraphFont"/>
    <w:qFormat/>
    <w:rsid w:val="00424A64"/>
    <w:rPr>
      <w:i/>
    </w:rPr>
  </w:style>
  <w:style w:type="paragraph" w:styleId="Caption">
    <w:name w:val="caption"/>
    <w:basedOn w:val="BodyText"/>
    <w:next w:val="Normal"/>
    <w:qFormat/>
    <w:rsid w:val="00424A64"/>
    <w:pPr>
      <w:framePr w:w="2268" w:hSpace="181" w:vSpace="181" w:wrap="around" w:vAnchor="text" w:hAnchor="page" w:x="1135" w:y="285" w:anchorLock="1"/>
    </w:pPr>
    <w:rPr>
      <w:i/>
    </w:rPr>
  </w:style>
  <w:style w:type="paragraph" w:customStyle="1" w:styleId="MiniTOCTitle">
    <w:name w:val="MiniTOCTitle"/>
    <w:basedOn w:val="Heading4"/>
    <w:rsid w:val="00424A64"/>
    <w:pPr>
      <w:spacing w:before="240"/>
      <w:outlineLvl w:val="9"/>
    </w:pPr>
    <w:rPr>
      <w:noProof/>
      <w:sz w:val="24"/>
    </w:rPr>
  </w:style>
  <w:style w:type="paragraph" w:customStyle="1" w:styleId="MiniTOCItem">
    <w:name w:val="MiniTOCItem"/>
    <w:basedOn w:val="ListBullet"/>
    <w:rsid w:val="00424A64"/>
    <w:pPr>
      <w:numPr>
        <w:numId w:val="0"/>
      </w:numPr>
      <w:tabs>
        <w:tab w:val="right" w:leader="dot" w:pos="6521"/>
      </w:tabs>
      <w:spacing w:before="0" w:after="0"/>
    </w:pPr>
  </w:style>
  <w:style w:type="paragraph" w:customStyle="1" w:styleId="TOFTitle">
    <w:name w:val="TOFTitle"/>
    <w:basedOn w:val="TOCTitle"/>
    <w:rsid w:val="00424A64"/>
  </w:style>
  <w:style w:type="paragraph" w:styleId="TableofFigures">
    <w:name w:val="table of figures"/>
    <w:basedOn w:val="Normal"/>
    <w:next w:val="Normal"/>
    <w:semiHidden/>
    <w:rsid w:val="00424A64"/>
    <w:pPr>
      <w:tabs>
        <w:tab w:val="right" w:leader="dot" w:pos="9072"/>
      </w:tabs>
      <w:ind w:left="970" w:hanging="403"/>
    </w:pPr>
    <w:rPr>
      <w:rFonts w:ascii="Times New Roman" w:hAnsi="Times New Roman"/>
      <w:b/>
    </w:rPr>
  </w:style>
  <w:style w:type="paragraph" w:styleId="ListNumber">
    <w:name w:val="List Number"/>
    <w:basedOn w:val="List"/>
    <w:rsid w:val="00424A64"/>
    <w:pPr>
      <w:numPr>
        <w:numId w:val="11"/>
      </w:numPr>
    </w:pPr>
  </w:style>
  <w:style w:type="character" w:customStyle="1" w:styleId="WingdingSymbols">
    <w:name w:val="Wingding Symbols"/>
    <w:rsid w:val="00424A64"/>
    <w:rPr>
      <w:rFonts w:ascii="Wingdings" w:hAnsi="Wingdings"/>
    </w:rPr>
  </w:style>
  <w:style w:type="paragraph" w:customStyle="1" w:styleId="TableHeading">
    <w:name w:val="Table Heading"/>
    <w:basedOn w:val="HeadingBase"/>
    <w:rsid w:val="00424A64"/>
    <w:pPr>
      <w:keepLines/>
      <w:pBdr>
        <w:bottom w:val="single" w:sz="6" w:space="1" w:color="918585"/>
      </w:pBdr>
      <w:spacing w:before="240"/>
    </w:pPr>
  </w:style>
  <w:style w:type="character" w:customStyle="1" w:styleId="HotSpot">
    <w:name w:val="HotSpot"/>
    <w:rsid w:val="00424A64"/>
    <w:rPr>
      <w:color w:val="0033CC"/>
      <w:u w:val="none"/>
    </w:rPr>
  </w:style>
  <w:style w:type="paragraph" w:customStyle="1" w:styleId="BodyTextRight">
    <w:name w:val="Body Text Right"/>
    <w:basedOn w:val="BodyText"/>
    <w:rsid w:val="00424A64"/>
    <w:pPr>
      <w:spacing w:before="0" w:after="0"/>
      <w:jc w:val="right"/>
    </w:pPr>
  </w:style>
  <w:style w:type="paragraph" w:styleId="Index3">
    <w:name w:val="index 3"/>
    <w:basedOn w:val="ListNumber2"/>
    <w:next w:val="Normal"/>
    <w:semiHidden/>
    <w:rsid w:val="00424A64"/>
    <w:pPr>
      <w:numPr>
        <w:numId w:val="0"/>
      </w:numPr>
      <w:tabs>
        <w:tab w:val="right" w:leader="dot" w:pos="4176"/>
      </w:tabs>
    </w:pPr>
  </w:style>
  <w:style w:type="paragraph" w:styleId="ListNumber2">
    <w:name w:val="List Number 2"/>
    <w:basedOn w:val="List2"/>
    <w:rsid w:val="00424A64"/>
    <w:pPr>
      <w:numPr>
        <w:numId w:val="10"/>
      </w:numPr>
      <w:tabs>
        <w:tab w:val="clear" w:pos="1060"/>
      </w:tabs>
    </w:pPr>
  </w:style>
  <w:style w:type="paragraph" w:customStyle="1" w:styleId="MarginNote">
    <w:name w:val="Margin Note"/>
    <w:basedOn w:val="BodyText"/>
    <w:rsid w:val="00424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A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A64"/>
    <w:rPr>
      <w:sz w:val="32"/>
    </w:rPr>
  </w:style>
  <w:style w:type="paragraph" w:customStyle="1" w:styleId="HeadingProcedure">
    <w:name w:val="Heading Procedure"/>
    <w:basedOn w:val="HeadingBase"/>
    <w:next w:val="Normal"/>
    <w:rsid w:val="00424A64"/>
    <w:pPr>
      <w:tabs>
        <w:tab w:val="left" w:pos="0"/>
      </w:tabs>
      <w:spacing w:before="120" w:after="60"/>
    </w:pPr>
    <w:rPr>
      <w:i/>
      <w:color w:val="918585"/>
      <w:sz w:val="22"/>
    </w:rPr>
  </w:style>
  <w:style w:type="paragraph" w:customStyle="1" w:styleId="TableBodyText">
    <w:name w:val="Table Body Text"/>
    <w:basedOn w:val="BodyText"/>
    <w:rsid w:val="00424A64"/>
    <w:pPr>
      <w:spacing w:before="60" w:after="60"/>
    </w:pPr>
  </w:style>
  <w:style w:type="paragraph" w:styleId="ListContinue">
    <w:name w:val="List Continue"/>
    <w:basedOn w:val="List"/>
    <w:rsid w:val="00424A64"/>
    <w:pPr>
      <w:ind w:firstLine="0"/>
    </w:pPr>
  </w:style>
  <w:style w:type="paragraph" w:customStyle="1" w:styleId="ListNote">
    <w:name w:val="List Note"/>
    <w:basedOn w:val="List"/>
    <w:rsid w:val="00424A64"/>
    <w:pPr>
      <w:pBdr>
        <w:top w:val="single" w:sz="6" w:space="2" w:color="918585"/>
        <w:bottom w:val="single" w:sz="6" w:space="2" w:color="918585"/>
      </w:pBdr>
      <w:tabs>
        <w:tab w:val="left" w:pos="1021"/>
      </w:tabs>
      <w:ind w:firstLine="0"/>
    </w:pPr>
  </w:style>
  <w:style w:type="paragraph" w:customStyle="1" w:styleId="Warning">
    <w:name w:val="Warning"/>
    <w:basedOn w:val="BodyText"/>
    <w:rsid w:val="00424A64"/>
    <w:pPr>
      <w:shd w:val="clear" w:color="auto" w:fill="D9D9D9"/>
      <w:tabs>
        <w:tab w:val="left" w:pos="992"/>
      </w:tabs>
      <w:ind w:left="119" w:right="119"/>
    </w:pPr>
    <w:rPr>
      <w:sz w:val="20"/>
    </w:rPr>
  </w:style>
  <w:style w:type="paragraph" w:customStyle="1" w:styleId="MarginIcons">
    <w:name w:val="Margin Icons"/>
    <w:basedOn w:val="BodyText"/>
    <w:rsid w:val="00424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A64"/>
    <w:rPr>
      <w:rFonts w:ascii="Courier New" w:hAnsi="Courier New"/>
    </w:rPr>
  </w:style>
  <w:style w:type="paragraph" w:customStyle="1" w:styleId="NoteBullet">
    <w:name w:val="Note Bullet"/>
    <w:basedOn w:val="Note"/>
    <w:rsid w:val="00424A64"/>
    <w:pPr>
      <w:tabs>
        <w:tab w:val="clear" w:pos="680"/>
      </w:tabs>
      <w:spacing w:before="60" w:after="60"/>
    </w:pPr>
  </w:style>
  <w:style w:type="paragraph" w:customStyle="1" w:styleId="SubHeading2">
    <w:name w:val="SubHeading2"/>
    <w:basedOn w:val="HeadingBase"/>
    <w:rsid w:val="00424A64"/>
    <w:pPr>
      <w:spacing w:before="240" w:after="60"/>
    </w:pPr>
    <w:rPr>
      <w:sz w:val="20"/>
    </w:rPr>
  </w:style>
  <w:style w:type="paragraph" w:customStyle="1" w:styleId="SubHeading1">
    <w:name w:val="SubHeading1"/>
    <w:basedOn w:val="HeadingBase"/>
    <w:rsid w:val="00424A64"/>
    <w:pPr>
      <w:spacing w:before="240" w:after="60"/>
    </w:pPr>
    <w:rPr>
      <w:color w:val="918585"/>
      <w:sz w:val="22"/>
    </w:rPr>
  </w:style>
  <w:style w:type="paragraph" w:customStyle="1" w:styleId="SideHeading">
    <w:name w:val="Side Heading"/>
    <w:basedOn w:val="HeadingBase"/>
    <w:rsid w:val="00424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A64"/>
    <w:pPr>
      <w:numPr>
        <w:numId w:val="12"/>
      </w:numPr>
    </w:pPr>
  </w:style>
  <w:style w:type="paragraph" w:styleId="PlainText">
    <w:name w:val="Plain Text"/>
    <w:basedOn w:val="Normal"/>
    <w:link w:val="PlainTextChar"/>
    <w:rsid w:val="00424A64"/>
    <w:rPr>
      <w:sz w:val="20"/>
    </w:rPr>
  </w:style>
  <w:style w:type="character" w:customStyle="1" w:styleId="PlainTextChar">
    <w:name w:val="Plain Text Char"/>
    <w:basedOn w:val="DefaultParagraphFont"/>
    <w:link w:val="PlainText"/>
    <w:rsid w:val="00424A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4A64"/>
    <w:rPr>
      <w:b/>
      <w:smallCaps/>
    </w:rPr>
  </w:style>
  <w:style w:type="paragraph" w:customStyle="1" w:styleId="TableListNumber">
    <w:name w:val="Table List Number"/>
    <w:basedOn w:val="ListNumber"/>
    <w:rsid w:val="00424A64"/>
    <w:pPr>
      <w:numPr>
        <w:numId w:val="0"/>
      </w:numPr>
    </w:pPr>
  </w:style>
  <w:style w:type="paragraph" w:styleId="TOC4">
    <w:name w:val="toc 4"/>
    <w:basedOn w:val="TOCBase"/>
    <w:next w:val="Normal"/>
    <w:semiHidden/>
    <w:rsid w:val="00424A64"/>
    <w:pPr>
      <w:tabs>
        <w:tab w:val="right" w:leader="dot" w:pos="9071"/>
      </w:tabs>
      <w:ind w:left="1701"/>
    </w:pPr>
  </w:style>
  <w:style w:type="paragraph" w:customStyle="1" w:styleId="ListAlpha">
    <w:name w:val="List Alpha"/>
    <w:basedOn w:val="List"/>
    <w:rsid w:val="00424A64"/>
    <w:pPr>
      <w:numPr>
        <w:numId w:val="9"/>
      </w:numPr>
    </w:pPr>
  </w:style>
  <w:style w:type="paragraph" w:customStyle="1" w:styleId="ListAlpha2">
    <w:name w:val="List Alpha 2"/>
    <w:basedOn w:val="List2"/>
    <w:rsid w:val="00424A64"/>
    <w:pPr>
      <w:numPr>
        <w:numId w:val="8"/>
      </w:numPr>
    </w:pPr>
  </w:style>
  <w:style w:type="paragraph" w:styleId="List3">
    <w:name w:val="List 3"/>
    <w:basedOn w:val="BodyText"/>
    <w:rsid w:val="00424A64"/>
    <w:pPr>
      <w:tabs>
        <w:tab w:val="left" w:pos="1021"/>
      </w:tabs>
      <w:spacing w:before="60" w:after="60"/>
      <w:ind w:left="1020" w:hanging="340"/>
    </w:pPr>
  </w:style>
  <w:style w:type="paragraph" w:styleId="List4">
    <w:name w:val="List 4"/>
    <w:basedOn w:val="BodyText"/>
    <w:rsid w:val="00424A64"/>
    <w:pPr>
      <w:tabs>
        <w:tab w:val="left" w:pos="1361"/>
      </w:tabs>
      <w:spacing w:before="60" w:after="60"/>
      <w:ind w:left="1361" w:hanging="340"/>
    </w:pPr>
  </w:style>
  <w:style w:type="paragraph" w:styleId="List5">
    <w:name w:val="List 5"/>
    <w:basedOn w:val="BodyText"/>
    <w:rsid w:val="00424A64"/>
    <w:pPr>
      <w:tabs>
        <w:tab w:val="left" w:pos="1701"/>
      </w:tabs>
      <w:spacing w:before="60" w:after="60"/>
      <w:ind w:left="1701" w:hanging="340"/>
    </w:pPr>
  </w:style>
  <w:style w:type="paragraph" w:styleId="ListBullet3">
    <w:name w:val="List Bullet 3"/>
    <w:basedOn w:val="List3"/>
    <w:rsid w:val="00424A64"/>
    <w:pPr>
      <w:numPr>
        <w:numId w:val="15"/>
      </w:numPr>
      <w:tabs>
        <w:tab w:val="clear" w:pos="1021"/>
      </w:tabs>
      <w:ind w:left="1037" w:hanging="357"/>
    </w:pPr>
  </w:style>
  <w:style w:type="paragraph" w:styleId="ListBullet4">
    <w:name w:val="List Bullet 4"/>
    <w:basedOn w:val="List4"/>
    <w:rsid w:val="00424A64"/>
    <w:pPr>
      <w:numPr>
        <w:numId w:val="3"/>
      </w:numPr>
    </w:pPr>
  </w:style>
  <w:style w:type="paragraph" w:styleId="ListBullet5">
    <w:name w:val="List Bullet 5"/>
    <w:basedOn w:val="List5"/>
    <w:rsid w:val="00424A64"/>
    <w:pPr>
      <w:numPr>
        <w:numId w:val="4"/>
      </w:numPr>
    </w:pPr>
  </w:style>
  <w:style w:type="paragraph" w:styleId="ListContinue2">
    <w:name w:val="List Continue 2"/>
    <w:basedOn w:val="List2"/>
    <w:rsid w:val="00424A64"/>
    <w:pPr>
      <w:ind w:firstLine="0"/>
    </w:pPr>
  </w:style>
  <w:style w:type="paragraph" w:styleId="ListContinue3">
    <w:name w:val="List Continue 3"/>
    <w:basedOn w:val="List3"/>
    <w:rsid w:val="00424A64"/>
    <w:pPr>
      <w:ind w:left="1021" w:firstLine="0"/>
    </w:pPr>
  </w:style>
  <w:style w:type="paragraph" w:styleId="ListContinue4">
    <w:name w:val="List Continue 4"/>
    <w:basedOn w:val="List4"/>
    <w:rsid w:val="00424A64"/>
    <w:pPr>
      <w:ind w:firstLine="0"/>
    </w:pPr>
  </w:style>
  <w:style w:type="paragraph" w:styleId="ListContinue5">
    <w:name w:val="List Continue 5"/>
    <w:basedOn w:val="List5"/>
    <w:rsid w:val="00424A64"/>
    <w:pPr>
      <w:ind w:firstLine="0"/>
    </w:pPr>
  </w:style>
  <w:style w:type="paragraph" w:styleId="ListNumber3">
    <w:name w:val="List Number 3"/>
    <w:basedOn w:val="List3"/>
    <w:rsid w:val="00424A64"/>
    <w:pPr>
      <w:numPr>
        <w:numId w:val="5"/>
      </w:numPr>
    </w:pPr>
  </w:style>
  <w:style w:type="paragraph" w:styleId="ListNumber4">
    <w:name w:val="List Number 4"/>
    <w:basedOn w:val="List4"/>
    <w:rsid w:val="00424A64"/>
    <w:pPr>
      <w:numPr>
        <w:numId w:val="6"/>
      </w:numPr>
    </w:pPr>
  </w:style>
  <w:style w:type="paragraph" w:styleId="ListNumber5">
    <w:name w:val="List Number 5"/>
    <w:basedOn w:val="List5"/>
    <w:rsid w:val="00424A64"/>
    <w:pPr>
      <w:numPr>
        <w:numId w:val="7"/>
      </w:numPr>
    </w:pPr>
  </w:style>
  <w:style w:type="paragraph" w:styleId="BlockText">
    <w:name w:val="Block Text"/>
    <w:basedOn w:val="Normal"/>
    <w:rsid w:val="00424A64"/>
    <w:pPr>
      <w:spacing w:after="120"/>
      <w:ind w:left="1440" w:right="1440"/>
    </w:pPr>
  </w:style>
  <w:style w:type="character" w:customStyle="1" w:styleId="Subscript">
    <w:name w:val="Subscript"/>
    <w:basedOn w:val="DefaultParagraphFont"/>
    <w:rsid w:val="00424A64"/>
    <w:rPr>
      <w:sz w:val="16"/>
      <w:vertAlign w:val="subscript"/>
    </w:rPr>
  </w:style>
  <w:style w:type="character" w:customStyle="1" w:styleId="Superscript">
    <w:name w:val="Superscript"/>
    <w:basedOn w:val="DefaultParagraphFont"/>
    <w:rsid w:val="00424A64"/>
    <w:rPr>
      <w:sz w:val="16"/>
      <w:vertAlign w:val="superscript"/>
    </w:rPr>
  </w:style>
  <w:style w:type="character" w:customStyle="1" w:styleId="Symbols">
    <w:name w:val="Symbols"/>
    <w:basedOn w:val="DefaultParagraphFont"/>
    <w:rsid w:val="00424A64"/>
    <w:rPr>
      <w:rFonts w:ascii="Symbol" w:hAnsi="Symbol"/>
    </w:rPr>
  </w:style>
  <w:style w:type="character" w:customStyle="1" w:styleId="MenuOptions">
    <w:name w:val="Menu Options"/>
    <w:basedOn w:val="DefaultParagraphFont"/>
    <w:rsid w:val="00424A64"/>
    <w:rPr>
      <w:rFonts w:ascii="Arial Narrow" w:hAnsi="Arial Narrow"/>
      <w:smallCaps/>
    </w:rPr>
  </w:style>
  <w:style w:type="character" w:customStyle="1" w:styleId="Buttons">
    <w:name w:val="Buttons"/>
    <w:basedOn w:val="DefaultParagraphFont"/>
    <w:rsid w:val="00424A64"/>
    <w:rPr>
      <w:b/>
    </w:rPr>
  </w:style>
  <w:style w:type="character" w:customStyle="1" w:styleId="Underlined">
    <w:name w:val="Underlined"/>
    <w:basedOn w:val="DefaultParagraphFont"/>
    <w:rsid w:val="00424A64"/>
    <w:rPr>
      <w:u w:val="single"/>
    </w:rPr>
  </w:style>
  <w:style w:type="paragraph" w:customStyle="1" w:styleId="TableBodyTextRight">
    <w:name w:val="Table Body Text Right"/>
    <w:basedOn w:val="TableBodyText"/>
    <w:rsid w:val="00424A64"/>
    <w:pPr>
      <w:widowControl w:val="0"/>
      <w:autoSpaceDE w:val="0"/>
      <w:autoSpaceDN w:val="0"/>
      <w:adjustRightInd w:val="0"/>
      <w:jc w:val="right"/>
    </w:pPr>
    <w:rPr>
      <w:rFonts w:cs="Arial"/>
      <w:szCs w:val="18"/>
    </w:rPr>
  </w:style>
  <w:style w:type="paragraph" w:customStyle="1" w:styleId="CopyrightText">
    <w:name w:val="Copyright Text"/>
    <w:basedOn w:val="BodyText"/>
    <w:rsid w:val="00424A64"/>
    <w:rPr>
      <w:sz w:val="18"/>
    </w:rPr>
  </w:style>
  <w:style w:type="paragraph" w:customStyle="1" w:styleId="BodySmallRight">
    <w:name w:val="Body Small Right"/>
    <w:basedOn w:val="BodyTextRight"/>
    <w:rsid w:val="00424A64"/>
    <w:rPr>
      <w:sz w:val="18"/>
      <w:szCs w:val="18"/>
    </w:rPr>
  </w:style>
  <w:style w:type="paragraph" w:customStyle="1" w:styleId="MarginEdition">
    <w:name w:val="Margin Edition"/>
    <w:basedOn w:val="MarginNote"/>
    <w:rsid w:val="00424A64"/>
    <w:pPr>
      <w:spacing w:before="0" w:after="0"/>
    </w:pPr>
    <w:rPr>
      <w:rFonts w:ascii="Times New Roman" w:hAnsi="Times New Roman"/>
      <w:color w:val="999999"/>
    </w:rPr>
  </w:style>
  <w:style w:type="paragraph" w:customStyle="1" w:styleId="Spacer">
    <w:name w:val="Spacer"/>
    <w:basedOn w:val="Normal"/>
    <w:rsid w:val="00424A64"/>
    <w:rPr>
      <w:sz w:val="2"/>
      <w:szCs w:val="2"/>
    </w:rPr>
  </w:style>
  <w:style w:type="character" w:customStyle="1" w:styleId="Small">
    <w:name w:val="Small"/>
    <w:basedOn w:val="DefaultParagraphFont"/>
    <w:rsid w:val="00424A64"/>
    <w:rPr>
      <w:sz w:val="16"/>
    </w:rPr>
  </w:style>
  <w:style w:type="paragraph" w:customStyle="1" w:styleId="WideTable">
    <w:name w:val="Wide Table"/>
    <w:basedOn w:val="Normal"/>
    <w:rsid w:val="00424A64"/>
    <w:pPr>
      <w:ind w:left="-1418"/>
    </w:pPr>
    <w:rPr>
      <w:sz w:val="2"/>
      <w:szCs w:val="2"/>
    </w:rPr>
  </w:style>
  <w:style w:type="character" w:styleId="PageNumber">
    <w:name w:val="page number"/>
    <w:basedOn w:val="DefaultParagraphFont"/>
    <w:rsid w:val="00424A64"/>
  </w:style>
  <w:style w:type="paragraph" w:styleId="Quote">
    <w:name w:val="Quote"/>
    <w:basedOn w:val="Heading1"/>
    <w:link w:val="QuoteChar"/>
    <w:qFormat/>
    <w:rsid w:val="00424A64"/>
    <w:rPr>
      <w:b w:val="0"/>
      <w:sz w:val="72"/>
      <w:szCs w:val="72"/>
      <w:lang w:val="en-NZ"/>
    </w:rPr>
  </w:style>
  <w:style w:type="character" w:customStyle="1" w:styleId="QuoteChar">
    <w:name w:val="Quote Char"/>
    <w:basedOn w:val="DefaultParagraphFont"/>
    <w:link w:val="Quote"/>
    <w:rsid w:val="00424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A64"/>
    <w:pPr>
      <w:pageBreakBefore/>
    </w:pPr>
  </w:style>
  <w:style w:type="paragraph" w:customStyle="1" w:styleId="Border">
    <w:name w:val="Border"/>
    <w:basedOn w:val="Normal"/>
    <w:qFormat/>
    <w:rsid w:val="00424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A64"/>
    <w:rPr>
      <w:b/>
      <w:bCs/>
      <w:i/>
      <w:iCs/>
      <w:color w:val="auto"/>
    </w:rPr>
  </w:style>
  <w:style w:type="paragraph" w:styleId="IntenseQuote">
    <w:name w:val="Intense Quote"/>
    <w:basedOn w:val="Normal"/>
    <w:next w:val="Normal"/>
    <w:link w:val="IntenseQuoteChar"/>
    <w:uiPriority w:val="30"/>
    <w:qFormat/>
    <w:rsid w:val="00424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A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4A64"/>
    <w:rPr>
      <w:smallCaps/>
      <w:color w:val="auto"/>
      <w:u w:val="single"/>
    </w:rPr>
  </w:style>
  <w:style w:type="character" w:styleId="IntenseReference">
    <w:name w:val="Intense Reference"/>
    <w:basedOn w:val="DefaultParagraphFont"/>
    <w:uiPriority w:val="32"/>
    <w:qFormat/>
    <w:rsid w:val="00424A64"/>
    <w:rPr>
      <w:b/>
      <w:bCs/>
      <w:smallCaps/>
      <w:color w:val="auto"/>
      <w:spacing w:val="5"/>
      <w:u w:val="single"/>
    </w:rPr>
  </w:style>
  <w:style w:type="paragraph" w:customStyle="1" w:styleId="2ColumnHeading">
    <w:name w:val="2Column Heading"/>
    <w:basedOn w:val="BodyText"/>
    <w:qFormat/>
    <w:rsid w:val="00424A64"/>
    <w:pPr>
      <w:spacing w:after="60"/>
      <w:ind w:left="-2268"/>
    </w:pPr>
    <w:rPr>
      <w:b/>
    </w:rPr>
  </w:style>
  <w:style w:type="paragraph" w:customStyle="1" w:styleId="Heading1TOC">
    <w:name w:val="Heading1 TOC"/>
    <w:basedOn w:val="Normal"/>
    <w:qFormat/>
    <w:rsid w:val="00424A64"/>
    <w:pPr>
      <w:spacing w:before="240" w:after="120"/>
    </w:pPr>
    <w:rPr>
      <w:rFonts w:ascii="Times New Roman" w:hAnsi="Times New Roman"/>
      <w:b/>
      <w:sz w:val="32"/>
    </w:rPr>
  </w:style>
  <w:style w:type="paragraph" w:customStyle="1" w:styleId="Heading2TOC">
    <w:name w:val="Heading2 TOC"/>
    <w:basedOn w:val="Normal"/>
    <w:qFormat/>
    <w:rsid w:val="00424A64"/>
    <w:pPr>
      <w:spacing w:before="240" w:after="60"/>
    </w:pPr>
    <w:rPr>
      <w:rFonts w:ascii="Times New Roman" w:hAnsi="Times New Roman"/>
      <w:b/>
      <w:sz w:val="28"/>
    </w:rPr>
  </w:style>
  <w:style w:type="character" w:customStyle="1" w:styleId="Underline">
    <w:name w:val="Underline"/>
    <w:basedOn w:val="DefaultParagraphFont"/>
    <w:qFormat/>
    <w:rsid w:val="00424A64"/>
    <w:rPr>
      <w:u w:val="single"/>
    </w:rPr>
  </w:style>
  <w:style w:type="paragraph" w:styleId="BalloonText">
    <w:name w:val="Balloon Text"/>
    <w:basedOn w:val="Normal"/>
    <w:link w:val="BalloonTextChar"/>
    <w:rsid w:val="00424A64"/>
    <w:rPr>
      <w:rFonts w:ascii="Tahoma" w:hAnsi="Tahoma" w:cs="Tahoma"/>
      <w:sz w:val="16"/>
      <w:szCs w:val="16"/>
    </w:rPr>
  </w:style>
  <w:style w:type="character" w:customStyle="1" w:styleId="BalloonTextChar">
    <w:name w:val="Balloon Text Char"/>
    <w:basedOn w:val="DefaultParagraphFont"/>
    <w:link w:val="BalloonText"/>
    <w:rsid w:val="00424A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A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A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1688</Words>
  <Characters>10936</Characters>
  <Application>Microsoft Office Word</Application>
  <DocSecurity>0</DocSecurity>
  <Lines>390</Lines>
  <Paragraphs>193</Paragraphs>
  <ScaleCrop>false</ScaleCrop>
  <Company>Author-it Software Corporation Ltd.</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CPCCJN3002A Use computer-controlled machinery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