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3DC" w:rsidP="006F53DC">
      <w:pPr>
        <w:pStyle w:val="Title"/>
      </w:pPr>
      <w:r>
        <w:fldChar w:fldCharType="begin"/>
      </w:r>
      <w:r>
        <w:instrText xml:space="preserve"> TITLE   \* MERGEFORMAT </w:instrText>
      </w:r>
      <w:r>
        <w:fldChar w:fldCharType="separate"/>
      </w:r>
      <w:r>
        <w:t>CPCCJN2001A Assemble components</w:t>
      </w:r>
      <w:r>
        <w:fldChar w:fldCharType="end"/>
      </w:r>
    </w:p>
    <w:p w:rsidR="006F53DC" w:rsidP="006F53DC">
      <w:pPr>
        <w:pStyle w:val="Version"/>
        <w:sectPr w:rsidSect="00FA7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6A3" w:rsidP="00FA76A3">
      <w:pPr>
        <w:pStyle w:val="SuperHeading"/>
      </w:pPr>
      <w:r w:rsidRPr="00FA76A3">
        <w:t>CPCCJN2001A Assemble components</w:t>
      </w:r>
    </w:p>
    <w:p w:rsidR="00000000" w:rsidRPr="00FA76A3" w:rsidP="00FA76A3">
      <w:pPr>
        <w:pStyle w:val="Heading1"/>
      </w:pPr>
      <w:bookmarkStart w:id="1" w:name="O_269568"/>
      <w:bookmarkEnd w:id="1"/>
      <w:r w:rsidRPr="00FA76A3">
        <w:t>Modification History</w:t>
      </w:r>
    </w:p>
    <w:p w:rsidR="00000000" w:rsidRPr="00FA76A3" w:rsidP="00FA76A3">
      <w:pPr>
        <w:pStyle w:val="BodyText"/>
      </w:pPr>
      <w:r w:rsidRPr="00FA76A3">
        <w:t>Not Applicable</w:t>
      </w:r>
    </w:p>
    <w:p w:rsidR="00000000" w:rsidRPr="00FA76A3" w:rsidP="00FA76A3">
      <w:pPr>
        <w:pStyle w:val="AllowPageBreak"/>
      </w:pPr>
    </w:p>
    <w:p w:rsidR="00000000" w:rsidRPr="00FA76A3" w:rsidP="00FA76A3">
      <w:pPr>
        <w:pStyle w:val="Heading1"/>
      </w:pPr>
      <w:bookmarkStart w:id="2" w:name="O_197836"/>
      <w:bookmarkEnd w:id="2"/>
      <w:r w:rsidRPr="00FA76A3">
        <w:t>Unit Descriptor</w:t>
      </w:r>
    </w:p>
    <w:tbl>
      <w:tblPr>
        <w:tblW w:w="0" w:type="auto"/>
        <w:tblLayout w:type="fixed"/>
        <w:tblCellMar>
          <w:left w:w="62" w:type="dxa"/>
          <w:right w:w="62" w:type="dxa"/>
        </w:tblCellMar>
        <w:tblLook w:val="0000"/>
      </w:tblPr>
      <w:tblGrid>
        <w:gridCol w:w="2591"/>
        <w:gridCol w:w="5931"/>
      </w:tblGrid>
      <w:tr w:rsidTr="006F53DC">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Unit descriptor</w:t>
            </w:r>
          </w:p>
        </w:tc>
        <w:tc>
          <w:tcPr>
            <w:tcW w:w="5931"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This unit specifies the outcomes required to assemble manufactured components to form a completed construct</w:t>
            </w:r>
            <w:r w:rsidRPr="00FA76A3">
              <w:t>ed unit.</w:t>
            </w:r>
          </w:p>
        </w:tc>
      </w:tr>
    </w:tbl>
    <w:p w:rsidR="006F53DC" w:rsidP="00FA76A3">
      <w:pPr>
        <w:pStyle w:val="BodyText"/>
      </w:pPr>
    </w:p>
    <w:p w:rsidR="006F53DC" w:rsidP="00FA76A3">
      <w:pPr>
        <w:pStyle w:val="BodyText"/>
      </w:pPr>
    </w:p>
    <w:p w:rsidR="00000000" w:rsidRPr="00FA76A3" w:rsidP="00FA76A3">
      <w:pPr>
        <w:pStyle w:val="Heading1"/>
      </w:pPr>
      <w:bookmarkStart w:id="3" w:name="O_197840"/>
      <w:bookmarkEnd w:id="3"/>
      <w:r w:rsidRPr="00FA76A3">
        <w:t>Application of the Unit</w:t>
      </w:r>
    </w:p>
    <w:tbl>
      <w:tblPr>
        <w:tblW w:w="0" w:type="auto"/>
        <w:tblLayout w:type="fixed"/>
        <w:tblCellMar>
          <w:left w:w="62" w:type="dxa"/>
          <w:right w:w="62" w:type="dxa"/>
        </w:tblCellMar>
        <w:tblLook w:val="0000"/>
      </w:tblPr>
      <w:tblGrid>
        <w:gridCol w:w="2659"/>
        <w:gridCol w:w="5863"/>
      </w:tblGrid>
      <w:tr w:rsidTr="006F53DC">
        <w:tblPrEx>
          <w:tblW w:w="0" w:type="auto"/>
          <w:tblLayout w:type="fixed"/>
          <w:tblCellMar>
            <w:left w:w="62" w:type="dxa"/>
            <w:right w:w="62" w:type="dxa"/>
          </w:tblCellMar>
          <w:tblLook w:val="0000"/>
        </w:tblPrEx>
        <w:trPr>
          <w:tblHeader/>
        </w:trPr>
        <w:tc>
          <w:tcPr>
            <w:tcW w:w="2659"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Application of the unit</w:t>
            </w:r>
          </w:p>
        </w:tc>
        <w:tc>
          <w:tcPr>
            <w:tcW w:w="5863"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 xml:space="preserve">This unit of competency supports the achievement of skills and knowledge to assemble components, which may include working with others and as a member of a team. </w:t>
            </w:r>
          </w:p>
        </w:tc>
      </w:tr>
    </w:tbl>
    <w:p w:rsidR="006F53DC" w:rsidP="00FA76A3">
      <w:pPr>
        <w:pStyle w:val="BodyText"/>
      </w:pPr>
    </w:p>
    <w:p w:rsidR="006F53DC" w:rsidP="00FA76A3">
      <w:pPr>
        <w:pStyle w:val="BodyText"/>
      </w:pPr>
    </w:p>
    <w:p w:rsidR="00000000" w:rsidRPr="00FA76A3" w:rsidP="00FA76A3">
      <w:pPr>
        <w:pStyle w:val="Heading1"/>
      </w:pPr>
      <w:bookmarkStart w:id="4" w:name="O_277828"/>
      <w:bookmarkEnd w:id="4"/>
      <w:r w:rsidRPr="00FA76A3">
        <w:t>Licensing/Regulatory Information</w:t>
      </w:r>
    </w:p>
    <w:p w:rsidR="00000000" w:rsidRPr="00FA76A3" w:rsidP="00FA76A3">
      <w:pPr>
        <w:pStyle w:val="BodyText"/>
      </w:pPr>
      <w:r w:rsidRPr="00FA76A3">
        <w:t>Not Applicable</w:t>
      </w:r>
    </w:p>
    <w:p w:rsidR="00000000" w:rsidRPr="00FA76A3" w:rsidP="00FA76A3">
      <w:pPr>
        <w:pStyle w:val="AllowPageBreak"/>
      </w:pPr>
    </w:p>
    <w:p w:rsidR="00000000" w:rsidRPr="00FA76A3" w:rsidP="00FA76A3">
      <w:pPr>
        <w:pStyle w:val="Heading1"/>
      </w:pPr>
      <w:bookmarkStart w:id="5" w:name="O_197838"/>
      <w:bookmarkEnd w:id="5"/>
      <w:r w:rsidRPr="00FA76A3">
        <w:t>Pre-Requisites</w:t>
      </w:r>
    </w:p>
    <w:tbl>
      <w:tblPr>
        <w:tblW w:w="0" w:type="auto"/>
        <w:tblLayout w:type="fixed"/>
        <w:tblCellMar>
          <w:left w:w="62" w:type="dxa"/>
          <w:right w:w="62" w:type="dxa"/>
        </w:tblCellMar>
        <w:tblLook w:val="0000"/>
      </w:tblPr>
      <w:tblGrid>
        <w:gridCol w:w="2593"/>
        <w:gridCol w:w="2737"/>
        <w:gridCol w:w="3192"/>
      </w:tblGrid>
      <w:tr w:rsidTr="006F53DC">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FA76A3">
            <w:pPr>
              <w:pStyle w:val="BodyText"/>
              <w:rPr>
                <w:lang w:val="en-NZ"/>
              </w:rPr>
            </w:pPr>
          </w:p>
        </w:tc>
      </w:tr>
      <w:tr w:rsidTr="006F53DC">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t>CPCCOHS2001A</w:t>
            </w:r>
          </w:p>
        </w:tc>
        <w:tc>
          <w:tcPr>
            <w:tcW w:w="3192"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t>Apply OHS requirements, policies and procedures in the construction industry</w:t>
            </w:r>
          </w:p>
        </w:tc>
      </w:tr>
      <w:tr w:rsidTr="006F53DC">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2" w:type="dxa"/>
            <w:tcBorders>
              <w:top w:val="nil"/>
              <w:left w:val="nil"/>
              <w:bottom w:val="nil"/>
              <w:right w:val="nil"/>
            </w:tcBorders>
            <w:tcMar>
              <w:top w:w="0" w:type="dxa"/>
              <w:left w:w="62" w:type="dxa"/>
              <w:bottom w:w="0" w:type="dxa"/>
              <w:right w:w="62" w:type="dxa"/>
            </w:tcMar>
          </w:tcPr>
          <w:p w:rsidR="00000000" w:rsidRPr="00FA76A3" w:rsidP="00FA76A3">
            <w:pPr>
              <w:pStyle w:val="BodyText"/>
            </w:pPr>
          </w:p>
        </w:tc>
      </w:tr>
    </w:tbl>
    <w:p w:rsidR="006F53DC" w:rsidP="00FA76A3">
      <w:pPr>
        <w:pStyle w:val="BodyText"/>
      </w:pPr>
    </w:p>
    <w:p w:rsidR="006F53DC" w:rsidP="00FA76A3">
      <w:pPr>
        <w:pStyle w:val="BodyText"/>
      </w:pPr>
    </w:p>
    <w:p w:rsidR="00000000" w:rsidRPr="00FA76A3" w:rsidP="00FA76A3">
      <w:pPr>
        <w:pStyle w:val="Heading1"/>
      </w:pPr>
      <w:bookmarkStart w:id="6" w:name="O_197837"/>
      <w:bookmarkEnd w:id="6"/>
      <w:r w:rsidRPr="00FA76A3">
        <w:t>Employability Skills Information</w:t>
      </w:r>
    </w:p>
    <w:tbl>
      <w:tblPr>
        <w:tblW w:w="0" w:type="auto"/>
        <w:tblLayout w:type="fixed"/>
        <w:tblCellMar>
          <w:left w:w="62" w:type="dxa"/>
          <w:right w:w="62" w:type="dxa"/>
        </w:tblCellMar>
        <w:tblLook w:val="0000"/>
      </w:tblPr>
      <w:tblGrid>
        <w:gridCol w:w="2694"/>
        <w:gridCol w:w="5828"/>
      </w:tblGrid>
      <w:tr w:rsidTr="006F53D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Employability skills</w:t>
            </w:r>
          </w:p>
        </w:tc>
        <w:tc>
          <w:tcPr>
            <w:tcW w:w="5828"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This unit contains employability skills.</w:t>
            </w:r>
          </w:p>
        </w:tc>
      </w:tr>
    </w:tbl>
    <w:p w:rsidR="006F53DC" w:rsidP="00FA76A3">
      <w:pPr>
        <w:pStyle w:val="BodyText"/>
      </w:pPr>
    </w:p>
    <w:p w:rsidR="006F53DC" w:rsidP="00FA76A3">
      <w:pPr>
        <w:pStyle w:val="BodyText"/>
      </w:pPr>
    </w:p>
    <w:p w:rsidR="00000000" w:rsidRPr="00FA76A3" w:rsidP="00FA76A3">
      <w:pPr>
        <w:pStyle w:val="Heading1"/>
      </w:pPr>
      <w:bookmarkStart w:id="7" w:name="O_287614"/>
      <w:bookmarkEnd w:id="7"/>
      <w:r w:rsidRPr="00FA76A3">
        <w:t>Elements and Performance Criteria Pre-Content</w:t>
      </w:r>
    </w:p>
    <w:tbl>
      <w:tblPr>
        <w:tblW w:w="0" w:type="auto"/>
        <w:tblLayout w:type="fixed"/>
        <w:tblCellMar>
          <w:left w:w="62" w:type="dxa"/>
          <w:right w:w="62" w:type="dxa"/>
        </w:tblCellMar>
        <w:tblLook w:val="0000"/>
      </w:tblPr>
      <w:tblGrid>
        <w:gridCol w:w="2570"/>
        <w:gridCol w:w="5952"/>
      </w:tblGrid>
      <w:tr w:rsidTr="006F53DC">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FA76A3">
            <w:pPr>
              <w:pStyle w:val="BodyText"/>
              <w:rPr>
                <w:lang w:val="en-NZ"/>
              </w:rPr>
            </w:pPr>
            <w:r w:rsidRPr="00FA76A3">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FA76A3" w:rsidP="00FA76A3">
            <w:pPr>
              <w:pStyle w:val="BodyText"/>
            </w:pPr>
            <w:r w:rsidRPr="00FA76A3">
              <w:t>Performance criteria describe the performance needed to demonstrate achievement of the element. Where bold italicised text is used, further information is detailed in the required skills and knowledge section and the range statement. Assessment of performa</w:t>
            </w:r>
            <w:r w:rsidRPr="00FA76A3">
              <w:t>nce is to be consistent with the evidence guide.</w:t>
            </w:r>
          </w:p>
        </w:tc>
      </w:tr>
    </w:tbl>
    <w:p w:rsidR="00000000" w:rsidRPr="00FA76A3" w:rsidP="00FA76A3">
      <w:pPr>
        <w:pStyle w:val="BodyText"/>
      </w:pPr>
    </w:p>
    <w:p w:rsidR="00000000" w:rsidRPr="00FA76A3" w:rsidP="00FA76A3">
      <w:pPr>
        <w:pStyle w:val="AllowPageBreak"/>
      </w:pPr>
    </w:p>
    <w:p w:rsidR="00000000" w:rsidRPr="00FA76A3" w:rsidP="00FA76A3">
      <w:pPr>
        <w:pStyle w:val="Heading1"/>
      </w:pPr>
      <w:bookmarkStart w:id="8" w:name="O_234281"/>
      <w:bookmarkEnd w:id="8"/>
      <w:r w:rsidRPr="00FA76A3">
        <w:t>Elements and Performance Criteria</w:t>
      </w:r>
    </w:p>
    <w:tbl>
      <w:tblPr>
        <w:tblW w:w="0" w:type="auto"/>
        <w:tblLayout w:type="fixed"/>
        <w:tblCellMar>
          <w:left w:w="62" w:type="dxa"/>
          <w:right w:w="62" w:type="dxa"/>
        </w:tblCellMar>
        <w:tblLook w:val="0000"/>
      </w:tblPr>
      <w:tblGrid>
        <w:gridCol w:w="2570"/>
        <w:gridCol w:w="5952"/>
      </w:tblGrid>
      <w:tr w:rsidTr="006F53DC">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FA76A3" w:rsidP="00FA76A3">
            <w:pPr>
              <w:pStyle w:val="BodyText"/>
            </w:pPr>
            <w:r w:rsidRPr="00FA76A3">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FA76A3">
            <w:pPr>
              <w:pStyle w:val="BodyText"/>
              <w:rPr>
                <w:lang w:val="en-NZ"/>
              </w:rPr>
            </w:pPr>
            <w:r w:rsidRPr="00FA76A3">
              <w:rPr>
                <w:rStyle w:val="SpecialBold"/>
              </w:rPr>
              <w:t>PERFORMANCE CRITERIA</w:t>
            </w:r>
          </w:p>
        </w:tc>
      </w:tr>
      <w:tr w:rsidTr="006F53D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A76A3">
            <w:pPr>
              <w:pStyle w:val="List"/>
              <w:rPr>
                <w:lang w:val="en-NZ"/>
              </w:rPr>
            </w:pPr>
            <w:r w:rsidRPr="00FA76A3">
              <w:t>1.</w:t>
            </w:r>
            <w:r w:rsidRPr="00FA76A3">
              <w:tab/>
              <w:t>Plan and prepare.</w:t>
            </w:r>
          </w:p>
        </w:tc>
        <w:tc>
          <w:tcPr>
            <w:tcW w:w="5952" w:type="dxa"/>
            <w:tcBorders>
              <w:top w:val="nil"/>
              <w:left w:val="nil"/>
              <w:bottom w:val="nil"/>
              <w:right w:val="nil"/>
            </w:tcBorders>
            <w:tcMar>
              <w:top w:w="0" w:type="dxa"/>
              <w:left w:w="62" w:type="dxa"/>
              <w:bottom w:w="0" w:type="dxa"/>
              <w:right w:w="62" w:type="dxa"/>
            </w:tcMar>
          </w:tcPr>
          <w:p w:rsidR="00000000" w:rsidRPr="00FA76A3" w:rsidP="00FA76A3">
            <w:pPr>
              <w:pStyle w:val="List2"/>
            </w:pPr>
            <w:r w:rsidRPr="00FA76A3">
              <w:t>1.1.</w:t>
            </w:r>
            <w:r w:rsidRPr="00FA76A3">
              <w:tab/>
              <w:t xml:space="preserve">Work instructions and operational details are obtained using relevant </w:t>
            </w:r>
            <w:r w:rsidRPr="00FA76A3">
              <w:rPr>
                <w:rStyle w:val="BoldandItalics"/>
              </w:rPr>
              <w:t>information</w:t>
            </w:r>
            <w:r w:rsidRPr="00FA76A3">
              <w:t xml:space="preserve">, confirmed and applied for </w:t>
            </w:r>
            <w:r w:rsidRPr="00FA76A3">
              <w:rPr>
                <w:rStyle w:val="BoldandItalics"/>
              </w:rPr>
              <w:t>planning and preparation</w:t>
            </w:r>
            <w:r w:rsidRPr="00FA76A3">
              <w:t xml:space="preserve"> purposes. </w:t>
            </w:r>
          </w:p>
          <w:p w:rsidR="00000000" w:rsidRPr="00FA76A3" w:rsidP="00FA76A3">
            <w:pPr>
              <w:pStyle w:val="List2"/>
            </w:pPr>
            <w:r w:rsidRPr="00FA76A3">
              <w:t>1.2.</w:t>
            </w:r>
            <w:r w:rsidRPr="00FA76A3">
              <w:tab/>
            </w:r>
            <w:r w:rsidRPr="00FA76A3">
              <w:rPr>
                <w:rStyle w:val="BoldandItalics"/>
              </w:rPr>
              <w:t>Safety</w:t>
            </w:r>
            <w:r w:rsidRPr="00FA76A3">
              <w:t xml:space="preserve"> (</w:t>
            </w:r>
            <w:r w:rsidRPr="00FA76A3">
              <w:rPr>
                <w:rStyle w:val="BoldandItalics"/>
              </w:rPr>
              <w:t>OHS</w:t>
            </w:r>
            <w:r w:rsidRPr="00FA76A3">
              <w:t xml:space="preserve">) requirements are followed in accordance with safety plans and policies. </w:t>
            </w:r>
          </w:p>
          <w:p w:rsidR="00000000" w:rsidRPr="00FA76A3" w:rsidP="00FA76A3">
            <w:pPr>
              <w:pStyle w:val="List2"/>
            </w:pPr>
            <w:r w:rsidRPr="00FA76A3">
              <w:t>1.3.</w:t>
            </w:r>
            <w:r w:rsidRPr="00FA76A3">
              <w:tab/>
              <w:t>Signage and barricade requirements are identified and implemented.</w:t>
            </w:r>
          </w:p>
          <w:p w:rsidR="00000000" w:rsidRPr="00FA76A3" w:rsidP="00FA76A3">
            <w:pPr>
              <w:pStyle w:val="List2"/>
            </w:pPr>
            <w:r w:rsidRPr="00FA76A3">
              <w:t>1.4.</w:t>
            </w:r>
            <w:r w:rsidRPr="00FA76A3">
              <w:tab/>
            </w:r>
            <w:r w:rsidRPr="00FA76A3">
              <w:rPr>
                <w:rStyle w:val="BoldandItalics"/>
              </w:rPr>
              <w:t>Tools and equipment</w:t>
            </w:r>
            <w:r w:rsidRPr="00FA76A3">
              <w:t xml:space="preserve"> sele</w:t>
            </w:r>
            <w:r w:rsidRPr="00FA76A3">
              <w:t xml:space="preserve">cted to carry out tasks are consistent with job requirements, checked for serviceability and any faults are rectified or reported prior to commencement. </w:t>
            </w:r>
          </w:p>
          <w:p w:rsidR="00000000" w:rsidRPr="00FA76A3" w:rsidP="00FA76A3">
            <w:pPr>
              <w:pStyle w:val="List2"/>
            </w:pPr>
            <w:r w:rsidRPr="00FA76A3">
              <w:t>1.5.</w:t>
            </w:r>
            <w:r w:rsidRPr="00FA76A3">
              <w:tab/>
              <w:t xml:space="preserve">Material quantity requirements are calculated in accordance with plans, specifications and </w:t>
            </w:r>
            <w:r w:rsidRPr="00FA76A3">
              <w:rPr>
                <w:rStyle w:val="BoldandItalics"/>
              </w:rPr>
              <w:t>qualit</w:t>
            </w:r>
            <w:r w:rsidRPr="00FA76A3">
              <w:rPr>
                <w:rStyle w:val="BoldandItalics"/>
              </w:rPr>
              <w:t>y requirements</w:t>
            </w:r>
            <w:r w:rsidRPr="00FA76A3">
              <w:t xml:space="preserve">. </w:t>
            </w:r>
          </w:p>
          <w:p w:rsidR="00000000" w:rsidRPr="00FA76A3" w:rsidP="00FA76A3">
            <w:pPr>
              <w:pStyle w:val="List2"/>
            </w:pPr>
            <w:r w:rsidRPr="00FA76A3">
              <w:t>1.6.</w:t>
            </w:r>
            <w:r w:rsidRPr="00FA76A3">
              <w:tab/>
            </w:r>
            <w:r w:rsidRPr="00FA76A3">
              <w:rPr>
                <w:rStyle w:val="BoldandItalics"/>
              </w:rPr>
              <w:t>Materials</w:t>
            </w:r>
            <w:r w:rsidRPr="00FA76A3">
              <w:t xml:space="preserve"> appropriate </w:t>
            </w:r>
            <w:r w:rsidRPr="00FA76A3">
              <w:rPr>
                <w:rStyle w:val="BoldandItalics"/>
              </w:rPr>
              <w:t>assembled units</w:t>
            </w:r>
            <w:r w:rsidRPr="00FA76A3">
              <w:t xml:space="preserve"> are identified, obtained, prepared, safely handled and located ready for use. </w:t>
            </w:r>
          </w:p>
          <w:p w:rsidR="00000000" w:rsidP="00FA76A3">
            <w:pPr>
              <w:pStyle w:val="List2"/>
              <w:rPr>
                <w:lang w:val="en-NZ"/>
              </w:rPr>
            </w:pPr>
            <w:r w:rsidRPr="00FA76A3">
              <w:t>1.7.</w:t>
            </w:r>
            <w:r w:rsidRPr="00FA76A3">
              <w:tab/>
            </w:r>
            <w:r w:rsidRPr="00FA76A3">
              <w:rPr>
                <w:rStyle w:val="BoldandItalics"/>
              </w:rPr>
              <w:t>Environmental requirements</w:t>
            </w:r>
            <w:r w:rsidRPr="00FA76A3">
              <w:t xml:space="preserve"> are identified for the project in accordance with environmental plans and </w:t>
            </w:r>
            <w:r w:rsidRPr="00FA76A3">
              <w:rPr>
                <w:rStyle w:val="BoldandItalics"/>
              </w:rPr>
              <w:t>statutory a</w:t>
            </w:r>
            <w:r w:rsidRPr="00FA76A3">
              <w:rPr>
                <w:rStyle w:val="BoldandItalics"/>
              </w:rPr>
              <w:t>nd regulatory authority</w:t>
            </w:r>
            <w:r w:rsidRPr="00FA76A3">
              <w:t xml:space="preserve"> requirements, and are applied. </w:t>
            </w:r>
          </w:p>
        </w:tc>
      </w:tr>
      <w:tr w:rsidTr="006F53D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A76A3">
            <w:pPr>
              <w:pStyle w:val="List"/>
              <w:rPr>
                <w:lang w:val="en-NZ"/>
              </w:rPr>
            </w:pPr>
            <w:r w:rsidRPr="00FA76A3">
              <w:t>2.</w:t>
            </w:r>
            <w:r w:rsidRPr="00FA76A3">
              <w:tab/>
              <w:t>Assemble and hold components in place.</w:t>
            </w:r>
          </w:p>
        </w:tc>
        <w:tc>
          <w:tcPr>
            <w:tcW w:w="5952" w:type="dxa"/>
            <w:tcBorders>
              <w:top w:val="nil"/>
              <w:left w:val="nil"/>
              <w:bottom w:val="nil"/>
              <w:right w:val="nil"/>
            </w:tcBorders>
            <w:tcMar>
              <w:top w:w="0" w:type="dxa"/>
              <w:left w:w="62" w:type="dxa"/>
              <w:bottom w:w="0" w:type="dxa"/>
              <w:right w:w="62" w:type="dxa"/>
            </w:tcMar>
          </w:tcPr>
          <w:p w:rsidR="00000000" w:rsidRPr="00FA76A3" w:rsidP="00FA76A3">
            <w:pPr>
              <w:pStyle w:val="List2"/>
            </w:pPr>
            <w:r w:rsidRPr="00FA76A3">
              <w:t>2.1.</w:t>
            </w:r>
            <w:r w:rsidRPr="00FA76A3">
              <w:tab/>
              <w:t>Component parts are identified for location in assembly and knockdown fittings are prepared and located for assembly.</w:t>
            </w:r>
          </w:p>
          <w:p w:rsidR="00000000" w:rsidRPr="00FA76A3" w:rsidP="00FA76A3">
            <w:pPr>
              <w:pStyle w:val="List2"/>
            </w:pPr>
            <w:r w:rsidRPr="00FA76A3">
              <w:t>2.2.</w:t>
            </w:r>
            <w:r w:rsidRPr="00FA76A3">
              <w:tab/>
            </w:r>
            <w:r w:rsidRPr="00FA76A3">
              <w:t>Adhesive is applied, where applicable, to specification.</w:t>
            </w:r>
          </w:p>
          <w:p w:rsidR="00000000" w:rsidP="00FA76A3">
            <w:pPr>
              <w:pStyle w:val="List2"/>
              <w:rPr>
                <w:lang w:val="en-NZ"/>
              </w:rPr>
            </w:pPr>
            <w:r w:rsidRPr="00FA76A3">
              <w:t>2.3.</w:t>
            </w:r>
            <w:r w:rsidRPr="00FA76A3">
              <w:tab/>
              <w:t>Components are located and held in their assembled positions to design specifications.</w:t>
            </w:r>
          </w:p>
        </w:tc>
      </w:tr>
      <w:tr w:rsidTr="006F53D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A76A3">
            <w:pPr>
              <w:pStyle w:val="List"/>
              <w:rPr>
                <w:lang w:val="en-NZ"/>
              </w:rPr>
            </w:pPr>
            <w:r w:rsidRPr="00FA76A3">
              <w:t>3.</w:t>
            </w:r>
            <w:r w:rsidRPr="00FA76A3">
              <w:tab/>
              <w:t>Secure assembled components.</w:t>
            </w:r>
          </w:p>
        </w:tc>
        <w:tc>
          <w:tcPr>
            <w:tcW w:w="5952" w:type="dxa"/>
            <w:tcBorders>
              <w:top w:val="nil"/>
              <w:left w:val="nil"/>
              <w:bottom w:val="nil"/>
              <w:right w:val="nil"/>
            </w:tcBorders>
            <w:tcMar>
              <w:top w:w="0" w:type="dxa"/>
              <w:left w:w="62" w:type="dxa"/>
              <w:bottom w:w="0" w:type="dxa"/>
              <w:right w:w="62" w:type="dxa"/>
            </w:tcMar>
          </w:tcPr>
          <w:p w:rsidR="00000000" w:rsidRPr="00FA76A3" w:rsidP="00FA76A3">
            <w:pPr>
              <w:pStyle w:val="List2"/>
            </w:pPr>
            <w:r w:rsidRPr="00FA76A3">
              <w:t>3.1.</w:t>
            </w:r>
            <w:r w:rsidRPr="00FA76A3">
              <w:tab/>
              <w:t xml:space="preserve">Frame or unit is secured by appropriate </w:t>
            </w:r>
            <w:r w:rsidRPr="00FA76A3">
              <w:rPr>
                <w:rStyle w:val="BoldandItalics"/>
              </w:rPr>
              <w:t>assembly methods</w:t>
            </w:r>
            <w:r w:rsidRPr="00FA76A3">
              <w:t xml:space="preserve">. </w:t>
            </w:r>
          </w:p>
          <w:p w:rsidR="00000000" w:rsidRPr="00FA76A3" w:rsidP="00FA76A3">
            <w:pPr>
              <w:pStyle w:val="List2"/>
            </w:pPr>
            <w:r w:rsidRPr="00FA76A3">
              <w:t>3.2.</w:t>
            </w:r>
            <w:r w:rsidRPr="00FA76A3">
              <w:tab/>
              <w:t>Faste</w:t>
            </w:r>
            <w:r w:rsidRPr="00FA76A3">
              <w:t>ned joints are secured by fasteners or knockdown fittings, using appropriate tools to specification or as appropriate.</w:t>
            </w:r>
          </w:p>
          <w:p w:rsidR="00000000" w:rsidRPr="00FA76A3" w:rsidP="00FA76A3">
            <w:pPr>
              <w:pStyle w:val="List2"/>
            </w:pPr>
            <w:r w:rsidRPr="00FA76A3">
              <w:t>3.3.</w:t>
            </w:r>
            <w:r w:rsidRPr="00FA76A3">
              <w:tab/>
              <w:t>Plated joints are secured by placement and pneumatic hammer or press of gangnail plates to specification or as appropriate.</w:t>
            </w:r>
          </w:p>
          <w:p w:rsidR="00000000" w:rsidP="00FA76A3">
            <w:pPr>
              <w:pStyle w:val="List2"/>
              <w:rPr>
                <w:lang w:val="en-NZ"/>
              </w:rPr>
            </w:pPr>
            <w:r w:rsidRPr="00FA76A3">
              <w:t>3.4.</w:t>
            </w:r>
            <w:r w:rsidRPr="00FA76A3">
              <w:tab/>
              <w:t>Wel</w:t>
            </w:r>
            <w:r w:rsidRPr="00FA76A3">
              <w:t>d joints are prepared for welding.</w:t>
            </w:r>
          </w:p>
        </w:tc>
      </w:tr>
      <w:tr w:rsidTr="006F53D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A76A3">
            <w:pPr>
              <w:pStyle w:val="List"/>
              <w:rPr>
                <w:lang w:val="en-NZ"/>
              </w:rPr>
            </w:pPr>
            <w:r w:rsidRPr="00FA76A3">
              <w:t>4.</w:t>
            </w:r>
            <w:r w:rsidRPr="00FA76A3">
              <w:tab/>
              <w:t>Clean up.</w:t>
            </w:r>
          </w:p>
        </w:tc>
        <w:tc>
          <w:tcPr>
            <w:tcW w:w="5952" w:type="dxa"/>
            <w:tcBorders>
              <w:top w:val="nil"/>
              <w:left w:val="nil"/>
              <w:bottom w:val="nil"/>
              <w:right w:val="nil"/>
            </w:tcBorders>
            <w:tcMar>
              <w:top w:w="0" w:type="dxa"/>
              <w:left w:w="62" w:type="dxa"/>
              <w:bottom w:w="0" w:type="dxa"/>
              <w:right w:w="62" w:type="dxa"/>
            </w:tcMar>
          </w:tcPr>
          <w:p w:rsidR="00000000" w:rsidRPr="00FA76A3" w:rsidP="00FA76A3">
            <w:pPr>
              <w:pStyle w:val="List2"/>
            </w:pPr>
            <w:r w:rsidRPr="00FA76A3">
              <w:t>4.1.</w:t>
            </w:r>
            <w:r w:rsidRPr="00FA76A3">
              <w:tab/>
              <w:t>Assembly and holding system is dismantled carefully.</w:t>
            </w:r>
          </w:p>
          <w:p w:rsidR="00000000" w:rsidRPr="00FA76A3" w:rsidP="00FA76A3">
            <w:pPr>
              <w:pStyle w:val="List2"/>
            </w:pPr>
            <w:r w:rsidRPr="00FA76A3">
              <w:t>4.2.</w:t>
            </w:r>
            <w:r w:rsidRPr="00FA76A3">
              <w:tab/>
              <w:t>Waste material is disposed of safely and reusable material is stored/stacked.</w:t>
            </w:r>
          </w:p>
          <w:p w:rsidR="00000000" w:rsidRPr="00FA76A3" w:rsidP="00FA76A3">
            <w:pPr>
              <w:pStyle w:val="List2"/>
            </w:pPr>
            <w:r w:rsidRPr="00FA76A3">
              <w:t>4.3.</w:t>
            </w:r>
            <w:r w:rsidRPr="00FA76A3">
              <w:tab/>
              <w:t>Tools and equipment are cleaned, maintained and stored.</w:t>
            </w:r>
          </w:p>
        </w:tc>
      </w:tr>
    </w:tbl>
    <w:p w:rsidR="006F53DC" w:rsidP="00FA76A3">
      <w:pPr>
        <w:pStyle w:val="BodyText"/>
      </w:pPr>
    </w:p>
    <w:p w:rsidR="006F53DC" w:rsidP="00FA76A3">
      <w:pPr>
        <w:pStyle w:val="BodyText"/>
      </w:pPr>
    </w:p>
    <w:p w:rsidR="00000000" w:rsidRPr="00FA76A3" w:rsidP="00FA76A3">
      <w:pPr>
        <w:pStyle w:val="Heading1"/>
      </w:pPr>
      <w:bookmarkStart w:id="9" w:name="O_258231"/>
      <w:bookmarkEnd w:id="9"/>
      <w:r w:rsidRPr="00FA76A3">
        <w:t>Required Skills and Knowledge</w:t>
      </w:r>
    </w:p>
    <w:tbl>
      <w:tblPr>
        <w:tblW w:w="0" w:type="auto"/>
        <w:tblLayout w:type="fixed"/>
        <w:tblCellMar>
          <w:left w:w="62" w:type="dxa"/>
          <w:right w:w="62" w:type="dxa"/>
        </w:tblCellMar>
        <w:tblLook w:val="0000"/>
      </w:tblPr>
      <w:tblGrid>
        <w:gridCol w:w="8522"/>
      </w:tblGrid>
      <w:tr w:rsidTr="006F53D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REQUIRED SKILLS AND KNOWLEDGE</w:t>
            </w:r>
          </w:p>
        </w:tc>
      </w:tr>
      <w:tr w:rsidTr="006F5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t>This section describes the skills and knowledge required for this unit.</w:t>
            </w:r>
          </w:p>
        </w:tc>
      </w:tr>
      <w:tr w:rsidTr="006F5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Required skills</w:t>
            </w:r>
          </w:p>
        </w:tc>
      </w:tr>
      <w:tr w:rsidTr="006F5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Required skills for this unit are:</w:t>
            </w:r>
          </w:p>
          <w:p w:rsidR="00000000" w:rsidRPr="00FA76A3" w:rsidP="00FA76A3">
            <w:pPr>
              <w:pStyle w:val="ListBullet"/>
            </w:pPr>
            <w:r w:rsidRPr="00FA76A3">
              <w:t>ability to recognise procedures, respond to change and contribute to workplace responsibilities, such as current work site environmental or sustainability frameworks or management systems</w:t>
            </w:r>
          </w:p>
          <w:p w:rsidR="00000000" w:rsidRPr="00FA76A3" w:rsidP="00FA76A3">
            <w:pPr>
              <w:pStyle w:val="ListBullet"/>
            </w:pPr>
            <w:r w:rsidRPr="00FA76A3">
              <w:t>communication skills to:</w:t>
            </w:r>
          </w:p>
          <w:p w:rsidR="00000000" w:rsidRPr="00FA76A3" w:rsidP="00FA76A3">
            <w:pPr>
              <w:pStyle w:val="ListBullet2"/>
            </w:pPr>
            <w:r w:rsidRPr="00FA76A3">
              <w:t>enable clear and direct communication, usi</w:t>
            </w:r>
            <w:r w:rsidRPr="00FA76A3">
              <w:t>ng questioning to identify and confirm requirements, share information, listen and understand</w:t>
            </w:r>
          </w:p>
          <w:p w:rsidR="00000000" w:rsidRPr="00FA76A3" w:rsidP="00FA76A3">
            <w:pPr>
              <w:pStyle w:val="ListBullet2"/>
            </w:pPr>
            <w:r w:rsidRPr="00FA76A3">
              <w:t>follow instructions</w:t>
            </w:r>
          </w:p>
          <w:p w:rsidR="00000000" w:rsidRPr="00FA76A3" w:rsidP="00FA76A3">
            <w:pPr>
              <w:pStyle w:val="ListBullet2"/>
            </w:pPr>
            <w:r w:rsidRPr="00FA76A3">
              <w:t>read and interpret drawings and specifications</w:t>
            </w:r>
          </w:p>
          <w:p w:rsidR="00000000" w:rsidRPr="00FA76A3" w:rsidP="00FA76A3">
            <w:pPr>
              <w:pStyle w:val="ListBullet2"/>
            </w:pPr>
            <w:r w:rsidRPr="00FA76A3">
              <w:t>use and interpret non-verbal communication</w:t>
            </w:r>
          </w:p>
          <w:p w:rsidR="00000000" w:rsidRPr="00FA76A3" w:rsidP="00FA76A3">
            <w:pPr>
              <w:pStyle w:val="ListBullet2"/>
            </w:pPr>
            <w:r w:rsidRPr="00FA76A3">
              <w:t>use language and concepts appropriate to cultural differences</w:t>
            </w:r>
          </w:p>
          <w:p w:rsidR="00000000" w:rsidRPr="00FA76A3" w:rsidP="00FA76A3">
            <w:pPr>
              <w:pStyle w:val="ListBullet"/>
            </w:pPr>
            <w:r w:rsidRPr="00FA76A3">
              <w:t>innovation skills to select appropriate tools and equipment, respond to workplace challenges and put ideas into action</w:t>
            </w:r>
          </w:p>
          <w:p w:rsidR="00000000" w:rsidRPr="00FA76A3" w:rsidP="00FA76A3">
            <w:pPr>
              <w:pStyle w:val="ListBullet"/>
            </w:pPr>
            <w:r w:rsidRPr="00FA76A3">
              <w:t>numeracy skills to apply measurements</w:t>
            </w:r>
          </w:p>
          <w:p w:rsidR="00000000" w:rsidRPr="00FA76A3" w:rsidP="00FA76A3">
            <w:pPr>
              <w:pStyle w:val="ListBullet"/>
            </w:pPr>
            <w:r w:rsidRPr="00FA76A3">
              <w:t>planning and organisational skills t</w:t>
            </w:r>
            <w:r w:rsidRPr="00FA76A3">
              <w:t>o identify requirements, apply relevant resources and sequence tasks</w:t>
            </w:r>
          </w:p>
          <w:p w:rsidR="00000000" w:rsidRPr="00FA76A3" w:rsidP="00FA76A3">
            <w:pPr>
              <w:pStyle w:val="ListBullet"/>
            </w:pPr>
            <w:r w:rsidRPr="00FA76A3">
              <w:t>problem solving skills to recognise and take action to rectify minor faults and problems</w:t>
            </w:r>
          </w:p>
          <w:p w:rsidR="00000000" w:rsidP="00FA76A3">
            <w:pPr>
              <w:pStyle w:val="ListBullet"/>
              <w:rPr>
                <w:lang w:val="en-NZ"/>
              </w:rPr>
            </w:pPr>
            <w:r w:rsidRPr="00FA76A3">
              <w:t>teamwork skills to be able to work with others to action tasks and relate to people from a range o</w:t>
            </w:r>
            <w:r w:rsidRPr="00FA76A3">
              <w:t>f cultural, social, ethnic backgrounds and with varying physical and mental abilities.</w:t>
            </w:r>
          </w:p>
        </w:tc>
      </w:tr>
      <w:tr w:rsidTr="006F5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Required knowledge</w:t>
            </w:r>
          </w:p>
        </w:tc>
      </w:tr>
      <w:tr w:rsidTr="006F53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Required knowledge for this unit is:</w:t>
            </w:r>
          </w:p>
          <w:p w:rsidR="00000000" w:rsidRPr="00FA76A3" w:rsidP="00FA76A3">
            <w:pPr>
              <w:pStyle w:val="ListBullet"/>
            </w:pPr>
            <w:r w:rsidRPr="00FA76A3">
              <w:t>interpretation of drawings and specifications</w:t>
            </w:r>
          </w:p>
          <w:p w:rsidR="00000000" w:rsidRPr="00FA76A3" w:rsidP="00FA76A3">
            <w:pPr>
              <w:pStyle w:val="ListBullet"/>
            </w:pPr>
            <w:r w:rsidRPr="00FA76A3">
              <w:t>job safety analysis (JSA) and safe work method statements</w:t>
            </w:r>
          </w:p>
          <w:p w:rsidR="00000000" w:rsidRPr="00FA76A3" w:rsidP="00FA76A3">
            <w:pPr>
              <w:pStyle w:val="ListBullet"/>
            </w:pPr>
            <w:r w:rsidRPr="00FA76A3">
              <w:t>manufacturing and assembly processes in constructing componentry units</w:t>
            </w:r>
          </w:p>
          <w:p w:rsidR="00000000" w:rsidRPr="00FA76A3" w:rsidP="00FA76A3">
            <w:pPr>
              <w:pStyle w:val="ListBullet"/>
            </w:pPr>
            <w:r w:rsidRPr="00FA76A3">
              <w:t>measuring and marking processes and techniques related to assembling units</w:t>
            </w:r>
          </w:p>
          <w:p w:rsidR="00000000" w:rsidRPr="00FA76A3" w:rsidP="00FA76A3">
            <w:pPr>
              <w:pStyle w:val="ListBullet"/>
            </w:pPr>
            <w:r w:rsidRPr="00FA76A3">
              <w:t>temporary bracing techniques</w:t>
            </w:r>
          </w:p>
          <w:p w:rsidR="00000000" w:rsidRPr="00FA76A3" w:rsidP="00FA76A3">
            <w:pPr>
              <w:pStyle w:val="ListBullet"/>
            </w:pPr>
            <w:r w:rsidRPr="00FA76A3">
              <w:t>workplace and equipment safety requirements.</w:t>
            </w:r>
          </w:p>
        </w:tc>
      </w:tr>
    </w:tbl>
    <w:p w:rsidR="006F53DC" w:rsidP="00FA76A3">
      <w:pPr>
        <w:pStyle w:val="BodyText"/>
      </w:pPr>
    </w:p>
    <w:p w:rsidR="006F53DC" w:rsidP="00FA76A3">
      <w:pPr>
        <w:pStyle w:val="BodyText"/>
      </w:pPr>
    </w:p>
    <w:p w:rsidR="00000000" w:rsidRPr="00FA76A3" w:rsidP="00FA76A3">
      <w:pPr>
        <w:pStyle w:val="AllowPageBreak"/>
      </w:pPr>
    </w:p>
    <w:p w:rsidR="00000000" w:rsidRPr="00FA76A3" w:rsidP="00FA76A3">
      <w:pPr>
        <w:pStyle w:val="Heading1"/>
      </w:pPr>
      <w:bookmarkStart w:id="10" w:name="O_242265"/>
      <w:bookmarkEnd w:id="10"/>
      <w:r w:rsidRPr="00FA76A3">
        <w:t>Evidence Guide</w:t>
      </w:r>
    </w:p>
    <w:tbl>
      <w:tblPr>
        <w:tblW w:w="0" w:type="auto"/>
        <w:tblLayout w:type="fixed"/>
        <w:tblCellMar>
          <w:left w:w="62" w:type="dxa"/>
          <w:right w:w="62" w:type="dxa"/>
        </w:tblCellMar>
        <w:tblLook w:val="0000"/>
      </w:tblPr>
      <w:tblGrid>
        <w:gridCol w:w="3513"/>
        <w:gridCol w:w="5009"/>
      </w:tblGrid>
      <w:tr w:rsidTr="006F53D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76A3">
            <w:pPr>
              <w:pStyle w:val="BodyText"/>
              <w:rPr>
                <w:lang w:val="en-NZ"/>
              </w:rPr>
            </w:pPr>
            <w:r w:rsidRPr="00FA76A3">
              <w:rPr>
                <w:rStyle w:val="SpecialBold"/>
              </w:rPr>
              <w:t>EVIDENCE GUIDE</w:t>
            </w:r>
          </w:p>
        </w:tc>
      </w:tr>
      <w:tr w:rsidTr="006F53D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76A3">
            <w:pPr>
              <w:pStyle w:val="BodyText"/>
              <w:rPr>
                <w:lang w:val="en-NZ"/>
              </w:rPr>
            </w:pPr>
            <w:r w:rsidRPr="00FA76A3">
              <w:t>The evidence guide provides advice on assessment and must be read in conjunction with the performance criteria, required skills and knowledge, range statement and the Assessment Guidelines for the Training Package.</w:t>
            </w:r>
          </w:p>
        </w:tc>
      </w:tr>
      <w:tr w:rsidTr="006F53D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t xml:space="preserve">This unit of competency could be assessed in the workplace or a close simulation of the workplace environment, provided that simulated or project-based </w:t>
            </w:r>
            <w:r w:rsidRPr="00FA76A3">
              <w:t xml:space="preserve">assessment techniques fully replicate construction workplace conditions, materials, activities, responsibilities and procedures. </w:t>
            </w:r>
          </w:p>
        </w:tc>
      </w:tr>
      <w:tr w:rsidTr="006F53D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A person who demonstrates compet</w:t>
            </w:r>
            <w:r w:rsidRPr="00FA76A3">
              <w:t>ency in this unit must be able to prepare components and assemble at least one of the assembled unit types listed in the range statement, providing evidence of the ability to:</w:t>
            </w:r>
          </w:p>
          <w:p w:rsidR="00000000" w:rsidRPr="00FA76A3" w:rsidP="00FA76A3">
            <w:pPr>
              <w:pStyle w:val="ListBullet"/>
            </w:pPr>
            <w:r w:rsidRPr="00FA76A3">
              <w:t>comply with OHS regulations applicable to workplace operations</w:t>
            </w:r>
          </w:p>
          <w:p w:rsidR="00000000" w:rsidRPr="00FA76A3" w:rsidP="00FA76A3">
            <w:pPr>
              <w:pStyle w:val="ListBullet"/>
            </w:pPr>
            <w:r w:rsidRPr="00FA76A3">
              <w:t>comply with organisational policies and procedures, including quality assurance requirements within the context of assembling units</w:t>
            </w:r>
          </w:p>
          <w:p w:rsidR="00000000" w:rsidRPr="00FA76A3" w:rsidP="00FA76A3">
            <w:pPr>
              <w:pStyle w:val="ListBullet"/>
            </w:pPr>
            <w:r w:rsidRPr="00FA76A3">
              <w:t>select and use appropriate processes, tools and equipment to carry out tasks</w:t>
            </w:r>
          </w:p>
          <w:p w:rsidR="00000000" w:rsidRPr="00FA76A3" w:rsidP="00FA76A3">
            <w:pPr>
              <w:pStyle w:val="ListBullet"/>
            </w:pPr>
            <w:r w:rsidRPr="00FA76A3">
              <w:t xml:space="preserve">indicate visual checking of component parts to </w:t>
            </w:r>
            <w:r w:rsidRPr="00FA76A3">
              <w:t>ensure right part and right location</w:t>
            </w:r>
          </w:p>
          <w:p w:rsidR="00000000" w:rsidRPr="00FA76A3" w:rsidP="00FA76A3">
            <w:pPr>
              <w:pStyle w:val="ListBullet"/>
            </w:pPr>
            <w:r w:rsidRPr="00FA76A3">
              <w:t>select and use appropriate packing material for protection of surfaces during assembly</w:t>
            </w:r>
          </w:p>
          <w:p w:rsidR="00000000" w:rsidRPr="00FA76A3" w:rsidP="00FA76A3">
            <w:pPr>
              <w:pStyle w:val="ListBullet"/>
            </w:pPr>
            <w:r w:rsidRPr="00FA76A3">
              <w:t>select and apply effective methods of holding components together in an assembly process</w:t>
            </w:r>
          </w:p>
          <w:p w:rsidR="00000000" w:rsidRPr="00FA76A3" w:rsidP="00FA76A3">
            <w:pPr>
              <w:pStyle w:val="ListBullet"/>
            </w:pPr>
            <w:r w:rsidRPr="00FA76A3">
              <w:t>demonstrate sound procedures to ensure join</w:t>
            </w:r>
            <w:r w:rsidRPr="00FA76A3">
              <w:t>ts are closed and true and assembly is square and out of winding</w:t>
            </w:r>
          </w:p>
          <w:p w:rsidR="00000000" w:rsidP="00FA76A3">
            <w:pPr>
              <w:pStyle w:val="ListBullet"/>
              <w:rPr>
                <w:lang w:val="en-NZ"/>
              </w:rPr>
            </w:pPr>
            <w:r w:rsidRPr="00FA76A3">
              <w:t>display sound and safe procedures to fix or secure joints.</w:t>
            </w:r>
          </w:p>
        </w:tc>
      </w:tr>
      <w:tr w:rsidTr="006F53D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This competency is to be assessed using standard and authorised work practices, sa</w:t>
            </w:r>
            <w:r w:rsidRPr="00FA76A3">
              <w:t>fety requirements and environmental constraints.</w:t>
            </w:r>
          </w:p>
          <w:p w:rsidR="00000000" w:rsidRPr="00FA76A3" w:rsidP="00FA76A3">
            <w:pPr>
              <w:pStyle w:val="BodyText"/>
            </w:pPr>
            <w:r w:rsidRPr="00FA76A3">
              <w:t>Assessment of essential underpinning knowledge will usually be conducted in an off-site context.</w:t>
            </w:r>
          </w:p>
          <w:p w:rsidR="00000000" w:rsidRPr="00FA76A3" w:rsidP="00FA76A3">
            <w:pPr>
              <w:pStyle w:val="BodyText"/>
            </w:pPr>
            <w:r w:rsidRPr="00FA76A3">
              <w:t>Assessment is to comply with relevant regulatory or Australian standards' requirements.</w:t>
            </w:r>
          </w:p>
          <w:p w:rsidR="00000000" w:rsidRPr="00FA76A3" w:rsidP="00FA76A3">
            <w:pPr>
              <w:pStyle w:val="BodyText"/>
            </w:pPr>
            <w:r w:rsidRPr="00FA76A3">
              <w:t xml:space="preserve">Resource implications </w:t>
            </w:r>
            <w:r w:rsidRPr="00FA76A3">
              <w:t>for assessment include:</w:t>
            </w:r>
          </w:p>
          <w:p w:rsidR="00000000" w:rsidRPr="00FA76A3" w:rsidP="00FA76A3">
            <w:pPr>
              <w:pStyle w:val="ListBullet"/>
            </w:pPr>
            <w:r w:rsidRPr="00FA76A3">
              <w:t>work area appropriate to task</w:t>
            </w:r>
          </w:p>
          <w:p w:rsidR="00000000" w:rsidRPr="00FA76A3" w:rsidP="00FA76A3">
            <w:pPr>
              <w:pStyle w:val="ListBullet"/>
            </w:pPr>
            <w:r w:rsidRPr="00FA76A3">
              <w:t>working drawings and specifications relevant to task</w:t>
            </w:r>
          </w:p>
          <w:p w:rsidR="00000000" w:rsidRPr="00FA76A3" w:rsidP="00FA76A3">
            <w:pPr>
              <w:pStyle w:val="ListBullet"/>
            </w:pPr>
            <w:r w:rsidRPr="00FA76A3">
              <w:t>procedure documents appropriate to manufacturing processes</w:t>
            </w:r>
          </w:p>
          <w:p w:rsidR="00000000" w:rsidRPr="00FA76A3" w:rsidP="00FA76A3">
            <w:pPr>
              <w:pStyle w:val="ListBullet"/>
            </w:pPr>
            <w:r w:rsidRPr="00FA76A3">
              <w:t>tools, plant and equipment relevant to manufacture process</w:t>
            </w:r>
          </w:p>
          <w:p w:rsidR="00000000" w:rsidRPr="00FA76A3" w:rsidP="00FA76A3">
            <w:pPr>
              <w:pStyle w:val="ListBullet"/>
            </w:pPr>
            <w:r w:rsidRPr="00FA76A3">
              <w:t>material appropriate to proposed project activity.</w:t>
            </w:r>
          </w:p>
          <w:p w:rsidR="00000000" w:rsidP="00FA76A3">
            <w:pPr>
              <w:pStyle w:val="BodyText"/>
              <w:rPr>
                <w:lang w:val="en-NZ"/>
              </w:rPr>
            </w:pPr>
            <w:r w:rsidRPr="00FA76A3">
              <w:t>Reasonable adjustments for people with disabilities must be made to assessment processes where required. This could include access to modified equipment and other physical resources, and the provision of a</w:t>
            </w:r>
            <w:r w:rsidRPr="00FA76A3">
              <w:t xml:space="preserve">ppropriate assessment support. </w:t>
            </w:r>
          </w:p>
        </w:tc>
      </w:tr>
      <w:tr w:rsidTr="006F53DC">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Assessment methods must:</w:t>
            </w:r>
          </w:p>
          <w:p w:rsidR="00000000" w:rsidRPr="00FA76A3" w:rsidP="00FA76A3">
            <w:pPr>
              <w:pStyle w:val="ListBullet"/>
            </w:pPr>
            <w:r w:rsidRPr="00FA76A3">
              <w:t>satisfy the endorsed Assessment Guidelines of the Construction, Plumbing and Services Training Package</w:t>
            </w:r>
          </w:p>
          <w:p w:rsidR="00000000" w:rsidRPr="00FA76A3" w:rsidP="00FA76A3">
            <w:pPr>
              <w:pStyle w:val="ListBullet"/>
            </w:pPr>
            <w:r w:rsidRPr="00FA76A3">
              <w:t>include direct observation of tasks in real or simulated work conditions,</w:t>
            </w:r>
            <w:r w:rsidRPr="00FA76A3">
              <w:t xml:space="preserve"> with questioning to confirm the ability to consistently identify and correctly interpret the essential underpinning knowledge required for practical application</w:t>
            </w:r>
          </w:p>
          <w:p w:rsidR="00000000" w:rsidRPr="00FA76A3" w:rsidP="00FA76A3">
            <w:pPr>
              <w:pStyle w:val="ListBullet"/>
            </w:pPr>
            <w:r w:rsidRPr="00FA76A3">
              <w:t>reinforce the integration of employability skills with workplace tasks and job roles</w:t>
            </w:r>
          </w:p>
          <w:p w:rsidR="00000000" w:rsidRPr="00FA76A3" w:rsidP="00FA76A3">
            <w:pPr>
              <w:pStyle w:val="ListBullet"/>
            </w:pPr>
            <w:r w:rsidRPr="00FA76A3">
              <w:t>confirm a</w:t>
            </w:r>
            <w:r w:rsidRPr="00FA76A3">
              <w:t xml:space="preserve"> reasonable inference that competency is not only verified under the particular assessment circumstance, but is able to be transferred to other circumstances and environments.</w:t>
            </w:r>
          </w:p>
          <w:p w:rsidR="00000000" w:rsidRPr="00FA76A3" w:rsidP="00FA76A3">
            <w:pPr>
              <w:pStyle w:val="BodyText"/>
            </w:pPr>
            <w:r w:rsidRPr="00FA76A3">
              <w:t>Validity and sufficiency of evidence requires that:</w:t>
            </w:r>
          </w:p>
          <w:p w:rsidR="00000000" w:rsidRPr="00FA76A3" w:rsidP="00FA76A3">
            <w:pPr>
              <w:pStyle w:val="ListBullet"/>
            </w:pPr>
            <w:r w:rsidRPr="00FA76A3">
              <w:t xml:space="preserve">competency will need to be </w:t>
            </w:r>
            <w:r w:rsidRPr="00FA76A3">
              <w:t>demonstrated over a period of time reflecting the scope of the role and practical requirements of the workplace</w:t>
            </w:r>
          </w:p>
          <w:p w:rsidR="00000000" w:rsidRPr="00FA76A3" w:rsidP="00FA76A3">
            <w:pPr>
              <w:pStyle w:val="ListBullet"/>
            </w:pPr>
            <w:r w:rsidRPr="00FA76A3">
              <w:t>where the assessment is part of a structured learning experience the evidence collected must relate to a number of performances assessed at diff</w:t>
            </w:r>
            <w:r w:rsidRPr="00FA76A3">
              <w:t>erent points in time and separated by further learning and practice with a decision on competency only taken at the point when the assessor has complete confidence in the person's demonstrated ability and applied knowledge</w:t>
            </w:r>
          </w:p>
          <w:p w:rsidR="00000000" w:rsidRPr="00FA76A3" w:rsidP="00FA76A3">
            <w:pPr>
              <w:pStyle w:val="ListBullet"/>
            </w:pPr>
            <w:r w:rsidRPr="00FA76A3">
              <w:t xml:space="preserve">all assessment that is part of a </w:t>
            </w:r>
            <w:r w:rsidRPr="00FA76A3">
              <w:t>structured learning experience must include a combination of direct, indirect and supplementary evidence.</w:t>
            </w:r>
          </w:p>
          <w:p w:rsidR="00000000" w:rsidRPr="00FA76A3" w:rsidP="00FA76A3">
            <w:pPr>
              <w:pStyle w:val="BodyText"/>
            </w:pPr>
            <w:r w:rsidRPr="00FA76A3">
              <w:t xml:space="preserve">Assessment processes and techniques should, as far as is practical, take into account the language, literacy and numeracy capacity of the candidate </w:t>
            </w:r>
            <w:r w:rsidRPr="00FA76A3">
              <w:t>in relation to the competency being assessed.</w:t>
            </w:r>
          </w:p>
          <w:p w:rsidR="00000000" w:rsidRPr="00FA76A3" w:rsidP="00FA76A3">
            <w:pPr>
              <w:pStyle w:val="BodyText"/>
            </w:pPr>
            <w:r w:rsidRPr="00FA76A3">
              <w:t xml:space="preserve">Supplementary evidence of competency may be obtained from relevant authenticated documentation from third parties, such as existing supervisors, team leaders or specialist training staff. </w:t>
            </w:r>
          </w:p>
        </w:tc>
      </w:tr>
    </w:tbl>
    <w:p w:rsidR="006F53DC" w:rsidP="00FA76A3">
      <w:pPr>
        <w:pStyle w:val="BodyText"/>
      </w:pPr>
    </w:p>
    <w:p w:rsidR="006F53DC" w:rsidP="00FA76A3">
      <w:pPr>
        <w:pStyle w:val="BodyText"/>
      </w:pPr>
    </w:p>
    <w:p w:rsidR="00000000" w:rsidRPr="00FA76A3" w:rsidP="00FA76A3">
      <w:pPr>
        <w:pStyle w:val="Heading1"/>
      </w:pPr>
      <w:bookmarkStart w:id="11" w:name="O_250248"/>
      <w:bookmarkEnd w:id="11"/>
      <w:r w:rsidRPr="00FA76A3">
        <w:t>Range Statement</w:t>
      </w:r>
    </w:p>
    <w:tbl>
      <w:tblPr>
        <w:tblW w:w="0" w:type="auto"/>
        <w:tblLayout w:type="fixed"/>
        <w:tblCellMar>
          <w:left w:w="62" w:type="dxa"/>
          <w:right w:w="62" w:type="dxa"/>
        </w:tblCellMar>
        <w:tblLook w:val="0000"/>
      </w:tblPr>
      <w:tblGrid>
        <w:gridCol w:w="3481"/>
        <w:gridCol w:w="5041"/>
      </w:tblGrid>
      <w:tr w:rsidTr="006F53D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76A3">
            <w:pPr>
              <w:pStyle w:val="BodyText"/>
              <w:rPr>
                <w:lang w:val="en-NZ"/>
              </w:rPr>
            </w:pPr>
            <w:r w:rsidRPr="00FA76A3">
              <w:rPr>
                <w:rStyle w:val="SpecialBold"/>
              </w:rPr>
              <w:t>RANGE STATEMENT</w:t>
            </w:r>
          </w:p>
        </w:tc>
      </w:tr>
      <w:tr w:rsidTr="006F53D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76A3">
            <w:pPr>
              <w:pStyle w:val="BodyText"/>
              <w:rPr>
                <w:lang w:val="en-NZ"/>
              </w:rPr>
            </w:pPr>
            <w:r w:rsidRPr="00FA76A3">
              <w:t xml:space="preserve">The range statement relates to the unit of competency as a whole. It allows for different work environments and situations that may affect </w:t>
            </w:r>
            <w:r w:rsidRPr="00FA76A3">
              <w:t>performance. Bold italicised wording, if used in the performance criteria, is detailed below. Essential operating conditions that may be present with training and assessment (depending on the work situation, needs of the candidate, accessibility of the ite</w:t>
            </w:r>
            <w:r w:rsidRPr="00FA76A3">
              <w:t>m, and local industry and regional contexts) may also be included.</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Information</w:t>
            </w:r>
            <w:r w:rsidRPr="00FA76A3">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diagrams or sketches</w:t>
            </w:r>
          </w:p>
          <w:p w:rsidR="00000000" w:rsidRPr="00FA76A3" w:rsidP="00FA76A3">
            <w:pPr>
              <w:pStyle w:val="ListBullet"/>
            </w:pPr>
            <w:r w:rsidRPr="00FA76A3">
              <w:t>instructions issued by authorised organisational or external personnel</w:t>
            </w:r>
          </w:p>
          <w:p w:rsidR="00000000" w:rsidRPr="00FA76A3" w:rsidP="00FA76A3">
            <w:pPr>
              <w:pStyle w:val="ListBullet"/>
            </w:pPr>
            <w:r w:rsidRPr="00FA76A3">
              <w:t>manufacturer specifications and instructions, where specified</w:t>
            </w:r>
          </w:p>
          <w:p w:rsidR="00000000" w:rsidRPr="00FA76A3" w:rsidP="00FA76A3">
            <w:pPr>
              <w:pStyle w:val="ListBullet"/>
            </w:pPr>
            <w:r w:rsidRPr="00FA76A3">
              <w:t>material safety data sheets (MSDS)</w:t>
            </w:r>
          </w:p>
          <w:p w:rsidR="00000000" w:rsidRPr="00FA76A3" w:rsidP="00FA76A3">
            <w:pPr>
              <w:pStyle w:val="ListBullet"/>
            </w:pPr>
            <w:r w:rsidRPr="00FA76A3">
              <w:t>memos</w:t>
            </w:r>
          </w:p>
          <w:p w:rsidR="00000000" w:rsidRPr="00FA76A3" w:rsidP="00FA76A3">
            <w:pPr>
              <w:pStyle w:val="ListBullet"/>
            </w:pPr>
            <w:r w:rsidRPr="00FA76A3">
              <w:t>regulatory and legislative requirements pertaining assembling components</w:t>
            </w:r>
          </w:p>
          <w:p w:rsidR="00000000" w:rsidRPr="00FA76A3" w:rsidP="00FA76A3">
            <w:pPr>
              <w:pStyle w:val="ListBullet"/>
            </w:pPr>
            <w:r w:rsidRPr="00FA76A3">
              <w:t>relevant Australian standards</w:t>
            </w:r>
          </w:p>
          <w:p w:rsidR="00000000" w:rsidRPr="00FA76A3" w:rsidP="00FA76A3">
            <w:pPr>
              <w:pStyle w:val="ListBullet"/>
            </w:pPr>
            <w:r w:rsidRPr="00FA76A3">
              <w:t>safe work procedures relating to assembling components</w:t>
            </w:r>
          </w:p>
          <w:p w:rsidR="00000000" w:rsidRPr="00FA76A3" w:rsidP="00FA76A3">
            <w:pPr>
              <w:pStyle w:val="ListBullet"/>
            </w:pPr>
            <w:r w:rsidRPr="00FA76A3">
              <w:t>signage</w:t>
            </w:r>
          </w:p>
          <w:p w:rsidR="00000000" w:rsidRPr="00FA76A3" w:rsidP="00FA76A3">
            <w:pPr>
              <w:pStyle w:val="ListBullet"/>
            </w:pPr>
            <w:r w:rsidRPr="00FA76A3">
              <w:t>verbal, written and graphical instructions</w:t>
            </w:r>
          </w:p>
          <w:p w:rsidR="00000000" w:rsidRPr="00FA76A3" w:rsidP="00FA76A3">
            <w:pPr>
              <w:pStyle w:val="ListBullet"/>
            </w:pPr>
            <w:r w:rsidRPr="00FA76A3">
              <w:t>work b</w:t>
            </w:r>
            <w:r w:rsidRPr="00FA76A3">
              <w:t>ulletins</w:t>
            </w:r>
          </w:p>
          <w:p w:rsidR="00000000" w:rsidP="00FA76A3">
            <w:pPr>
              <w:pStyle w:val="ListBullet"/>
              <w:rPr>
                <w:lang w:val="en-NZ"/>
              </w:rPr>
            </w:pPr>
            <w:r w:rsidRPr="00FA76A3">
              <w:t>work schedules, plans and specifications.</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Planning and preparation</w:t>
            </w:r>
            <w:r w:rsidRPr="00FA76A3">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assessment of conditions and hazards</w:t>
            </w:r>
          </w:p>
          <w:p w:rsidR="00000000" w:rsidRPr="00FA76A3" w:rsidP="00FA76A3">
            <w:pPr>
              <w:pStyle w:val="ListBullet"/>
            </w:pPr>
            <w:r w:rsidRPr="00FA76A3">
              <w:t>determination of work requirements and safety plans and policies</w:t>
            </w:r>
          </w:p>
          <w:p w:rsidR="00000000" w:rsidRPr="00FA76A3" w:rsidP="00FA76A3">
            <w:pPr>
              <w:pStyle w:val="ListBullet"/>
            </w:pPr>
            <w:r w:rsidRPr="00FA76A3">
              <w:t>equipment defect identification</w:t>
            </w:r>
          </w:p>
          <w:p w:rsidR="00000000" w:rsidP="00FA76A3">
            <w:pPr>
              <w:pStyle w:val="ListBullet"/>
              <w:rPr>
                <w:lang w:val="en-NZ"/>
              </w:rPr>
            </w:pPr>
            <w:r w:rsidRPr="00FA76A3">
              <w:t>work site inspection.</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Safety</w:t>
            </w:r>
            <w:r w:rsidRPr="00FA76A3">
              <w:t xml:space="preserve"> (</w:t>
            </w:r>
            <w:r w:rsidRPr="00FA76A3">
              <w:rPr>
                <w:rStyle w:val="BoldandItalics"/>
              </w:rPr>
              <w:t>OHS</w:t>
            </w:r>
            <w:r w:rsidRPr="00FA76A3">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emergency procedures, including extinguishing fires, organisational first aid requirements and evacuation</w:t>
            </w:r>
          </w:p>
          <w:p w:rsidR="00000000" w:rsidRPr="00FA76A3" w:rsidP="00FA76A3">
            <w:pPr>
              <w:pStyle w:val="ListBullet"/>
            </w:pPr>
            <w:r w:rsidRPr="00FA76A3">
              <w:t>hazard control</w:t>
            </w:r>
          </w:p>
          <w:p w:rsidR="00000000" w:rsidRPr="00FA76A3" w:rsidP="00FA76A3">
            <w:pPr>
              <w:pStyle w:val="ListBullet"/>
            </w:pPr>
            <w:r w:rsidRPr="00FA76A3">
              <w:t>hazardous mate</w:t>
            </w:r>
            <w:r w:rsidRPr="00FA76A3">
              <w:t>rials and substances</w:t>
            </w:r>
          </w:p>
          <w:p w:rsidR="00000000" w:rsidRPr="00FA76A3" w:rsidP="00FA76A3">
            <w:pPr>
              <w:pStyle w:val="ListBullet"/>
            </w:pPr>
            <w:r w:rsidRPr="00FA76A3">
              <w:t>organisational first aid</w:t>
            </w:r>
          </w:p>
          <w:p w:rsidR="00000000" w:rsidRPr="00FA76A3" w:rsidP="00FA76A3">
            <w:pPr>
              <w:pStyle w:val="ListBullet"/>
            </w:pPr>
            <w:r w:rsidRPr="00FA76A3">
              <w:t>PPE prescribed under legislation, regulations and workplace policies and practices</w:t>
            </w:r>
          </w:p>
          <w:p w:rsidR="00000000" w:rsidRPr="00FA76A3" w:rsidP="00FA76A3">
            <w:pPr>
              <w:pStyle w:val="ListBullet"/>
            </w:pPr>
            <w:r w:rsidRPr="00FA76A3">
              <w:t>safe operating procedures, including the conduct of operational risk assessment and treatments associated with:</w:t>
            </w:r>
          </w:p>
          <w:p w:rsidR="00000000" w:rsidRPr="00FA76A3" w:rsidP="00FA76A3">
            <w:pPr>
              <w:pStyle w:val="ListBullet2"/>
            </w:pPr>
            <w:r w:rsidRPr="00FA76A3">
              <w:t>concealed serv</w:t>
            </w:r>
            <w:r w:rsidRPr="00FA76A3">
              <w:t>ices (water, power and gas)</w:t>
            </w:r>
          </w:p>
          <w:p w:rsidR="00000000" w:rsidRPr="00FA76A3" w:rsidP="00FA76A3">
            <w:pPr>
              <w:pStyle w:val="ListBullet2"/>
            </w:pPr>
            <w:r w:rsidRPr="00FA76A3">
              <w:t>lighting</w:t>
            </w:r>
          </w:p>
          <w:p w:rsidR="00000000" w:rsidRPr="00FA76A3" w:rsidP="00FA76A3">
            <w:pPr>
              <w:pStyle w:val="ListBullet2"/>
            </w:pPr>
            <w:r w:rsidRPr="00FA76A3">
              <w:t>restricted access barriers</w:t>
            </w:r>
          </w:p>
          <w:p w:rsidR="00000000" w:rsidRPr="00FA76A3" w:rsidP="00FA76A3">
            <w:pPr>
              <w:pStyle w:val="ListBullet2"/>
            </w:pPr>
            <w:r w:rsidRPr="00FA76A3">
              <w:t>traffic control</w:t>
            </w:r>
          </w:p>
          <w:p w:rsidR="00000000" w:rsidRPr="00FA76A3" w:rsidP="00FA76A3">
            <w:pPr>
              <w:pStyle w:val="ListBullet2"/>
            </w:pPr>
            <w:r w:rsidRPr="00FA76A3">
              <w:t>work site visitors and the public</w:t>
            </w:r>
          </w:p>
          <w:p w:rsidR="00000000" w:rsidRPr="00FA76A3" w:rsidP="00FA76A3">
            <w:pPr>
              <w:pStyle w:val="ListBullet2"/>
            </w:pPr>
            <w:r w:rsidRPr="00FA76A3">
              <w:t>working at heights</w:t>
            </w:r>
          </w:p>
          <w:p w:rsidR="00000000" w:rsidRPr="00FA76A3" w:rsidP="00FA76A3">
            <w:pPr>
              <w:pStyle w:val="ListBullet2"/>
            </w:pPr>
            <w:r w:rsidRPr="00FA76A3">
              <w:t>working in confined spaces</w:t>
            </w:r>
          </w:p>
          <w:p w:rsidR="00000000" w:rsidRPr="00FA76A3" w:rsidP="00FA76A3">
            <w:pPr>
              <w:pStyle w:val="ListBullet2"/>
            </w:pPr>
            <w:r w:rsidRPr="00FA76A3">
              <w:t>working in proximity to others</w:t>
            </w:r>
          </w:p>
          <w:p w:rsidR="00000000" w:rsidRPr="00FA76A3" w:rsidP="00FA76A3">
            <w:pPr>
              <w:pStyle w:val="ListBullet"/>
            </w:pPr>
            <w:r w:rsidRPr="00FA76A3">
              <w:t>use of firefighting equipment</w:t>
            </w:r>
          </w:p>
          <w:p w:rsidR="00000000" w:rsidRPr="00FA76A3" w:rsidP="00FA76A3">
            <w:pPr>
              <w:pStyle w:val="ListBullet"/>
            </w:pPr>
            <w:r w:rsidRPr="00FA76A3">
              <w:t>use of tools and equipment</w:t>
            </w:r>
          </w:p>
          <w:p w:rsidR="00000000" w:rsidP="00FA76A3">
            <w:pPr>
              <w:pStyle w:val="ListBullet"/>
              <w:rPr>
                <w:lang w:val="en-NZ"/>
              </w:rPr>
            </w:pPr>
            <w:r w:rsidRPr="00FA76A3">
              <w:t>workplace environmental requirements and safety.</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Tools and equipment</w:t>
            </w:r>
            <w:r w:rsidRPr="00FA76A3">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air compressor and hoses</w:t>
            </w:r>
          </w:p>
          <w:p w:rsidR="00000000" w:rsidRPr="00FA76A3" w:rsidP="00FA76A3">
            <w:pPr>
              <w:pStyle w:val="ListBullet"/>
            </w:pPr>
            <w:r w:rsidRPr="00FA76A3">
              <w:t>chisels</w:t>
            </w:r>
          </w:p>
          <w:p w:rsidR="00000000" w:rsidRPr="00FA76A3" w:rsidP="00FA76A3">
            <w:pPr>
              <w:pStyle w:val="ListBullet"/>
            </w:pPr>
            <w:r w:rsidRPr="00FA76A3">
              <w:t>hammers</w:t>
            </w:r>
          </w:p>
          <w:p w:rsidR="00000000" w:rsidRPr="00FA76A3" w:rsidP="00FA76A3">
            <w:pPr>
              <w:pStyle w:val="ListBullet"/>
            </w:pPr>
            <w:r w:rsidRPr="00FA76A3">
              <w:t>measuring tapes and rules</w:t>
            </w:r>
          </w:p>
          <w:p w:rsidR="00000000" w:rsidRPr="00FA76A3" w:rsidP="00FA76A3">
            <w:pPr>
              <w:pStyle w:val="ListBullet"/>
            </w:pPr>
            <w:r w:rsidRPr="00FA76A3">
              <w:t>nail guns</w:t>
            </w:r>
          </w:p>
          <w:p w:rsidR="00000000" w:rsidRPr="00FA76A3" w:rsidP="00FA76A3">
            <w:pPr>
              <w:pStyle w:val="ListBullet"/>
            </w:pPr>
            <w:r w:rsidRPr="00FA76A3">
              <w:t>spirit levels</w:t>
            </w:r>
          </w:p>
          <w:p w:rsidR="00000000" w:rsidP="00FA76A3">
            <w:pPr>
              <w:pStyle w:val="ListBullet"/>
              <w:rPr>
                <w:lang w:val="en-NZ"/>
              </w:rPr>
            </w:pPr>
            <w:r w:rsidRPr="00FA76A3">
              <w:t>squares.</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Quality requirements</w:t>
            </w:r>
            <w:r w:rsidRPr="00FA76A3">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control of handling procedures</w:t>
            </w:r>
          </w:p>
          <w:p w:rsidR="00000000" w:rsidRPr="00FA76A3" w:rsidP="00FA76A3">
            <w:pPr>
              <w:pStyle w:val="ListBullet"/>
            </w:pPr>
            <w:r w:rsidRPr="00FA76A3">
              <w:t>quality of materials</w:t>
            </w:r>
          </w:p>
          <w:p w:rsidR="00000000" w:rsidRPr="00FA76A3" w:rsidP="00FA76A3">
            <w:pPr>
              <w:pStyle w:val="ListBullet"/>
            </w:pPr>
            <w:r w:rsidRPr="00FA76A3">
              <w:t>relevant regulations, including:</w:t>
            </w:r>
          </w:p>
          <w:p w:rsidR="00000000" w:rsidRPr="00FA76A3" w:rsidP="00FA76A3">
            <w:pPr>
              <w:pStyle w:val="ListBullet2"/>
            </w:pPr>
            <w:r w:rsidRPr="00FA76A3">
              <w:t>Australian standards</w:t>
            </w:r>
          </w:p>
          <w:p w:rsidR="00000000" w:rsidRPr="00FA76A3" w:rsidP="00FA76A3">
            <w:pPr>
              <w:pStyle w:val="ListBullet2"/>
            </w:pPr>
            <w:r w:rsidRPr="00FA76A3">
              <w:t>internal company quality policy and standards</w:t>
            </w:r>
          </w:p>
          <w:p w:rsidR="00000000" w:rsidRPr="00FA76A3" w:rsidP="00FA76A3">
            <w:pPr>
              <w:pStyle w:val="ListBullet2"/>
            </w:pPr>
            <w:r w:rsidRPr="00FA76A3">
              <w:t>manufacturer specifications where specified</w:t>
            </w:r>
          </w:p>
          <w:p w:rsidR="00000000" w:rsidP="00FA76A3">
            <w:pPr>
              <w:pStyle w:val="ListBullet2"/>
              <w:rPr>
                <w:lang w:val="en-NZ"/>
              </w:rPr>
            </w:pPr>
            <w:r w:rsidRPr="00FA76A3">
              <w:t>workplace operations and procedures.</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Materials</w:t>
            </w:r>
            <w:r w:rsidRPr="00FA76A3">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aluminium</w:t>
            </w:r>
          </w:p>
          <w:p w:rsidR="00000000" w:rsidP="00FA76A3">
            <w:pPr>
              <w:pStyle w:val="ListBullet"/>
              <w:rPr>
                <w:lang w:val="en-NZ"/>
              </w:rPr>
            </w:pPr>
            <w:r w:rsidRPr="00FA76A3">
              <w:t>timber.</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As</w:t>
            </w:r>
            <w:r w:rsidRPr="00FA76A3">
              <w:rPr>
                <w:rStyle w:val="BoldandItalics"/>
              </w:rPr>
              <w:t>sembled units</w:t>
            </w:r>
            <w:r w:rsidRPr="00FA76A3">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door and window frames</w:t>
            </w:r>
          </w:p>
          <w:p w:rsidR="00000000" w:rsidRPr="00FA76A3" w:rsidP="00FA76A3">
            <w:pPr>
              <w:pStyle w:val="ListBullet"/>
            </w:pPr>
            <w:r w:rsidRPr="00FA76A3">
              <w:t>doors</w:t>
            </w:r>
          </w:p>
          <w:p w:rsidR="00000000" w:rsidRPr="00FA76A3" w:rsidP="00FA76A3">
            <w:pPr>
              <w:pStyle w:val="ListBullet"/>
            </w:pPr>
            <w:r w:rsidRPr="00FA76A3">
              <w:t>fitments, including cupboards, counters, shelving and robes</w:t>
            </w:r>
          </w:p>
          <w:p w:rsidR="00000000" w:rsidRPr="00FA76A3" w:rsidP="00FA76A3">
            <w:pPr>
              <w:pStyle w:val="ListBullet"/>
            </w:pPr>
            <w:r w:rsidRPr="00FA76A3">
              <w:t>grills</w:t>
            </w:r>
          </w:p>
          <w:p w:rsidR="00000000" w:rsidRPr="00FA76A3" w:rsidP="00FA76A3">
            <w:pPr>
              <w:pStyle w:val="ListBullet"/>
            </w:pPr>
            <w:r w:rsidRPr="00FA76A3">
              <w:t>louvres</w:t>
            </w:r>
          </w:p>
          <w:p w:rsidR="00000000" w:rsidRPr="00FA76A3" w:rsidP="00FA76A3">
            <w:pPr>
              <w:pStyle w:val="ListBullet"/>
            </w:pPr>
            <w:r w:rsidRPr="00FA76A3">
              <w:t>relocatable structures</w:t>
            </w:r>
          </w:p>
          <w:p w:rsidR="00000000" w:rsidRPr="00FA76A3" w:rsidP="00FA76A3">
            <w:pPr>
              <w:pStyle w:val="ListBullet"/>
            </w:pPr>
            <w:r w:rsidRPr="00FA76A3">
              <w:t>roof trusses</w:t>
            </w:r>
          </w:p>
          <w:p w:rsidR="00000000" w:rsidRPr="00FA76A3" w:rsidP="00FA76A3">
            <w:pPr>
              <w:pStyle w:val="ListBullet"/>
            </w:pPr>
            <w:r w:rsidRPr="00FA76A3">
              <w:t>shopfronts</w:t>
            </w:r>
          </w:p>
          <w:p w:rsidR="00000000" w:rsidRPr="00FA76A3" w:rsidP="00FA76A3">
            <w:pPr>
              <w:pStyle w:val="ListBullet"/>
            </w:pPr>
            <w:r w:rsidRPr="00FA76A3">
              <w:t>stairs</w:t>
            </w:r>
          </w:p>
          <w:p w:rsidR="00000000" w:rsidRPr="00FA76A3" w:rsidP="00FA76A3">
            <w:pPr>
              <w:pStyle w:val="ListBullet"/>
            </w:pPr>
            <w:r w:rsidRPr="00FA76A3">
              <w:t>wall frames</w:t>
            </w:r>
          </w:p>
          <w:p w:rsidR="00000000" w:rsidP="00FA76A3">
            <w:pPr>
              <w:pStyle w:val="ListBullet"/>
              <w:rPr>
                <w:lang w:val="en-NZ"/>
              </w:rPr>
            </w:pPr>
            <w:r w:rsidRPr="00FA76A3">
              <w:t>window sashes.</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Environmental requirements</w:t>
            </w:r>
            <w:r w:rsidRPr="00FA76A3">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clean-up management</w:t>
            </w:r>
          </w:p>
          <w:p w:rsidR="00000000" w:rsidRPr="00FA76A3" w:rsidP="00FA76A3">
            <w:pPr>
              <w:pStyle w:val="ListBullet"/>
            </w:pPr>
            <w:r w:rsidRPr="00FA76A3">
              <w:t>dust and noise</w:t>
            </w:r>
          </w:p>
          <w:p w:rsidR="00000000" w:rsidRPr="00FA76A3" w:rsidP="00FA76A3">
            <w:pPr>
              <w:pStyle w:val="ListBullet"/>
            </w:pPr>
            <w:r w:rsidRPr="00FA76A3">
              <w:t>stormwater protection</w:t>
            </w:r>
          </w:p>
          <w:p w:rsidR="00000000" w:rsidP="00FA76A3">
            <w:pPr>
              <w:pStyle w:val="ListBullet"/>
              <w:rPr>
                <w:lang w:val="en-NZ"/>
              </w:rPr>
            </w:pPr>
            <w:r w:rsidRPr="00FA76A3">
              <w:t>waste management.</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Statutory and regulatory authority</w:t>
            </w:r>
            <w:r w:rsidRPr="00FA76A3">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FA76A3">
            <w:pPr>
              <w:pStyle w:val="ListBullet"/>
              <w:rPr>
                <w:lang w:val="en-NZ"/>
              </w:rPr>
            </w:pPr>
            <w:r w:rsidRPr="00FA76A3">
              <w:t>federal, state and local authorities administering applicable Acts, regulations and codes of practice.</w:t>
            </w:r>
          </w:p>
        </w:tc>
      </w:tr>
      <w:tr w:rsidTr="006F53DC">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BoldandItalics"/>
              </w:rPr>
              <w:t>Assembly methods</w:t>
            </w:r>
            <w:r w:rsidRPr="00FA76A3">
              <w:t xml:space="preserve"> may involve:</w:t>
            </w:r>
            <w:r w:rsidRPr="00FA76A3">
              <w:t xml:space="preserve"> </w:t>
            </w:r>
          </w:p>
        </w:tc>
        <w:tc>
          <w:tcPr>
            <w:tcW w:w="5041" w:type="dxa"/>
            <w:tcBorders>
              <w:top w:val="nil"/>
              <w:left w:val="nil"/>
              <w:bottom w:val="nil"/>
              <w:right w:val="nil"/>
            </w:tcBorders>
            <w:tcMar>
              <w:top w:w="0" w:type="dxa"/>
              <w:left w:w="62" w:type="dxa"/>
              <w:bottom w:w="0" w:type="dxa"/>
              <w:right w:w="62" w:type="dxa"/>
            </w:tcMar>
          </w:tcPr>
          <w:p w:rsidR="00000000" w:rsidRPr="00FA76A3" w:rsidP="00FA76A3">
            <w:pPr>
              <w:pStyle w:val="ListBullet"/>
            </w:pPr>
            <w:r w:rsidRPr="00FA76A3">
              <w:t>clamps</w:t>
            </w:r>
          </w:p>
          <w:p w:rsidR="00000000" w:rsidRPr="00FA76A3" w:rsidP="00FA76A3">
            <w:pPr>
              <w:pStyle w:val="ListBullet"/>
            </w:pPr>
            <w:r w:rsidRPr="00FA76A3">
              <w:t>cramps</w:t>
            </w:r>
          </w:p>
          <w:p w:rsidR="00000000" w:rsidRPr="00FA76A3" w:rsidP="00FA76A3">
            <w:pPr>
              <w:pStyle w:val="ListBullet"/>
            </w:pPr>
            <w:r w:rsidRPr="00FA76A3">
              <w:t>packers and wedges</w:t>
            </w:r>
          </w:p>
          <w:p w:rsidR="00000000" w:rsidRPr="00FA76A3" w:rsidP="00FA76A3">
            <w:pPr>
              <w:pStyle w:val="ListBullet"/>
            </w:pPr>
            <w:r w:rsidRPr="00FA76A3">
              <w:t>platform or frame jigs</w:t>
            </w:r>
          </w:p>
          <w:p w:rsidR="00000000" w:rsidRPr="00FA76A3" w:rsidP="00FA76A3">
            <w:pPr>
              <w:pStyle w:val="ListBullet"/>
            </w:pPr>
            <w:r w:rsidRPr="00FA76A3">
              <w:t>presses.</w:t>
            </w:r>
          </w:p>
        </w:tc>
      </w:tr>
    </w:tbl>
    <w:p w:rsidR="006F53DC" w:rsidP="00FA76A3">
      <w:pPr>
        <w:pStyle w:val="BodyText"/>
      </w:pPr>
    </w:p>
    <w:p w:rsidR="006F53DC" w:rsidP="00FA76A3">
      <w:pPr>
        <w:pStyle w:val="BodyText"/>
      </w:pPr>
    </w:p>
    <w:p w:rsidR="00000000" w:rsidRPr="00FA76A3" w:rsidP="00FA76A3">
      <w:pPr>
        <w:pStyle w:val="Heading1"/>
      </w:pPr>
      <w:bookmarkStart w:id="12" w:name="O_197842"/>
      <w:bookmarkEnd w:id="12"/>
      <w:r w:rsidRPr="00FA76A3">
        <w:t>Unit Sector(s)</w:t>
      </w:r>
    </w:p>
    <w:tbl>
      <w:tblPr>
        <w:tblW w:w="0" w:type="auto"/>
        <w:tblLayout w:type="fixed"/>
        <w:tblCellMar>
          <w:left w:w="62" w:type="dxa"/>
          <w:right w:w="62" w:type="dxa"/>
        </w:tblCellMar>
        <w:tblLook w:val="0000"/>
      </w:tblPr>
      <w:tblGrid>
        <w:gridCol w:w="2554"/>
        <w:gridCol w:w="5968"/>
      </w:tblGrid>
      <w:tr w:rsidTr="006F53DC">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FA76A3" w:rsidP="00FA76A3">
            <w:pPr>
              <w:pStyle w:val="BodyText"/>
            </w:pPr>
            <w:r w:rsidRPr="00FA76A3">
              <w:t>Construction</w:t>
            </w:r>
          </w:p>
        </w:tc>
      </w:tr>
    </w:tbl>
    <w:p w:rsidR="006F53DC" w:rsidP="00FA76A3">
      <w:pPr>
        <w:pStyle w:val="BodyText"/>
      </w:pPr>
    </w:p>
    <w:p w:rsidR="006F53DC" w:rsidP="00FA76A3">
      <w:pPr>
        <w:pStyle w:val="BodyText"/>
      </w:pPr>
    </w:p>
    <w:p w:rsidR="00000000" w:rsidRPr="00FA76A3" w:rsidP="00FA76A3">
      <w:pPr>
        <w:pStyle w:val="Heading1"/>
      </w:pPr>
      <w:bookmarkStart w:id="13" w:name="O_197839"/>
      <w:bookmarkEnd w:id="13"/>
      <w:r w:rsidRPr="00FA76A3">
        <w:t>Co-requisite units</w:t>
      </w:r>
    </w:p>
    <w:tbl>
      <w:tblPr>
        <w:tblW w:w="0" w:type="auto"/>
        <w:tblLayout w:type="fixed"/>
        <w:tblCellMar>
          <w:left w:w="62" w:type="dxa"/>
          <w:right w:w="62" w:type="dxa"/>
        </w:tblCellMar>
        <w:tblLook w:val="0000"/>
      </w:tblPr>
      <w:tblGrid>
        <w:gridCol w:w="2568"/>
        <w:gridCol w:w="2127"/>
        <w:gridCol w:w="3827"/>
      </w:tblGrid>
      <w:tr w:rsidTr="006F53DC">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Co-requisite units</w:t>
            </w:r>
          </w:p>
        </w:tc>
        <w:tc>
          <w:tcPr>
            <w:tcW w:w="5954" w:type="dxa"/>
            <w:gridSpan w:val="2"/>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t>Nil</w:t>
            </w:r>
          </w:p>
        </w:tc>
      </w:tr>
      <w:tr w:rsidTr="006F53DC">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p>
        </w:tc>
      </w:tr>
      <w:tr w:rsidTr="006F53DC">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7" w:type="dxa"/>
            <w:tcBorders>
              <w:top w:val="nil"/>
              <w:left w:val="nil"/>
              <w:bottom w:val="nil"/>
              <w:right w:val="nil"/>
            </w:tcBorders>
            <w:tcMar>
              <w:top w:w="0" w:type="dxa"/>
              <w:left w:w="62" w:type="dxa"/>
              <w:bottom w:w="0" w:type="dxa"/>
              <w:right w:w="62" w:type="dxa"/>
            </w:tcMar>
          </w:tcPr>
          <w:p w:rsidR="00000000" w:rsidRPr="00FA76A3" w:rsidP="00FA76A3">
            <w:pPr>
              <w:pStyle w:val="BodyText"/>
            </w:pPr>
          </w:p>
        </w:tc>
      </w:tr>
    </w:tbl>
    <w:p w:rsidR="006F53DC" w:rsidP="00FA76A3">
      <w:pPr>
        <w:pStyle w:val="BodyText"/>
      </w:pPr>
    </w:p>
    <w:p w:rsidR="006F53DC" w:rsidP="00FA76A3">
      <w:pPr>
        <w:pStyle w:val="BodyText"/>
      </w:pPr>
    </w:p>
    <w:p w:rsidR="00000000" w:rsidRPr="00FA76A3" w:rsidP="00FA76A3">
      <w:pPr>
        <w:pStyle w:val="Heading1"/>
      </w:pPr>
      <w:bookmarkStart w:id="14" w:name="O_197841"/>
      <w:bookmarkEnd w:id="14"/>
      <w:r w:rsidRPr="00FA76A3">
        <w:t>Functional area</w:t>
      </w:r>
    </w:p>
    <w:tbl>
      <w:tblPr>
        <w:tblW w:w="0" w:type="auto"/>
        <w:tblLayout w:type="fixed"/>
        <w:tblCellMar>
          <w:left w:w="62" w:type="dxa"/>
          <w:right w:w="62" w:type="dxa"/>
        </w:tblCellMar>
        <w:tblLook w:val="0000"/>
      </w:tblPr>
      <w:tblGrid>
        <w:gridCol w:w="2658"/>
        <w:gridCol w:w="5864"/>
      </w:tblGrid>
      <w:tr w:rsidTr="006F53DC">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FA76A3">
            <w:pPr>
              <w:pStyle w:val="BodyText"/>
              <w:rPr>
                <w:lang w:val="en-NZ"/>
              </w:rPr>
            </w:pPr>
            <w:r w:rsidRPr="00FA76A3">
              <w:rPr>
                <w:rStyle w:val="SpecialBold"/>
              </w:rPr>
              <w:t>Functional area</w:t>
            </w:r>
          </w:p>
        </w:tc>
        <w:tc>
          <w:tcPr>
            <w:tcW w:w="5864" w:type="dxa"/>
            <w:tcBorders>
              <w:top w:val="nil"/>
              <w:left w:val="nil"/>
              <w:bottom w:val="nil"/>
              <w:right w:val="nil"/>
            </w:tcBorders>
            <w:tcMar>
              <w:top w:w="0" w:type="dxa"/>
              <w:left w:w="62" w:type="dxa"/>
              <w:bottom w:w="0" w:type="dxa"/>
              <w:right w:w="62" w:type="dxa"/>
            </w:tcMar>
          </w:tcPr>
          <w:p w:rsidR="00000000" w:rsidRPr="00FA76A3" w:rsidP="00FA76A3">
            <w:pPr>
              <w:pStyle w:val="BodyText"/>
            </w:pPr>
          </w:p>
        </w:tc>
      </w:tr>
    </w:tbl>
    <w:p w:rsidR="006F53DC" w:rsidP="00FA76A3">
      <w:pPr>
        <w:pStyle w:val="BodyText"/>
      </w:pPr>
    </w:p>
    <w:p w:rsidR="006F53DC" w:rsidP="00FA76A3">
      <w:pPr>
        <w:pStyle w:val="BodyText"/>
      </w:pPr>
    </w:p>
    <w:p w:rsidR="00000000" w:rsidRPr="00FA76A3" w:rsidP="00FA76A3"/>
    <w:sectPr w:rsidSect="00FA7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3DC" w:rsidP="006F5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DC" w:rsidP="00FA7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F53DC" w:rsidP="00FA76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53DC" w:rsidP="00FA76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3DC" w:rsidP="006F53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DC" w:rsidP="00FA76A3">
    <w:pPr>
      <w:pStyle w:val="Header"/>
      <w:framePr w:wrap="around"/>
    </w:pPr>
    <w:r>
      <w:fldChar w:fldCharType="begin"/>
    </w:r>
    <w:r>
      <w:instrText xml:space="preserve"> TITLE   \* MERGEFORMAT </w:instrText>
    </w:r>
    <w:r>
      <w:fldChar w:fldCharType="separate"/>
    </w:r>
    <w:r>
      <w:t>CPCCJN2001A Assemble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53DC" w:rsidP="00FA76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387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21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2F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6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76A3"/>
    <w:pPr>
      <w:spacing w:before="360" w:after="60"/>
      <w:outlineLvl w:val="0"/>
    </w:pPr>
    <w:rPr>
      <w:sz w:val="32"/>
    </w:rPr>
  </w:style>
  <w:style w:type="paragraph" w:styleId="Heading2">
    <w:name w:val="heading 2"/>
    <w:basedOn w:val="HeadingBase"/>
    <w:next w:val="BodyText"/>
    <w:link w:val="Heading2Char"/>
    <w:qFormat/>
    <w:rsid w:val="00FA76A3"/>
    <w:pPr>
      <w:keepLines/>
      <w:spacing w:before="240" w:after="120"/>
      <w:outlineLvl w:val="1"/>
    </w:pPr>
    <w:rPr>
      <w:sz w:val="28"/>
      <w:szCs w:val="40"/>
    </w:rPr>
  </w:style>
  <w:style w:type="paragraph" w:styleId="Heading3">
    <w:name w:val="heading 3"/>
    <w:basedOn w:val="HeadingBase"/>
    <w:next w:val="BodyText"/>
    <w:link w:val="Heading3Char"/>
    <w:qFormat/>
    <w:rsid w:val="00FA76A3"/>
    <w:pPr>
      <w:spacing w:before="180" w:after="120"/>
      <w:outlineLvl w:val="2"/>
    </w:pPr>
    <w:rPr>
      <w:spacing w:val="-10"/>
      <w:kern w:val="32"/>
    </w:rPr>
  </w:style>
  <w:style w:type="paragraph" w:styleId="Heading4">
    <w:name w:val="heading 4"/>
    <w:basedOn w:val="HeadingBase"/>
    <w:next w:val="BodyText"/>
    <w:link w:val="Heading4Char"/>
    <w:qFormat/>
    <w:rsid w:val="00FA76A3"/>
    <w:pPr>
      <w:spacing w:before="160" w:after="120"/>
      <w:outlineLvl w:val="3"/>
    </w:pPr>
    <w:rPr>
      <w:sz w:val="22"/>
    </w:rPr>
  </w:style>
  <w:style w:type="paragraph" w:styleId="Heading5">
    <w:name w:val="heading 5"/>
    <w:basedOn w:val="HeadingBase"/>
    <w:next w:val="Normal"/>
    <w:link w:val="Heading5Char"/>
    <w:qFormat/>
    <w:rsid w:val="00FA76A3"/>
    <w:pPr>
      <w:spacing w:before="80"/>
      <w:outlineLvl w:val="4"/>
    </w:pPr>
    <w:rPr>
      <w:color w:val="918585"/>
      <w:sz w:val="20"/>
    </w:rPr>
  </w:style>
  <w:style w:type="paragraph" w:styleId="Heading6">
    <w:name w:val="heading 6"/>
    <w:basedOn w:val="HeadingBase"/>
    <w:next w:val="Normal"/>
    <w:link w:val="Heading6Char"/>
    <w:qFormat/>
    <w:rsid w:val="00FA76A3"/>
    <w:pPr>
      <w:spacing w:before="60"/>
      <w:outlineLvl w:val="5"/>
    </w:pPr>
    <w:rPr>
      <w:color w:val="918585"/>
      <w:sz w:val="20"/>
    </w:rPr>
  </w:style>
  <w:style w:type="paragraph" w:styleId="Heading7">
    <w:name w:val="heading 7"/>
    <w:basedOn w:val="Normal"/>
    <w:next w:val="Normal"/>
    <w:link w:val="Heading7Char"/>
    <w:qFormat/>
    <w:rsid w:val="00FA76A3"/>
    <w:pPr>
      <w:ind w:left="720"/>
      <w:outlineLvl w:val="6"/>
    </w:pPr>
    <w:rPr>
      <w:i/>
    </w:rPr>
  </w:style>
  <w:style w:type="paragraph" w:styleId="Heading8">
    <w:name w:val="heading 8"/>
    <w:basedOn w:val="Normal"/>
    <w:next w:val="Normal"/>
    <w:link w:val="Heading8Char"/>
    <w:qFormat/>
    <w:rsid w:val="00FA76A3"/>
    <w:pPr>
      <w:ind w:left="720"/>
      <w:outlineLvl w:val="7"/>
    </w:pPr>
    <w:rPr>
      <w:i/>
    </w:rPr>
  </w:style>
  <w:style w:type="paragraph" w:styleId="Heading9">
    <w:name w:val="heading 9"/>
    <w:basedOn w:val="Normal"/>
    <w:next w:val="Normal"/>
    <w:link w:val="Heading9Char"/>
    <w:qFormat/>
    <w:rsid w:val="00FA76A3"/>
    <w:pPr>
      <w:ind w:left="720"/>
      <w:outlineLvl w:val="8"/>
    </w:pPr>
    <w:rPr>
      <w:i/>
    </w:rPr>
  </w:style>
  <w:style w:type="character" w:default="1" w:styleId="DefaultParagraphFont">
    <w:name w:val="Default Paragraph Font"/>
    <w:uiPriority w:val="1"/>
    <w:unhideWhenUsed/>
    <w:rsid w:val="00FA7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6A3"/>
  </w:style>
  <w:style w:type="character" w:customStyle="1" w:styleId="Heading1Char">
    <w:name w:val="Heading 1 Char"/>
    <w:link w:val="Heading1"/>
    <w:rsid w:val="00FA76A3"/>
    <w:rPr>
      <w:rFonts w:ascii="Times New Roman" w:eastAsia="Times New Roman" w:hAnsi="Times New Roman" w:cs="Times New Roman"/>
      <w:b/>
      <w:sz w:val="32"/>
      <w:szCs w:val="20"/>
      <w:lang w:eastAsia="en-US"/>
    </w:rPr>
  </w:style>
  <w:style w:type="paragraph" w:styleId="BodyText">
    <w:name w:val="Body Text"/>
    <w:basedOn w:val="Normal"/>
    <w:link w:val="BodyTextChar"/>
    <w:rsid w:val="00FA76A3"/>
    <w:pPr>
      <w:spacing w:before="120" w:after="120"/>
      <w:contextualSpacing/>
    </w:pPr>
    <w:rPr>
      <w:rFonts w:ascii="Times New Roman" w:hAnsi="Times New Roman"/>
      <w:sz w:val="24"/>
      <w:szCs w:val="22"/>
    </w:rPr>
  </w:style>
  <w:style w:type="character" w:customStyle="1" w:styleId="BodyTextChar">
    <w:name w:val="Body Text Char"/>
    <w:link w:val="BodyText"/>
    <w:rsid w:val="00FA76A3"/>
    <w:rPr>
      <w:rFonts w:ascii="Times New Roman" w:eastAsia="Times New Roman" w:hAnsi="Times New Roman" w:cs="Times New Roman"/>
      <w:sz w:val="24"/>
      <w:lang w:val="en-US" w:eastAsia="en-US"/>
    </w:rPr>
  </w:style>
  <w:style w:type="paragraph" w:styleId="Footer">
    <w:name w:val="footer"/>
    <w:basedOn w:val="Normal"/>
    <w:link w:val="FooterChar"/>
    <w:rsid w:val="00FA7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76A3"/>
    <w:rPr>
      <w:rFonts w:ascii="Times New Roman" w:eastAsia="Times New Roman" w:hAnsi="Times New Roman" w:cs="Times New Roman"/>
      <w:sz w:val="16"/>
      <w:lang w:val="en-US" w:eastAsia="en-US"/>
    </w:rPr>
  </w:style>
  <w:style w:type="paragraph" w:styleId="List">
    <w:name w:val="List"/>
    <w:basedOn w:val="BodyText"/>
    <w:next w:val="BodyText"/>
    <w:rsid w:val="00FA76A3"/>
    <w:pPr>
      <w:tabs>
        <w:tab w:val="left" w:pos="340"/>
      </w:tabs>
      <w:spacing w:before="60" w:after="60"/>
      <w:ind w:left="340" w:hanging="340"/>
    </w:pPr>
  </w:style>
  <w:style w:type="paragraph" w:styleId="ListBullet">
    <w:name w:val="List Bullet"/>
    <w:basedOn w:val="List"/>
    <w:rsid w:val="00FA76A3"/>
    <w:pPr>
      <w:numPr>
        <w:numId w:val="13"/>
      </w:numPr>
      <w:tabs>
        <w:tab w:val="clear" w:pos="340"/>
      </w:tabs>
      <w:spacing w:before="40" w:after="40"/>
    </w:pPr>
  </w:style>
  <w:style w:type="character" w:customStyle="1" w:styleId="SpecialBold">
    <w:name w:val="Special Bold"/>
    <w:rsid w:val="00FA76A3"/>
    <w:rPr>
      <w:b/>
      <w:spacing w:val="0"/>
    </w:rPr>
  </w:style>
  <w:style w:type="paragraph" w:styleId="ListBullet2">
    <w:name w:val="List Bullet 2"/>
    <w:basedOn w:val="List2"/>
    <w:rsid w:val="00FA76A3"/>
    <w:pPr>
      <w:numPr>
        <w:numId w:val="14"/>
      </w:numPr>
      <w:tabs>
        <w:tab w:val="clear" w:pos="680"/>
      </w:tabs>
    </w:pPr>
  </w:style>
  <w:style w:type="paragraph" w:styleId="Header">
    <w:name w:val="header"/>
    <w:basedOn w:val="Normal"/>
    <w:link w:val="HeaderChar"/>
    <w:rsid w:val="00FA7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76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76A3"/>
    <w:pPr>
      <w:spacing w:before="240" w:after="120"/>
      <w:outlineLvl w:val="0"/>
    </w:pPr>
    <w:rPr>
      <w:rFonts w:ascii="Times New Roman" w:hAnsi="Times New Roman"/>
      <w:b/>
      <w:sz w:val="28"/>
    </w:rPr>
  </w:style>
  <w:style w:type="paragraph" w:customStyle="1" w:styleId="AllowPageBreak">
    <w:name w:val="AllowPageBreak"/>
    <w:rsid w:val="00FA76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76A3"/>
    <w:pPr>
      <w:tabs>
        <w:tab w:val="left" w:pos="680"/>
      </w:tabs>
      <w:spacing w:before="60" w:after="60"/>
      <w:ind w:left="680" w:hanging="340"/>
    </w:pPr>
  </w:style>
  <w:style w:type="character" w:customStyle="1" w:styleId="BoldandItalics">
    <w:name w:val="Bold and Italics"/>
    <w:qFormat/>
    <w:rsid w:val="00FA76A3"/>
    <w:rPr>
      <w:b/>
      <w:i/>
      <w:u w:val="none"/>
    </w:rPr>
  </w:style>
  <w:style w:type="character" w:customStyle="1" w:styleId="Heading2Char">
    <w:name w:val="Heading 2 Char"/>
    <w:link w:val="Heading2"/>
    <w:rsid w:val="00FA76A3"/>
    <w:rPr>
      <w:rFonts w:ascii="Times New Roman" w:eastAsia="Times New Roman" w:hAnsi="Times New Roman" w:cs="Times New Roman"/>
      <w:b/>
      <w:sz w:val="28"/>
      <w:szCs w:val="40"/>
      <w:lang w:eastAsia="en-US"/>
    </w:rPr>
  </w:style>
  <w:style w:type="character" w:customStyle="1" w:styleId="Heading3Char">
    <w:name w:val="Heading 3 Char"/>
    <w:link w:val="Heading3"/>
    <w:rsid w:val="00FA76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76A3"/>
    <w:rPr>
      <w:rFonts w:ascii="Times New Roman" w:eastAsia="Times New Roman" w:hAnsi="Times New Roman" w:cs="Times New Roman"/>
      <w:b/>
      <w:szCs w:val="20"/>
      <w:lang w:eastAsia="en-US"/>
    </w:rPr>
  </w:style>
  <w:style w:type="character" w:customStyle="1" w:styleId="Heading5Char">
    <w:name w:val="Heading 5 Char"/>
    <w:link w:val="Heading5"/>
    <w:rsid w:val="00FA76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7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6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76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76A3"/>
    <w:rPr>
      <w:rFonts w:ascii="Courier New" w:eastAsia="Times New Roman" w:hAnsi="Courier New" w:cs="Times New Roman"/>
      <w:i/>
      <w:szCs w:val="20"/>
      <w:lang w:val="en-US" w:eastAsia="en-US"/>
    </w:rPr>
  </w:style>
  <w:style w:type="paragraph" w:customStyle="1" w:styleId="HeadingBase">
    <w:name w:val="Heading Base"/>
    <w:rsid w:val="00FA7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6A3"/>
    <w:pPr>
      <w:tabs>
        <w:tab w:val="right" w:leader="dot" w:pos="9072"/>
      </w:tabs>
      <w:ind w:left="567"/>
    </w:pPr>
    <w:rPr>
      <w:szCs w:val="22"/>
    </w:rPr>
  </w:style>
  <w:style w:type="paragraph" w:customStyle="1" w:styleId="TOCBase">
    <w:name w:val="TOC Base"/>
    <w:rsid w:val="00FA7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6A3"/>
    <w:pPr>
      <w:tabs>
        <w:tab w:val="right" w:leader="dot" w:pos="9072"/>
      </w:tabs>
      <w:spacing w:before="40" w:after="40"/>
      <w:ind w:left="284"/>
    </w:pPr>
    <w:rPr>
      <w:rFonts w:ascii="Times New Roman" w:hAnsi="Times New Roman"/>
    </w:rPr>
  </w:style>
  <w:style w:type="paragraph" w:styleId="TOC1">
    <w:name w:val="toc 1"/>
    <w:basedOn w:val="TOCBase"/>
    <w:next w:val="Normal"/>
    <w:rsid w:val="00FA76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6A3"/>
    <w:pPr>
      <w:spacing w:before="5040"/>
      <w:jc w:val="center"/>
    </w:pPr>
    <w:rPr>
      <w:sz w:val="48"/>
      <w:szCs w:val="72"/>
      <w:lang w:val="en-US"/>
    </w:rPr>
  </w:style>
  <w:style w:type="character" w:customStyle="1" w:styleId="TitleChar">
    <w:name w:val="Title Char"/>
    <w:link w:val="Title"/>
    <w:rsid w:val="00FA7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6A3"/>
    <w:pPr>
      <w:tabs>
        <w:tab w:val="left" w:pos="3600"/>
        <w:tab w:val="left" w:pos="3958"/>
      </w:tabs>
    </w:pPr>
  </w:style>
  <w:style w:type="paragraph" w:customStyle="1" w:styleId="Note">
    <w:name w:val="Note"/>
    <w:basedOn w:val="BodyText"/>
    <w:rsid w:val="00FA7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6A3"/>
    <w:pPr>
      <w:framePr w:wrap="auto" w:hAnchor="text" w:y="6049"/>
    </w:pPr>
    <w:rPr>
      <w:color w:val="000000"/>
      <w:sz w:val="40"/>
    </w:rPr>
  </w:style>
  <w:style w:type="paragraph" w:customStyle="1" w:styleId="TOCTitle">
    <w:name w:val="TOCTitle"/>
    <w:basedOn w:val="Heading1"/>
    <w:rsid w:val="00FA76A3"/>
    <w:pPr>
      <w:spacing w:after="240"/>
      <w:jc w:val="center"/>
      <w:outlineLvl w:val="9"/>
    </w:pPr>
    <w:rPr>
      <w:caps/>
    </w:rPr>
  </w:style>
  <w:style w:type="paragraph" w:customStyle="1" w:styleId="Version">
    <w:name w:val="Version"/>
    <w:rsid w:val="00FA76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6A3"/>
    <w:pPr>
      <w:keepNext w:val="0"/>
      <w:tabs>
        <w:tab w:val="right" w:pos="4176"/>
      </w:tabs>
      <w:ind w:left="198" w:hanging="198"/>
    </w:pPr>
    <w:rPr>
      <w:rFonts w:ascii="Garamond" w:hAnsi="Garamond"/>
    </w:rPr>
  </w:style>
  <w:style w:type="paragraph" w:styleId="IndexHeading">
    <w:name w:val="index heading"/>
    <w:basedOn w:val="Normal"/>
    <w:next w:val="Index1"/>
    <w:semiHidden/>
    <w:rsid w:val="00FA76A3"/>
    <w:pPr>
      <w:spacing w:before="120" w:after="120"/>
    </w:pPr>
    <w:rPr>
      <w:rFonts w:ascii="Arial" w:hAnsi="Arial"/>
      <w:b/>
      <w:color w:val="918585"/>
      <w:sz w:val="24"/>
    </w:rPr>
  </w:style>
  <w:style w:type="paragraph" w:customStyle="1" w:styleId="Chapter">
    <w:name w:val="Chapter"/>
    <w:basedOn w:val="Normal"/>
    <w:rsid w:val="00FA76A3"/>
    <w:pPr>
      <w:spacing w:before="240"/>
    </w:pPr>
    <w:rPr>
      <w:rFonts w:ascii="Times New Roman" w:hAnsi="Times New Roman"/>
      <w:smallCaps/>
      <w:spacing w:val="80"/>
      <w:sz w:val="28"/>
    </w:rPr>
  </w:style>
  <w:style w:type="paragraph" w:customStyle="1" w:styleId="InChapter">
    <w:name w:val="InChapter"/>
    <w:basedOn w:val="Heading3"/>
    <w:rsid w:val="00FA76A3"/>
    <w:pPr>
      <w:spacing w:after="240"/>
      <w:outlineLvl w:val="9"/>
    </w:pPr>
    <w:rPr>
      <w:noProof/>
    </w:rPr>
  </w:style>
  <w:style w:type="paragraph" w:styleId="Index2">
    <w:name w:val="index 2"/>
    <w:basedOn w:val="Normal"/>
    <w:next w:val="Normal"/>
    <w:semiHidden/>
    <w:rsid w:val="00FA76A3"/>
    <w:pPr>
      <w:tabs>
        <w:tab w:val="right" w:pos="4176"/>
      </w:tabs>
      <w:ind w:left="568" w:hanging="284"/>
    </w:pPr>
    <w:rPr>
      <w:rFonts w:ascii="Garamond" w:hAnsi="Garamond"/>
    </w:rPr>
  </w:style>
  <w:style w:type="paragraph" w:customStyle="1" w:styleId="Byline">
    <w:name w:val="Byline"/>
    <w:rsid w:val="00FA7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6A3"/>
    <w:pPr>
      <w:tabs>
        <w:tab w:val="clear" w:pos="3600"/>
        <w:tab w:val="clear" w:pos="3958"/>
      </w:tabs>
      <w:jc w:val="right"/>
    </w:pPr>
  </w:style>
  <w:style w:type="character" w:styleId="Emphasis">
    <w:name w:val="Emphasis"/>
    <w:qFormat/>
    <w:rsid w:val="00FA76A3"/>
    <w:rPr>
      <w:i/>
    </w:rPr>
  </w:style>
  <w:style w:type="paragraph" w:styleId="Caption">
    <w:name w:val="caption"/>
    <w:basedOn w:val="BodyText"/>
    <w:next w:val="Normal"/>
    <w:qFormat/>
    <w:rsid w:val="00FA76A3"/>
    <w:pPr>
      <w:framePr w:w="2268" w:hSpace="181" w:vSpace="181" w:wrap="around" w:vAnchor="text" w:hAnchor="page" w:x="1135" w:y="285" w:anchorLock="1"/>
    </w:pPr>
    <w:rPr>
      <w:i/>
    </w:rPr>
  </w:style>
  <w:style w:type="paragraph" w:customStyle="1" w:styleId="MiniTOCTitle">
    <w:name w:val="MiniTOCTitle"/>
    <w:basedOn w:val="Heading4"/>
    <w:rsid w:val="00FA76A3"/>
    <w:pPr>
      <w:spacing w:before="240"/>
      <w:outlineLvl w:val="9"/>
    </w:pPr>
    <w:rPr>
      <w:noProof/>
      <w:sz w:val="24"/>
    </w:rPr>
  </w:style>
  <w:style w:type="paragraph" w:customStyle="1" w:styleId="MiniTOCItem">
    <w:name w:val="MiniTOCItem"/>
    <w:basedOn w:val="ListBullet"/>
    <w:rsid w:val="00FA76A3"/>
    <w:pPr>
      <w:numPr>
        <w:numId w:val="0"/>
      </w:numPr>
      <w:tabs>
        <w:tab w:val="right" w:leader="dot" w:pos="6521"/>
      </w:tabs>
      <w:spacing w:before="0" w:after="0"/>
    </w:pPr>
  </w:style>
  <w:style w:type="paragraph" w:customStyle="1" w:styleId="TOFTitle">
    <w:name w:val="TOFTitle"/>
    <w:basedOn w:val="TOCTitle"/>
    <w:rsid w:val="00FA76A3"/>
  </w:style>
  <w:style w:type="paragraph" w:styleId="TableofFigures">
    <w:name w:val="table of figures"/>
    <w:basedOn w:val="Normal"/>
    <w:next w:val="Normal"/>
    <w:semiHidden/>
    <w:rsid w:val="00FA76A3"/>
    <w:pPr>
      <w:tabs>
        <w:tab w:val="right" w:leader="dot" w:pos="9072"/>
      </w:tabs>
      <w:ind w:left="970" w:hanging="403"/>
    </w:pPr>
    <w:rPr>
      <w:rFonts w:ascii="Times New Roman" w:hAnsi="Times New Roman"/>
      <w:b/>
    </w:rPr>
  </w:style>
  <w:style w:type="paragraph" w:styleId="ListNumber">
    <w:name w:val="List Number"/>
    <w:basedOn w:val="List"/>
    <w:rsid w:val="00FA76A3"/>
    <w:pPr>
      <w:numPr>
        <w:numId w:val="11"/>
      </w:numPr>
    </w:pPr>
  </w:style>
  <w:style w:type="character" w:customStyle="1" w:styleId="WingdingSymbols">
    <w:name w:val="Wingding Symbols"/>
    <w:rsid w:val="00FA76A3"/>
    <w:rPr>
      <w:rFonts w:ascii="Wingdings" w:hAnsi="Wingdings"/>
    </w:rPr>
  </w:style>
  <w:style w:type="paragraph" w:customStyle="1" w:styleId="TableHeading">
    <w:name w:val="Table Heading"/>
    <w:basedOn w:val="HeadingBase"/>
    <w:rsid w:val="00FA76A3"/>
    <w:pPr>
      <w:keepLines/>
      <w:pBdr>
        <w:bottom w:val="single" w:sz="6" w:space="1" w:color="918585"/>
      </w:pBdr>
      <w:spacing w:before="240"/>
    </w:pPr>
  </w:style>
  <w:style w:type="character" w:customStyle="1" w:styleId="HotSpot">
    <w:name w:val="HotSpot"/>
    <w:rsid w:val="00FA76A3"/>
    <w:rPr>
      <w:color w:val="0033CC"/>
      <w:u w:val="none"/>
    </w:rPr>
  </w:style>
  <w:style w:type="paragraph" w:customStyle="1" w:styleId="BodyTextRight">
    <w:name w:val="Body Text Right"/>
    <w:basedOn w:val="BodyText"/>
    <w:rsid w:val="00FA76A3"/>
    <w:pPr>
      <w:spacing w:before="0" w:after="0"/>
      <w:jc w:val="right"/>
    </w:pPr>
  </w:style>
  <w:style w:type="paragraph" w:styleId="Index3">
    <w:name w:val="index 3"/>
    <w:basedOn w:val="ListNumber2"/>
    <w:next w:val="Normal"/>
    <w:semiHidden/>
    <w:rsid w:val="00FA76A3"/>
    <w:pPr>
      <w:numPr>
        <w:numId w:val="0"/>
      </w:numPr>
      <w:tabs>
        <w:tab w:val="right" w:leader="dot" w:pos="4176"/>
      </w:tabs>
    </w:pPr>
  </w:style>
  <w:style w:type="paragraph" w:styleId="ListNumber2">
    <w:name w:val="List Number 2"/>
    <w:basedOn w:val="List2"/>
    <w:rsid w:val="00FA76A3"/>
    <w:pPr>
      <w:numPr>
        <w:numId w:val="10"/>
      </w:numPr>
      <w:tabs>
        <w:tab w:val="clear" w:pos="1060"/>
      </w:tabs>
    </w:pPr>
  </w:style>
  <w:style w:type="paragraph" w:customStyle="1" w:styleId="MarginNote">
    <w:name w:val="Margin Note"/>
    <w:basedOn w:val="BodyText"/>
    <w:rsid w:val="00FA7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76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76A3"/>
    <w:rPr>
      <w:sz w:val="32"/>
    </w:rPr>
  </w:style>
  <w:style w:type="paragraph" w:customStyle="1" w:styleId="HeadingProcedure">
    <w:name w:val="Heading Procedure"/>
    <w:basedOn w:val="HeadingBase"/>
    <w:next w:val="Normal"/>
    <w:rsid w:val="00FA76A3"/>
    <w:pPr>
      <w:tabs>
        <w:tab w:val="left" w:pos="0"/>
      </w:tabs>
      <w:spacing w:before="120" w:after="60"/>
    </w:pPr>
    <w:rPr>
      <w:i/>
      <w:color w:val="918585"/>
      <w:sz w:val="22"/>
    </w:rPr>
  </w:style>
  <w:style w:type="paragraph" w:customStyle="1" w:styleId="TableBodyText">
    <w:name w:val="Table Body Text"/>
    <w:basedOn w:val="BodyText"/>
    <w:rsid w:val="00FA76A3"/>
    <w:pPr>
      <w:spacing w:before="60" w:after="60"/>
    </w:pPr>
  </w:style>
  <w:style w:type="paragraph" w:styleId="ListContinue">
    <w:name w:val="List Continue"/>
    <w:basedOn w:val="List"/>
    <w:rsid w:val="00FA76A3"/>
    <w:pPr>
      <w:ind w:firstLine="0"/>
    </w:pPr>
  </w:style>
  <w:style w:type="paragraph" w:customStyle="1" w:styleId="ListNote">
    <w:name w:val="List Note"/>
    <w:basedOn w:val="List"/>
    <w:rsid w:val="00FA76A3"/>
    <w:pPr>
      <w:pBdr>
        <w:top w:val="single" w:sz="6" w:space="2" w:color="918585"/>
        <w:bottom w:val="single" w:sz="6" w:space="2" w:color="918585"/>
      </w:pBdr>
      <w:tabs>
        <w:tab w:val="left" w:pos="1021"/>
      </w:tabs>
      <w:ind w:firstLine="0"/>
    </w:pPr>
  </w:style>
  <w:style w:type="paragraph" w:customStyle="1" w:styleId="Warning">
    <w:name w:val="Warning"/>
    <w:basedOn w:val="BodyText"/>
    <w:rsid w:val="00FA76A3"/>
    <w:pPr>
      <w:shd w:val="clear" w:color="auto" w:fill="D9D9D9"/>
      <w:tabs>
        <w:tab w:val="left" w:pos="992"/>
      </w:tabs>
      <w:ind w:left="119" w:right="119"/>
    </w:pPr>
    <w:rPr>
      <w:sz w:val="20"/>
    </w:rPr>
  </w:style>
  <w:style w:type="paragraph" w:customStyle="1" w:styleId="MarginIcons">
    <w:name w:val="Margin Icons"/>
    <w:basedOn w:val="BodyText"/>
    <w:rsid w:val="00FA76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76A3"/>
    <w:rPr>
      <w:rFonts w:ascii="Courier New" w:hAnsi="Courier New"/>
    </w:rPr>
  </w:style>
  <w:style w:type="paragraph" w:customStyle="1" w:styleId="NoteBullet">
    <w:name w:val="Note Bullet"/>
    <w:basedOn w:val="Note"/>
    <w:rsid w:val="00FA76A3"/>
    <w:pPr>
      <w:tabs>
        <w:tab w:val="clear" w:pos="680"/>
      </w:tabs>
      <w:spacing w:before="60" w:after="60"/>
    </w:pPr>
  </w:style>
  <w:style w:type="paragraph" w:customStyle="1" w:styleId="SubHeading2">
    <w:name w:val="SubHeading2"/>
    <w:basedOn w:val="HeadingBase"/>
    <w:rsid w:val="00FA76A3"/>
    <w:pPr>
      <w:spacing w:before="240" w:after="60"/>
    </w:pPr>
    <w:rPr>
      <w:sz w:val="20"/>
    </w:rPr>
  </w:style>
  <w:style w:type="paragraph" w:customStyle="1" w:styleId="SubHeading1">
    <w:name w:val="SubHeading1"/>
    <w:basedOn w:val="HeadingBase"/>
    <w:rsid w:val="00FA76A3"/>
    <w:pPr>
      <w:spacing w:before="240" w:after="60"/>
    </w:pPr>
    <w:rPr>
      <w:color w:val="918585"/>
      <w:sz w:val="22"/>
    </w:rPr>
  </w:style>
  <w:style w:type="paragraph" w:customStyle="1" w:styleId="SideHeading">
    <w:name w:val="Side Heading"/>
    <w:basedOn w:val="HeadingBase"/>
    <w:rsid w:val="00FA7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6A3"/>
    <w:pPr>
      <w:numPr>
        <w:numId w:val="12"/>
      </w:numPr>
    </w:pPr>
  </w:style>
  <w:style w:type="paragraph" w:styleId="PlainText">
    <w:name w:val="Plain Text"/>
    <w:basedOn w:val="Normal"/>
    <w:link w:val="PlainTextChar"/>
    <w:rsid w:val="00FA76A3"/>
    <w:rPr>
      <w:sz w:val="20"/>
    </w:rPr>
  </w:style>
  <w:style w:type="character" w:customStyle="1" w:styleId="PlainTextChar">
    <w:name w:val="Plain Text Char"/>
    <w:basedOn w:val="DefaultParagraphFont"/>
    <w:link w:val="PlainText"/>
    <w:rsid w:val="00FA76A3"/>
    <w:rPr>
      <w:rFonts w:ascii="Courier New" w:eastAsia="Times New Roman" w:hAnsi="Courier New" w:cs="Times New Roman"/>
      <w:sz w:val="20"/>
      <w:szCs w:val="20"/>
      <w:lang w:val="en-US" w:eastAsia="en-US"/>
    </w:rPr>
  </w:style>
  <w:style w:type="character" w:customStyle="1" w:styleId="MenuOption">
    <w:name w:val="Menu Option"/>
    <w:rsid w:val="00FA76A3"/>
    <w:rPr>
      <w:b/>
      <w:smallCaps/>
    </w:rPr>
  </w:style>
  <w:style w:type="paragraph" w:customStyle="1" w:styleId="TableListNumber">
    <w:name w:val="Table List Number"/>
    <w:basedOn w:val="ListNumber"/>
    <w:rsid w:val="00FA76A3"/>
    <w:pPr>
      <w:numPr>
        <w:numId w:val="0"/>
      </w:numPr>
    </w:pPr>
  </w:style>
  <w:style w:type="paragraph" w:styleId="TOC4">
    <w:name w:val="toc 4"/>
    <w:basedOn w:val="TOCBase"/>
    <w:next w:val="Normal"/>
    <w:semiHidden/>
    <w:rsid w:val="00FA76A3"/>
    <w:pPr>
      <w:tabs>
        <w:tab w:val="right" w:leader="dot" w:pos="9071"/>
      </w:tabs>
      <w:ind w:left="1701"/>
    </w:pPr>
  </w:style>
  <w:style w:type="paragraph" w:customStyle="1" w:styleId="ListAlpha">
    <w:name w:val="List Alpha"/>
    <w:basedOn w:val="List"/>
    <w:rsid w:val="00FA76A3"/>
    <w:pPr>
      <w:numPr>
        <w:numId w:val="9"/>
      </w:numPr>
    </w:pPr>
  </w:style>
  <w:style w:type="paragraph" w:customStyle="1" w:styleId="ListAlpha2">
    <w:name w:val="List Alpha 2"/>
    <w:basedOn w:val="List2"/>
    <w:rsid w:val="00FA76A3"/>
    <w:pPr>
      <w:numPr>
        <w:numId w:val="8"/>
      </w:numPr>
    </w:pPr>
  </w:style>
  <w:style w:type="paragraph" w:styleId="List3">
    <w:name w:val="List 3"/>
    <w:basedOn w:val="BodyText"/>
    <w:rsid w:val="00FA76A3"/>
    <w:pPr>
      <w:tabs>
        <w:tab w:val="left" w:pos="1021"/>
      </w:tabs>
      <w:spacing w:before="60" w:after="60"/>
      <w:ind w:left="1020" w:hanging="340"/>
    </w:pPr>
  </w:style>
  <w:style w:type="paragraph" w:styleId="List4">
    <w:name w:val="List 4"/>
    <w:basedOn w:val="BodyText"/>
    <w:rsid w:val="00FA76A3"/>
    <w:pPr>
      <w:tabs>
        <w:tab w:val="left" w:pos="1361"/>
      </w:tabs>
      <w:spacing w:before="60" w:after="60"/>
      <w:ind w:left="1361" w:hanging="340"/>
    </w:pPr>
  </w:style>
  <w:style w:type="paragraph" w:styleId="List5">
    <w:name w:val="List 5"/>
    <w:basedOn w:val="BodyText"/>
    <w:rsid w:val="00FA76A3"/>
    <w:pPr>
      <w:tabs>
        <w:tab w:val="left" w:pos="1701"/>
      </w:tabs>
      <w:spacing w:before="60" w:after="60"/>
      <w:ind w:left="1701" w:hanging="340"/>
    </w:pPr>
  </w:style>
  <w:style w:type="paragraph" w:styleId="ListBullet3">
    <w:name w:val="List Bullet 3"/>
    <w:basedOn w:val="List3"/>
    <w:rsid w:val="00FA76A3"/>
    <w:pPr>
      <w:numPr>
        <w:numId w:val="15"/>
      </w:numPr>
      <w:tabs>
        <w:tab w:val="clear" w:pos="1021"/>
      </w:tabs>
      <w:ind w:left="1037" w:hanging="357"/>
    </w:pPr>
  </w:style>
  <w:style w:type="paragraph" w:styleId="ListBullet4">
    <w:name w:val="List Bullet 4"/>
    <w:basedOn w:val="List4"/>
    <w:rsid w:val="00FA76A3"/>
    <w:pPr>
      <w:numPr>
        <w:numId w:val="3"/>
      </w:numPr>
    </w:pPr>
  </w:style>
  <w:style w:type="paragraph" w:styleId="ListBullet5">
    <w:name w:val="List Bullet 5"/>
    <w:basedOn w:val="List5"/>
    <w:rsid w:val="00FA76A3"/>
    <w:pPr>
      <w:numPr>
        <w:numId w:val="4"/>
      </w:numPr>
    </w:pPr>
  </w:style>
  <w:style w:type="paragraph" w:styleId="ListContinue2">
    <w:name w:val="List Continue 2"/>
    <w:basedOn w:val="List2"/>
    <w:rsid w:val="00FA76A3"/>
    <w:pPr>
      <w:ind w:firstLine="0"/>
    </w:pPr>
  </w:style>
  <w:style w:type="paragraph" w:styleId="ListContinue3">
    <w:name w:val="List Continue 3"/>
    <w:basedOn w:val="List3"/>
    <w:rsid w:val="00FA76A3"/>
    <w:pPr>
      <w:ind w:left="1021" w:firstLine="0"/>
    </w:pPr>
  </w:style>
  <w:style w:type="paragraph" w:styleId="ListContinue4">
    <w:name w:val="List Continue 4"/>
    <w:basedOn w:val="List4"/>
    <w:rsid w:val="00FA76A3"/>
    <w:pPr>
      <w:ind w:firstLine="0"/>
    </w:pPr>
  </w:style>
  <w:style w:type="paragraph" w:styleId="ListContinue5">
    <w:name w:val="List Continue 5"/>
    <w:basedOn w:val="List5"/>
    <w:rsid w:val="00FA76A3"/>
    <w:pPr>
      <w:ind w:firstLine="0"/>
    </w:pPr>
  </w:style>
  <w:style w:type="paragraph" w:styleId="ListNumber3">
    <w:name w:val="List Number 3"/>
    <w:basedOn w:val="List3"/>
    <w:rsid w:val="00FA76A3"/>
    <w:pPr>
      <w:numPr>
        <w:numId w:val="5"/>
      </w:numPr>
    </w:pPr>
  </w:style>
  <w:style w:type="paragraph" w:styleId="ListNumber4">
    <w:name w:val="List Number 4"/>
    <w:basedOn w:val="List4"/>
    <w:rsid w:val="00FA76A3"/>
    <w:pPr>
      <w:numPr>
        <w:numId w:val="6"/>
      </w:numPr>
    </w:pPr>
  </w:style>
  <w:style w:type="paragraph" w:styleId="ListNumber5">
    <w:name w:val="List Number 5"/>
    <w:basedOn w:val="List5"/>
    <w:rsid w:val="00FA76A3"/>
    <w:pPr>
      <w:numPr>
        <w:numId w:val="7"/>
      </w:numPr>
    </w:pPr>
  </w:style>
  <w:style w:type="paragraph" w:styleId="BlockText">
    <w:name w:val="Block Text"/>
    <w:basedOn w:val="Normal"/>
    <w:rsid w:val="00FA76A3"/>
    <w:pPr>
      <w:spacing w:after="120"/>
      <w:ind w:left="1440" w:right="1440"/>
    </w:pPr>
  </w:style>
  <w:style w:type="character" w:customStyle="1" w:styleId="Subscript">
    <w:name w:val="Subscript"/>
    <w:rsid w:val="00FA76A3"/>
    <w:rPr>
      <w:sz w:val="16"/>
      <w:vertAlign w:val="subscript"/>
    </w:rPr>
  </w:style>
  <w:style w:type="character" w:customStyle="1" w:styleId="Superscript">
    <w:name w:val="Superscript"/>
    <w:rsid w:val="00FA76A3"/>
    <w:rPr>
      <w:sz w:val="16"/>
      <w:vertAlign w:val="superscript"/>
    </w:rPr>
  </w:style>
  <w:style w:type="character" w:customStyle="1" w:styleId="Symbols">
    <w:name w:val="Symbols"/>
    <w:rsid w:val="00FA76A3"/>
    <w:rPr>
      <w:rFonts w:ascii="Symbol" w:hAnsi="Symbol"/>
    </w:rPr>
  </w:style>
  <w:style w:type="character" w:customStyle="1" w:styleId="MenuOptions">
    <w:name w:val="Menu Options"/>
    <w:rsid w:val="00FA76A3"/>
    <w:rPr>
      <w:rFonts w:ascii="Arial Narrow" w:hAnsi="Arial Narrow"/>
      <w:smallCaps/>
    </w:rPr>
  </w:style>
  <w:style w:type="character" w:customStyle="1" w:styleId="Buttons">
    <w:name w:val="Buttons"/>
    <w:rsid w:val="00FA76A3"/>
    <w:rPr>
      <w:b/>
    </w:rPr>
  </w:style>
  <w:style w:type="character" w:customStyle="1" w:styleId="Underlined">
    <w:name w:val="Underlined"/>
    <w:rsid w:val="00FA76A3"/>
    <w:rPr>
      <w:u w:val="single"/>
    </w:rPr>
  </w:style>
  <w:style w:type="paragraph" w:customStyle="1" w:styleId="TableBodyTextRight">
    <w:name w:val="Table Body Text Right"/>
    <w:basedOn w:val="TableBodyText"/>
    <w:rsid w:val="00FA76A3"/>
    <w:pPr>
      <w:widowControl w:val="0"/>
      <w:autoSpaceDE w:val="0"/>
      <w:autoSpaceDN w:val="0"/>
      <w:adjustRightInd w:val="0"/>
      <w:jc w:val="right"/>
    </w:pPr>
    <w:rPr>
      <w:rFonts w:cs="Arial"/>
      <w:szCs w:val="18"/>
    </w:rPr>
  </w:style>
  <w:style w:type="paragraph" w:customStyle="1" w:styleId="CopyrightText">
    <w:name w:val="Copyright Text"/>
    <w:basedOn w:val="BodyText"/>
    <w:rsid w:val="00FA76A3"/>
    <w:rPr>
      <w:sz w:val="18"/>
    </w:rPr>
  </w:style>
  <w:style w:type="paragraph" w:customStyle="1" w:styleId="BodySmallRight">
    <w:name w:val="Body Small Right"/>
    <w:basedOn w:val="BodyTextRight"/>
    <w:rsid w:val="00FA76A3"/>
    <w:rPr>
      <w:sz w:val="18"/>
      <w:szCs w:val="18"/>
    </w:rPr>
  </w:style>
  <w:style w:type="paragraph" w:customStyle="1" w:styleId="MarginEdition">
    <w:name w:val="Margin Edition"/>
    <w:basedOn w:val="MarginNote"/>
    <w:rsid w:val="00FA76A3"/>
    <w:pPr>
      <w:spacing w:before="0" w:after="0"/>
    </w:pPr>
    <w:rPr>
      <w:rFonts w:ascii="Times New Roman" w:hAnsi="Times New Roman"/>
      <w:color w:val="999999"/>
    </w:rPr>
  </w:style>
  <w:style w:type="paragraph" w:customStyle="1" w:styleId="Spacer">
    <w:name w:val="Spacer"/>
    <w:basedOn w:val="Normal"/>
    <w:rsid w:val="00FA76A3"/>
    <w:rPr>
      <w:sz w:val="2"/>
      <w:szCs w:val="2"/>
    </w:rPr>
  </w:style>
  <w:style w:type="character" w:customStyle="1" w:styleId="Small">
    <w:name w:val="Small"/>
    <w:rsid w:val="00FA76A3"/>
    <w:rPr>
      <w:sz w:val="16"/>
    </w:rPr>
  </w:style>
  <w:style w:type="paragraph" w:customStyle="1" w:styleId="WideTable">
    <w:name w:val="Wide Table"/>
    <w:basedOn w:val="Normal"/>
    <w:rsid w:val="00FA76A3"/>
    <w:pPr>
      <w:ind w:left="-1418"/>
    </w:pPr>
    <w:rPr>
      <w:sz w:val="2"/>
      <w:szCs w:val="2"/>
    </w:rPr>
  </w:style>
  <w:style w:type="character" w:styleId="PageNumber">
    <w:name w:val="page number"/>
    <w:rsid w:val="00FA76A3"/>
  </w:style>
  <w:style w:type="paragraph" w:styleId="Quote">
    <w:name w:val="Quote"/>
    <w:basedOn w:val="Heading1"/>
    <w:link w:val="QuoteChar"/>
    <w:qFormat/>
    <w:rsid w:val="00FA76A3"/>
    <w:rPr>
      <w:b w:val="0"/>
      <w:sz w:val="72"/>
      <w:szCs w:val="72"/>
      <w:lang w:val="en-NZ"/>
    </w:rPr>
  </w:style>
  <w:style w:type="character" w:customStyle="1" w:styleId="QuoteChar">
    <w:name w:val="Quote Char"/>
    <w:link w:val="Quote"/>
    <w:rsid w:val="00FA7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6A3"/>
    <w:pPr>
      <w:pageBreakBefore/>
    </w:pPr>
  </w:style>
  <w:style w:type="paragraph" w:customStyle="1" w:styleId="Border">
    <w:name w:val="Border"/>
    <w:basedOn w:val="Normal"/>
    <w:qFormat/>
    <w:rsid w:val="00FA76A3"/>
    <w:pPr>
      <w:pBdr>
        <w:top w:val="single" w:sz="18" w:space="1" w:color="auto"/>
      </w:pBdr>
    </w:pPr>
    <w:rPr>
      <w:rFonts w:ascii="Times New Roman" w:hAnsi="Times New Roman"/>
      <w:color w:val="FFFFFF"/>
      <w:sz w:val="2"/>
    </w:rPr>
  </w:style>
  <w:style w:type="character" w:styleId="IntenseEmphasis">
    <w:name w:val="Intense Emphasis"/>
    <w:uiPriority w:val="21"/>
    <w:qFormat/>
    <w:rsid w:val="00FA76A3"/>
    <w:rPr>
      <w:b/>
      <w:bCs/>
      <w:i/>
      <w:iCs/>
      <w:color w:val="auto"/>
    </w:rPr>
  </w:style>
  <w:style w:type="paragraph" w:styleId="IntenseQuote">
    <w:name w:val="Intense Quote"/>
    <w:basedOn w:val="Normal"/>
    <w:next w:val="Normal"/>
    <w:link w:val="IntenseQuoteChar"/>
    <w:uiPriority w:val="30"/>
    <w:qFormat/>
    <w:rsid w:val="00FA76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76A3"/>
    <w:rPr>
      <w:rFonts w:ascii="Courier New" w:eastAsia="Times New Roman" w:hAnsi="Courier New" w:cs="Times New Roman"/>
      <w:b/>
      <w:bCs/>
      <w:i/>
      <w:iCs/>
      <w:szCs w:val="20"/>
      <w:lang w:val="en-US" w:eastAsia="en-US"/>
    </w:rPr>
  </w:style>
  <w:style w:type="character" w:styleId="SubtleReference">
    <w:name w:val="Subtle Reference"/>
    <w:uiPriority w:val="31"/>
    <w:qFormat/>
    <w:rsid w:val="00FA76A3"/>
    <w:rPr>
      <w:smallCaps/>
      <w:color w:val="auto"/>
      <w:u w:val="single"/>
    </w:rPr>
  </w:style>
  <w:style w:type="character" w:styleId="IntenseReference">
    <w:name w:val="Intense Reference"/>
    <w:uiPriority w:val="32"/>
    <w:qFormat/>
    <w:rsid w:val="00FA76A3"/>
    <w:rPr>
      <w:b/>
      <w:bCs/>
      <w:smallCaps/>
      <w:color w:val="auto"/>
      <w:spacing w:val="5"/>
      <w:u w:val="single"/>
    </w:rPr>
  </w:style>
  <w:style w:type="paragraph" w:customStyle="1" w:styleId="2ColumnHeading">
    <w:name w:val="2Column Heading"/>
    <w:basedOn w:val="BodyText"/>
    <w:qFormat/>
    <w:rsid w:val="00FA76A3"/>
    <w:pPr>
      <w:spacing w:after="60"/>
      <w:ind w:left="-2268"/>
    </w:pPr>
    <w:rPr>
      <w:b/>
    </w:rPr>
  </w:style>
  <w:style w:type="paragraph" w:customStyle="1" w:styleId="Heading1TOC">
    <w:name w:val="Heading1 TOC"/>
    <w:basedOn w:val="Normal"/>
    <w:qFormat/>
    <w:rsid w:val="00FA76A3"/>
    <w:pPr>
      <w:spacing w:before="240" w:after="120"/>
    </w:pPr>
    <w:rPr>
      <w:rFonts w:ascii="Times New Roman" w:hAnsi="Times New Roman"/>
      <w:b/>
      <w:sz w:val="32"/>
    </w:rPr>
  </w:style>
  <w:style w:type="paragraph" w:customStyle="1" w:styleId="Heading2TOC">
    <w:name w:val="Heading2 TOC"/>
    <w:basedOn w:val="Normal"/>
    <w:qFormat/>
    <w:rsid w:val="00FA76A3"/>
    <w:pPr>
      <w:spacing w:before="240" w:after="60"/>
    </w:pPr>
    <w:rPr>
      <w:rFonts w:ascii="Times New Roman" w:hAnsi="Times New Roman"/>
      <w:b/>
      <w:sz w:val="28"/>
    </w:rPr>
  </w:style>
  <w:style w:type="character" w:customStyle="1" w:styleId="Underline">
    <w:name w:val="Underline"/>
    <w:qFormat/>
    <w:rsid w:val="00FA76A3"/>
    <w:rPr>
      <w:u w:val="single"/>
    </w:rPr>
  </w:style>
  <w:style w:type="paragraph" w:styleId="BalloonText">
    <w:name w:val="Balloon Text"/>
    <w:basedOn w:val="Normal"/>
    <w:link w:val="BalloonTextChar"/>
    <w:rsid w:val="00FA76A3"/>
    <w:rPr>
      <w:rFonts w:ascii="Tahoma" w:hAnsi="Tahoma" w:cs="Tahoma"/>
      <w:sz w:val="16"/>
      <w:szCs w:val="16"/>
    </w:rPr>
  </w:style>
  <w:style w:type="character" w:customStyle="1" w:styleId="BalloonTextChar">
    <w:name w:val="Balloon Text Char"/>
    <w:link w:val="BalloonText"/>
    <w:rsid w:val="00FA76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76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76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1629</Words>
  <Characters>10442</Characters>
  <Application>Microsoft Office Word</Application>
  <DocSecurity>0</DocSecurity>
  <Lines>389</Lines>
  <Paragraphs>201</Paragraphs>
  <ScaleCrop>false</ScaleCrop>
  <Company>Author-it Software Corporation Ltd.</Company>
  <LinksUpToDate>false</LinksUpToDate>
  <CharactersWithSpaces>11998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CPCCJN2001A Assemble components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2012-05-26T05:29:00Z</dcterms:created>
  <dcterms:modified xsi:type="dcterms:W3CDTF">2012-05-26T05:29:00Z</dcterms:modified>
</cp:coreProperties>
</file>