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109C" w:rsidP="0033109C">
      <w:pPr>
        <w:pStyle w:val="Title"/>
      </w:pPr>
      <w:r>
        <w:fldChar w:fldCharType="begin"/>
      </w:r>
      <w:r>
        <w:instrText xml:space="preserve"> TITLE   \* MERGEFORMAT </w:instrText>
      </w:r>
      <w:r>
        <w:fldChar w:fldCharType="separate"/>
      </w:r>
      <w:r>
        <w:t>CPCCDO3011A Perform dogging</w:t>
      </w:r>
      <w:r>
        <w:fldChar w:fldCharType="end"/>
      </w:r>
    </w:p>
    <w:p w:rsidR="0033109C" w:rsidP="0033109C">
      <w:pPr>
        <w:pStyle w:val="Version"/>
        <w:sectPr w:rsidSect="00C074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4A1" w:rsidP="00C074A1">
      <w:pPr>
        <w:pStyle w:val="SuperHeading"/>
      </w:pPr>
      <w:r w:rsidRPr="00C074A1">
        <w:t>CPCCDO3011A Perform dogging</w:t>
      </w:r>
    </w:p>
    <w:p w:rsidR="00000000" w:rsidRPr="00C074A1" w:rsidP="00C074A1">
      <w:pPr>
        <w:pStyle w:val="Heading1"/>
      </w:pPr>
      <w:bookmarkStart w:id="1" w:name="O_269566"/>
      <w:bookmarkEnd w:id="1"/>
      <w:r w:rsidRPr="00C074A1">
        <w:t>Modification History</w:t>
      </w:r>
    </w:p>
    <w:p w:rsidR="00000000" w:rsidRPr="00C074A1" w:rsidP="00C074A1">
      <w:pPr>
        <w:pStyle w:val="BodyText"/>
      </w:pPr>
      <w:r w:rsidRPr="00C074A1">
        <w:t>Not Applicable</w:t>
      </w:r>
    </w:p>
    <w:p w:rsidR="00000000" w:rsidRPr="00C074A1" w:rsidP="00C074A1">
      <w:pPr>
        <w:pStyle w:val="AllowPageBreak"/>
      </w:pPr>
    </w:p>
    <w:p w:rsidR="00000000" w:rsidRPr="00C074A1" w:rsidP="00C074A1">
      <w:pPr>
        <w:pStyle w:val="Heading1"/>
      </w:pPr>
      <w:bookmarkStart w:id="2" w:name="O_197822"/>
      <w:bookmarkEnd w:id="2"/>
      <w:r w:rsidRPr="00C074A1">
        <w:t>Unit Descriptor</w:t>
      </w:r>
    </w:p>
    <w:tbl>
      <w:tblPr>
        <w:tblW w:w="0" w:type="auto"/>
        <w:tblLayout w:type="fixed"/>
        <w:tblCellMar>
          <w:left w:w="62" w:type="dxa"/>
          <w:right w:w="62" w:type="dxa"/>
        </w:tblCellMar>
        <w:tblLook w:val="0000"/>
      </w:tblPr>
      <w:tblGrid>
        <w:gridCol w:w="2594"/>
        <w:gridCol w:w="5928"/>
      </w:tblGrid>
      <w:tr w:rsidTr="0033109C">
        <w:tblPrEx>
          <w:tblW w:w="0" w:type="auto"/>
          <w:tblLayout w:type="fixed"/>
          <w:tblCellMar>
            <w:left w:w="62" w:type="dxa"/>
            <w:right w:w="62" w:type="dxa"/>
          </w:tblCellMar>
          <w:tblLook w:val="0000"/>
        </w:tblPrEx>
        <w:trPr>
          <w:tblHeader/>
        </w:trPr>
        <w:tc>
          <w:tcPr>
            <w:tcW w:w="2594"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Unit descriptor</w:t>
            </w:r>
          </w:p>
        </w:tc>
        <w:tc>
          <w:tcPr>
            <w:tcW w:w="5928" w:type="dxa"/>
            <w:tcBorders>
              <w:top w:val="nil"/>
              <w:left w:val="nil"/>
              <w:bottom w:val="nil"/>
              <w:right w:val="nil"/>
            </w:tcBorders>
            <w:tcMar>
              <w:top w:w="0" w:type="dxa"/>
              <w:left w:w="62" w:type="dxa"/>
              <w:bottom w:w="0" w:type="dxa"/>
              <w:right w:w="62" w:type="dxa"/>
            </w:tcMar>
          </w:tcPr>
          <w:p w:rsidR="00000000" w:rsidRPr="00C074A1" w:rsidP="00C074A1">
            <w:pPr>
              <w:pStyle w:val="BodyText"/>
            </w:pPr>
            <w:r w:rsidRPr="00C074A1">
              <w:t xml:space="preserve">This unit of competency specifies the outcomes required to undertake basic dogging work, both in sight and out of sight of the crane operator, for the purpose of shifting </w:t>
            </w:r>
            <w:r w:rsidRPr="00C074A1">
              <w:t>loads mechanically.</w:t>
            </w:r>
          </w:p>
          <w:p w:rsidR="00000000" w:rsidRPr="00C074A1" w:rsidP="00C074A1">
            <w:pPr>
              <w:pStyle w:val="BodyText"/>
            </w:pPr>
            <w:r w:rsidRPr="00C074A1">
              <w:t>The unit includes selecting sling types and sizes and maintaining the stability of the load.</w:t>
            </w:r>
          </w:p>
        </w:tc>
      </w:tr>
    </w:tbl>
    <w:p w:rsidR="0033109C" w:rsidP="00C074A1">
      <w:pPr>
        <w:pStyle w:val="BodyText"/>
      </w:pPr>
    </w:p>
    <w:p w:rsidR="0033109C" w:rsidP="00C074A1">
      <w:pPr>
        <w:pStyle w:val="BodyText"/>
      </w:pPr>
    </w:p>
    <w:p w:rsidR="00000000" w:rsidRPr="00C074A1" w:rsidP="00C074A1">
      <w:pPr>
        <w:pStyle w:val="Heading1"/>
      </w:pPr>
      <w:bookmarkStart w:id="3" w:name="O_197826"/>
      <w:bookmarkEnd w:id="3"/>
      <w:r w:rsidRPr="00C074A1">
        <w:t>Application of the Unit</w:t>
      </w:r>
    </w:p>
    <w:tbl>
      <w:tblPr>
        <w:tblW w:w="0" w:type="auto"/>
        <w:tblLayout w:type="fixed"/>
        <w:tblCellMar>
          <w:left w:w="62" w:type="dxa"/>
          <w:right w:w="62" w:type="dxa"/>
        </w:tblCellMar>
        <w:tblLook w:val="0000"/>
      </w:tblPr>
      <w:tblGrid>
        <w:gridCol w:w="2672"/>
        <w:gridCol w:w="5850"/>
      </w:tblGrid>
      <w:tr w:rsidTr="0033109C">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Application of the unit</w:t>
            </w:r>
          </w:p>
        </w:tc>
        <w:tc>
          <w:tcPr>
            <w:tcW w:w="5850" w:type="dxa"/>
            <w:tcBorders>
              <w:top w:val="nil"/>
              <w:left w:val="nil"/>
              <w:bottom w:val="nil"/>
              <w:right w:val="nil"/>
            </w:tcBorders>
            <w:tcMar>
              <w:top w:w="0" w:type="dxa"/>
              <w:left w:w="62" w:type="dxa"/>
              <w:bottom w:w="0" w:type="dxa"/>
              <w:right w:w="62" w:type="dxa"/>
            </w:tcMar>
          </w:tcPr>
          <w:p w:rsidR="00000000" w:rsidRPr="00C074A1" w:rsidP="00C074A1">
            <w:pPr>
              <w:pStyle w:val="BodyText"/>
            </w:pPr>
            <w:r w:rsidRPr="00C074A1">
              <w:t>This unit of competency supports the attainment of the understanding and sk</w:t>
            </w:r>
            <w:r w:rsidRPr="00C074A1">
              <w:t xml:space="preserve">ills to use dogging tools and equipment, which may include working with others and as a member of a team. </w:t>
            </w:r>
          </w:p>
        </w:tc>
      </w:tr>
    </w:tbl>
    <w:p w:rsidR="0033109C" w:rsidP="00C074A1">
      <w:pPr>
        <w:pStyle w:val="BodyText"/>
      </w:pPr>
    </w:p>
    <w:p w:rsidR="0033109C" w:rsidP="00C074A1">
      <w:pPr>
        <w:pStyle w:val="BodyText"/>
      </w:pPr>
    </w:p>
    <w:p w:rsidR="00000000" w:rsidRPr="00C074A1" w:rsidP="00C074A1">
      <w:pPr>
        <w:pStyle w:val="Heading1"/>
      </w:pPr>
      <w:bookmarkStart w:id="4" w:name="O_277826"/>
      <w:bookmarkEnd w:id="4"/>
      <w:r w:rsidRPr="00C074A1">
        <w:t>Licensing/Regulatory Information</w:t>
      </w:r>
    </w:p>
    <w:p w:rsidR="00000000" w:rsidRPr="00C074A1" w:rsidP="00C074A1">
      <w:pPr>
        <w:pStyle w:val="BodyText"/>
      </w:pPr>
      <w:r w:rsidRPr="00C074A1">
        <w:t>Not Applicable</w:t>
      </w:r>
    </w:p>
    <w:p w:rsidR="00000000" w:rsidRPr="00C074A1" w:rsidP="00C074A1">
      <w:pPr>
        <w:pStyle w:val="AllowPageBreak"/>
      </w:pPr>
    </w:p>
    <w:p w:rsidR="00000000" w:rsidRPr="00C074A1" w:rsidP="00C074A1">
      <w:pPr>
        <w:pStyle w:val="Heading1"/>
      </w:pPr>
      <w:bookmarkStart w:id="5" w:name="O_197824"/>
      <w:bookmarkEnd w:id="5"/>
      <w:r w:rsidRPr="00C074A1">
        <w:t>Pre-Requisites</w:t>
      </w:r>
    </w:p>
    <w:tbl>
      <w:tblPr>
        <w:tblW w:w="0" w:type="auto"/>
        <w:tblLayout w:type="fixed"/>
        <w:tblCellMar>
          <w:left w:w="62" w:type="dxa"/>
          <w:right w:w="62" w:type="dxa"/>
        </w:tblCellMar>
        <w:tblLook w:val="0000"/>
      </w:tblPr>
      <w:tblGrid>
        <w:gridCol w:w="2581"/>
        <w:gridCol w:w="2737"/>
        <w:gridCol w:w="3204"/>
      </w:tblGrid>
      <w:tr w:rsidTr="0033109C">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Prerequisite units</w:t>
            </w:r>
          </w:p>
        </w:tc>
        <w:tc>
          <w:tcPr>
            <w:tcW w:w="5941" w:type="dxa"/>
            <w:gridSpan w:val="2"/>
            <w:tcBorders>
              <w:top w:val="nil"/>
              <w:left w:val="nil"/>
              <w:bottom w:val="nil"/>
              <w:right w:val="nil"/>
            </w:tcBorders>
            <w:tcMar>
              <w:top w:w="0" w:type="dxa"/>
              <w:left w:w="62" w:type="dxa"/>
              <w:bottom w:w="0" w:type="dxa"/>
              <w:right w:w="62" w:type="dxa"/>
            </w:tcMar>
          </w:tcPr>
          <w:p w:rsidR="00000000" w:rsidP="00C074A1">
            <w:pPr>
              <w:pStyle w:val="BodyText"/>
              <w:rPr>
                <w:lang w:val="en-NZ"/>
              </w:rPr>
            </w:pPr>
          </w:p>
        </w:tc>
      </w:tr>
      <w:tr w:rsidTr="0033109C">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t>CPCCOHS2001A</w:t>
            </w:r>
          </w:p>
        </w:tc>
        <w:tc>
          <w:tcPr>
            <w:tcW w:w="3204"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t>Apply OHS requirements, policies and procedures in the construction industry</w:t>
            </w:r>
          </w:p>
        </w:tc>
      </w:tr>
      <w:tr w:rsidTr="0033109C">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204" w:type="dxa"/>
            <w:tcBorders>
              <w:top w:val="nil"/>
              <w:left w:val="nil"/>
              <w:bottom w:val="nil"/>
              <w:right w:val="nil"/>
            </w:tcBorders>
            <w:tcMar>
              <w:top w:w="0" w:type="dxa"/>
              <w:left w:w="62" w:type="dxa"/>
              <w:bottom w:w="0" w:type="dxa"/>
              <w:right w:w="62" w:type="dxa"/>
            </w:tcMar>
          </w:tcPr>
          <w:p w:rsidR="00000000" w:rsidRPr="00C074A1" w:rsidP="00C074A1">
            <w:pPr>
              <w:pStyle w:val="BodyText"/>
            </w:pPr>
          </w:p>
        </w:tc>
      </w:tr>
    </w:tbl>
    <w:p w:rsidR="0033109C" w:rsidP="00C074A1">
      <w:pPr>
        <w:pStyle w:val="BodyText"/>
      </w:pPr>
    </w:p>
    <w:p w:rsidR="0033109C" w:rsidP="00C074A1">
      <w:pPr>
        <w:pStyle w:val="BodyText"/>
      </w:pPr>
    </w:p>
    <w:p w:rsidR="00000000" w:rsidRPr="00C074A1" w:rsidP="00C074A1">
      <w:pPr>
        <w:pStyle w:val="Heading1"/>
      </w:pPr>
      <w:bookmarkStart w:id="6" w:name="O_197823"/>
      <w:bookmarkEnd w:id="6"/>
      <w:r w:rsidRPr="00C074A1">
        <w:t>Employability Skills Information</w:t>
      </w:r>
    </w:p>
    <w:tbl>
      <w:tblPr>
        <w:tblW w:w="0" w:type="auto"/>
        <w:tblLayout w:type="fixed"/>
        <w:tblCellMar>
          <w:left w:w="62" w:type="dxa"/>
          <w:right w:w="62" w:type="dxa"/>
        </w:tblCellMar>
        <w:tblLook w:val="0000"/>
      </w:tblPr>
      <w:tblGrid>
        <w:gridCol w:w="2707"/>
        <w:gridCol w:w="5815"/>
      </w:tblGrid>
      <w:tr w:rsidTr="0033109C">
        <w:tblPrEx>
          <w:tblW w:w="0" w:type="auto"/>
          <w:tblLayout w:type="fixed"/>
          <w:tblCellMar>
            <w:left w:w="62" w:type="dxa"/>
            <w:right w:w="62" w:type="dxa"/>
          </w:tblCellMar>
          <w:tblLook w:val="0000"/>
        </w:tblPrEx>
        <w:trPr>
          <w:tblHeader/>
        </w:trPr>
        <w:tc>
          <w:tcPr>
            <w:tcW w:w="2707"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Employability skills</w:t>
            </w:r>
          </w:p>
        </w:tc>
        <w:tc>
          <w:tcPr>
            <w:tcW w:w="5815" w:type="dxa"/>
            <w:tcBorders>
              <w:top w:val="nil"/>
              <w:left w:val="nil"/>
              <w:bottom w:val="nil"/>
              <w:right w:val="nil"/>
            </w:tcBorders>
            <w:tcMar>
              <w:top w:w="0" w:type="dxa"/>
              <w:left w:w="62" w:type="dxa"/>
              <w:bottom w:w="0" w:type="dxa"/>
              <w:right w:w="62" w:type="dxa"/>
            </w:tcMar>
          </w:tcPr>
          <w:p w:rsidR="00000000" w:rsidRPr="00C074A1" w:rsidP="00C074A1">
            <w:pPr>
              <w:pStyle w:val="BodyText"/>
            </w:pPr>
            <w:r w:rsidRPr="00C074A1">
              <w:t>This unit contains employability skills.</w:t>
            </w:r>
          </w:p>
        </w:tc>
      </w:tr>
    </w:tbl>
    <w:p w:rsidR="0033109C" w:rsidP="00C074A1">
      <w:pPr>
        <w:pStyle w:val="BodyText"/>
      </w:pPr>
    </w:p>
    <w:p w:rsidR="0033109C" w:rsidP="00C074A1">
      <w:pPr>
        <w:pStyle w:val="BodyText"/>
      </w:pPr>
    </w:p>
    <w:p w:rsidR="00000000" w:rsidRPr="00C074A1" w:rsidP="00C074A1">
      <w:pPr>
        <w:pStyle w:val="Heading1"/>
      </w:pPr>
      <w:bookmarkStart w:id="7" w:name="O_287612"/>
      <w:bookmarkEnd w:id="7"/>
      <w:r w:rsidRPr="00C074A1">
        <w:t>Elements and Performance Criteria Pre-Content</w:t>
      </w:r>
    </w:p>
    <w:tbl>
      <w:tblPr>
        <w:tblW w:w="0" w:type="auto"/>
        <w:tblLayout w:type="fixed"/>
        <w:tblCellMar>
          <w:left w:w="62" w:type="dxa"/>
          <w:right w:w="62" w:type="dxa"/>
        </w:tblCellMar>
        <w:tblLook w:val="0000"/>
      </w:tblPr>
      <w:tblGrid>
        <w:gridCol w:w="2567"/>
        <w:gridCol w:w="5955"/>
      </w:tblGrid>
      <w:tr w:rsidTr="0033109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C074A1">
            <w:pPr>
              <w:pStyle w:val="BodyText"/>
              <w:rPr>
                <w:lang w:val="en-NZ"/>
              </w:rPr>
            </w:pPr>
            <w:r w:rsidRPr="00C074A1">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C074A1" w:rsidP="00C074A1">
            <w:pPr>
              <w:pStyle w:val="BodyText"/>
            </w:pPr>
            <w:r w:rsidRPr="00C074A1">
              <w:t>Performance criteria describe the performance needed to demonstrate achievement of the element. Where bold italicised text is used, further info</w:t>
            </w:r>
            <w:r w:rsidRPr="00C074A1">
              <w:t>rmation is detailed in the required skills and knowledge section and the range statement. Assessment of performance is to be consistent with the evidence guide.</w:t>
            </w:r>
          </w:p>
        </w:tc>
      </w:tr>
    </w:tbl>
    <w:p w:rsidR="00000000" w:rsidRPr="00C074A1" w:rsidP="00C074A1">
      <w:pPr>
        <w:pStyle w:val="BodyText"/>
      </w:pPr>
    </w:p>
    <w:p w:rsidR="00000000" w:rsidRPr="00C074A1" w:rsidP="00C074A1">
      <w:pPr>
        <w:pStyle w:val="AllowPageBreak"/>
      </w:pPr>
    </w:p>
    <w:p w:rsidR="00000000" w:rsidRPr="00C074A1" w:rsidP="00C074A1">
      <w:pPr>
        <w:pStyle w:val="Heading1"/>
      </w:pPr>
      <w:bookmarkStart w:id="8" w:name="O_234279"/>
      <w:bookmarkEnd w:id="8"/>
      <w:r w:rsidRPr="00C074A1">
        <w:t>Elements and Performance Criteria</w:t>
      </w:r>
    </w:p>
    <w:tbl>
      <w:tblPr>
        <w:tblW w:w="0" w:type="auto"/>
        <w:tblLayout w:type="fixed"/>
        <w:tblCellMar>
          <w:left w:w="62" w:type="dxa"/>
          <w:right w:w="62" w:type="dxa"/>
        </w:tblCellMar>
        <w:tblLook w:val="0000"/>
      </w:tblPr>
      <w:tblGrid>
        <w:gridCol w:w="2567"/>
        <w:gridCol w:w="5955"/>
      </w:tblGrid>
      <w:tr w:rsidTr="0033109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C074A1" w:rsidP="00C074A1">
            <w:pPr>
              <w:pStyle w:val="BodyText"/>
            </w:pPr>
            <w:r w:rsidRPr="00C074A1">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C074A1">
            <w:pPr>
              <w:pStyle w:val="BodyText"/>
              <w:rPr>
                <w:lang w:val="en-NZ"/>
              </w:rPr>
            </w:pPr>
            <w:r w:rsidRPr="00C074A1">
              <w:rPr>
                <w:rStyle w:val="SpecialBold"/>
              </w:rPr>
              <w:t>PERFORMANCE CRITERIA</w:t>
            </w:r>
          </w:p>
        </w:tc>
      </w:tr>
      <w:tr w:rsidTr="003310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074A1">
            <w:pPr>
              <w:pStyle w:val="List"/>
              <w:rPr>
                <w:lang w:val="en-NZ"/>
              </w:rPr>
            </w:pPr>
            <w:r w:rsidRPr="00C074A1">
              <w:t>1.</w:t>
            </w:r>
            <w:r w:rsidRPr="00C074A1">
              <w:tab/>
              <w:t xml:space="preserve">Plan and </w:t>
            </w:r>
            <w:r w:rsidRPr="00C074A1">
              <w:t>prepare.</w:t>
            </w:r>
          </w:p>
        </w:tc>
        <w:tc>
          <w:tcPr>
            <w:tcW w:w="5955" w:type="dxa"/>
            <w:tcBorders>
              <w:top w:val="nil"/>
              <w:left w:val="nil"/>
              <w:bottom w:val="nil"/>
              <w:right w:val="nil"/>
            </w:tcBorders>
            <w:tcMar>
              <w:top w:w="0" w:type="dxa"/>
              <w:left w:w="62" w:type="dxa"/>
              <w:bottom w:w="0" w:type="dxa"/>
              <w:right w:w="62" w:type="dxa"/>
            </w:tcMar>
          </w:tcPr>
          <w:p w:rsidR="00000000" w:rsidRPr="00C074A1" w:rsidP="00C074A1">
            <w:pPr>
              <w:pStyle w:val="List2"/>
            </w:pPr>
            <w:r w:rsidRPr="00C074A1">
              <w:t>1.1.</w:t>
            </w:r>
            <w:r w:rsidRPr="00C074A1">
              <w:tab/>
              <w:t xml:space="preserve">Work instructions and operational details are obtained using relevant </w:t>
            </w:r>
            <w:r w:rsidRPr="00C074A1">
              <w:rPr>
                <w:rStyle w:val="BoldandItalics"/>
              </w:rPr>
              <w:t>information</w:t>
            </w:r>
            <w:r w:rsidRPr="00C074A1">
              <w:t xml:space="preserve">, confirmed and applied for </w:t>
            </w:r>
            <w:r w:rsidRPr="00C074A1">
              <w:rPr>
                <w:rStyle w:val="BoldandItalics"/>
              </w:rPr>
              <w:t>planning and preparation</w:t>
            </w:r>
            <w:r w:rsidRPr="00C074A1">
              <w:t xml:space="preserve"> purposes. </w:t>
            </w:r>
          </w:p>
          <w:p w:rsidR="00000000" w:rsidRPr="00C074A1" w:rsidP="00C074A1">
            <w:pPr>
              <w:pStyle w:val="List2"/>
            </w:pPr>
            <w:r w:rsidRPr="00C074A1">
              <w:t>1.2.</w:t>
            </w:r>
            <w:r w:rsidRPr="00C074A1">
              <w:tab/>
            </w:r>
            <w:r w:rsidRPr="00C074A1">
              <w:rPr>
                <w:rStyle w:val="BoldandItalics"/>
              </w:rPr>
              <w:t>Safety</w:t>
            </w:r>
            <w:r w:rsidRPr="00C074A1">
              <w:t xml:space="preserve"> (</w:t>
            </w:r>
            <w:r w:rsidRPr="00C074A1">
              <w:rPr>
                <w:rStyle w:val="BoldandItalics"/>
              </w:rPr>
              <w:t>OHS</w:t>
            </w:r>
            <w:r w:rsidRPr="00C074A1">
              <w:t xml:space="preserve">) requirements are followed in accordance with safety plans and policies. </w:t>
            </w:r>
          </w:p>
          <w:p w:rsidR="00000000" w:rsidRPr="00C074A1" w:rsidP="00C074A1">
            <w:pPr>
              <w:pStyle w:val="List2"/>
            </w:pPr>
            <w:r w:rsidRPr="00C074A1">
              <w:t>1.3.</w:t>
            </w:r>
            <w:r w:rsidRPr="00C074A1">
              <w:tab/>
            </w:r>
            <w:r w:rsidRPr="00C074A1">
              <w:t>Signage and barricade requirements are identified and implemented.</w:t>
            </w:r>
          </w:p>
          <w:p w:rsidR="00000000" w:rsidRPr="00C074A1" w:rsidP="00C074A1">
            <w:pPr>
              <w:pStyle w:val="List2"/>
            </w:pPr>
            <w:r w:rsidRPr="00C074A1">
              <w:t>1.4.</w:t>
            </w:r>
            <w:r w:rsidRPr="00C074A1">
              <w:tab/>
            </w:r>
            <w:r w:rsidRPr="00C074A1">
              <w:rPr>
                <w:rStyle w:val="BoldandItalics"/>
              </w:rPr>
              <w:t>Tools and equipment</w:t>
            </w:r>
            <w:r w:rsidRPr="00C074A1">
              <w:t xml:space="preserve"> selected to carry out tasks are consistent with the requirements of the job, checked for serviceability and any faults are rectified or reported prior to commenceme</w:t>
            </w:r>
            <w:r w:rsidRPr="00C074A1">
              <w:t xml:space="preserve">nt. </w:t>
            </w:r>
          </w:p>
          <w:p w:rsidR="00000000" w:rsidRPr="00C074A1" w:rsidP="00C074A1">
            <w:pPr>
              <w:pStyle w:val="List2"/>
            </w:pPr>
            <w:r w:rsidRPr="00C074A1">
              <w:t>1.5.</w:t>
            </w:r>
            <w:r w:rsidRPr="00C074A1">
              <w:tab/>
              <w:t xml:space="preserve">Materials quantity requirements are calculated in accordance with plans, specifications and </w:t>
            </w:r>
            <w:r w:rsidRPr="00C074A1">
              <w:rPr>
                <w:rStyle w:val="BoldandItalics"/>
              </w:rPr>
              <w:t>quality requirements</w:t>
            </w:r>
            <w:r w:rsidRPr="00C074A1">
              <w:t xml:space="preserve">. </w:t>
            </w:r>
          </w:p>
          <w:p w:rsidR="00000000" w:rsidRPr="00C074A1" w:rsidP="00C074A1">
            <w:pPr>
              <w:pStyle w:val="List2"/>
            </w:pPr>
            <w:r w:rsidRPr="00C074A1">
              <w:t>1.6.</w:t>
            </w:r>
            <w:r w:rsidRPr="00C074A1">
              <w:tab/>
              <w:t>Materials appropriate to the work application are identified, obtained, prepared, safely handled and located ready for use.</w:t>
            </w:r>
          </w:p>
          <w:p w:rsidR="00000000" w:rsidP="00C074A1">
            <w:pPr>
              <w:pStyle w:val="List2"/>
              <w:rPr>
                <w:lang w:val="en-NZ"/>
              </w:rPr>
            </w:pPr>
            <w:r w:rsidRPr="00C074A1">
              <w:t>1.</w:t>
            </w:r>
            <w:r w:rsidRPr="00C074A1">
              <w:t>7.</w:t>
            </w:r>
            <w:r w:rsidRPr="00C074A1">
              <w:tab/>
            </w:r>
            <w:r w:rsidRPr="00C074A1">
              <w:rPr>
                <w:rStyle w:val="BoldandItalics"/>
              </w:rPr>
              <w:t>Environmental requirements</w:t>
            </w:r>
            <w:r w:rsidRPr="00C074A1">
              <w:t xml:space="preserve"> are identified for the project in accordance with environmental plans and regulatory obligations and applied. </w:t>
            </w:r>
          </w:p>
        </w:tc>
      </w:tr>
      <w:tr w:rsidTr="003310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074A1">
            <w:pPr>
              <w:pStyle w:val="List"/>
              <w:rPr>
                <w:lang w:val="en-NZ"/>
              </w:rPr>
            </w:pPr>
            <w:r w:rsidRPr="00C074A1">
              <w:t>2.</w:t>
            </w:r>
            <w:r w:rsidRPr="00C074A1">
              <w:tab/>
              <w:t>Select dogging equipment.</w:t>
            </w:r>
          </w:p>
        </w:tc>
        <w:tc>
          <w:tcPr>
            <w:tcW w:w="5955" w:type="dxa"/>
            <w:tcBorders>
              <w:top w:val="nil"/>
              <w:left w:val="nil"/>
              <w:bottom w:val="nil"/>
              <w:right w:val="nil"/>
            </w:tcBorders>
            <w:tcMar>
              <w:top w:w="0" w:type="dxa"/>
              <w:left w:w="62" w:type="dxa"/>
              <w:bottom w:w="0" w:type="dxa"/>
              <w:right w:w="62" w:type="dxa"/>
            </w:tcMar>
          </w:tcPr>
          <w:p w:rsidR="00000000" w:rsidRPr="00C074A1" w:rsidP="00C074A1">
            <w:pPr>
              <w:pStyle w:val="List2"/>
            </w:pPr>
            <w:r w:rsidRPr="00C074A1">
              <w:t>2.1.</w:t>
            </w:r>
            <w:r w:rsidRPr="00C074A1">
              <w:tab/>
              <w:t>Resources, materials and equipment are selected and inspected for compliance wit</w:t>
            </w:r>
            <w:r w:rsidRPr="00C074A1">
              <w:t>h job specifications.</w:t>
            </w:r>
          </w:p>
          <w:p w:rsidR="00000000" w:rsidRPr="00C074A1" w:rsidP="00C074A1">
            <w:pPr>
              <w:pStyle w:val="List2"/>
            </w:pPr>
            <w:r w:rsidRPr="00C074A1">
              <w:t>2.2.</w:t>
            </w:r>
            <w:r w:rsidRPr="00C074A1">
              <w:tab/>
              <w:t>Job sequencing schedule is communicated with team members and others to ensure coordination.</w:t>
            </w:r>
          </w:p>
          <w:p w:rsidR="00000000" w:rsidRPr="00C074A1" w:rsidP="00C074A1">
            <w:pPr>
              <w:pStyle w:val="List2"/>
            </w:pPr>
            <w:r w:rsidRPr="00C074A1">
              <w:t>2.3.</w:t>
            </w:r>
            <w:r w:rsidRPr="00C074A1">
              <w:tab/>
              <w:t xml:space="preserve">Load mass is </w:t>
            </w:r>
            <w:r w:rsidRPr="00C074A1">
              <w:rPr>
                <w:rStyle w:val="BoldandItalics"/>
              </w:rPr>
              <w:t>calculated</w:t>
            </w:r>
            <w:r w:rsidRPr="00C074A1">
              <w:t xml:space="preserve"> and confirmed using load charts and standard calculations. </w:t>
            </w:r>
          </w:p>
          <w:p w:rsidR="00000000" w:rsidP="00C074A1">
            <w:pPr>
              <w:pStyle w:val="List2"/>
              <w:rPr>
                <w:lang w:val="en-NZ"/>
              </w:rPr>
            </w:pPr>
            <w:r w:rsidRPr="00C074A1">
              <w:t>2.4.</w:t>
            </w:r>
            <w:r w:rsidRPr="00C074A1">
              <w:tab/>
              <w:t xml:space="preserve">Loads in </w:t>
            </w:r>
            <w:r w:rsidRPr="00C074A1">
              <w:rPr>
                <w:rStyle w:val="BoldandItalics"/>
              </w:rPr>
              <w:t>slings</w:t>
            </w:r>
            <w:r w:rsidRPr="00C074A1">
              <w:t xml:space="preserve"> and equipment are calculat</w:t>
            </w:r>
            <w:r w:rsidRPr="00C074A1">
              <w:t xml:space="preserve">ed to suit job requirements. </w:t>
            </w:r>
          </w:p>
        </w:tc>
      </w:tr>
      <w:tr w:rsidTr="003310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074A1">
            <w:pPr>
              <w:pStyle w:val="List"/>
              <w:rPr>
                <w:lang w:val="en-NZ"/>
              </w:rPr>
            </w:pPr>
            <w:r w:rsidRPr="00C074A1">
              <w:t>3.</w:t>
            </w:r>
            <w:r w:rsidRPr="00C074A1">
              <w:tab/>
              <w:t>Sling loads.</w:t>
            </w:r>
          </w:p>
        </w:tc>
        <w:tc>
          <w:tcPr>
            <w:tcW w:w="5955" w:type="dxa"/>
            <w:tcBorders>
              <w:top w:val="nil"/>
              <w:left w:val="nil"/>
              <w:bottom w:val="nil"/>
              <w:right w:val="nil"/>
            </w:tcBorders>
            <w:tcMar>
              <w:top w:w="0" w:type="dxa"/>
              <w:left w:w="62" w:type="dxa"/>
              <w:bottom w:w="0" w:type="dxa"/>
              <w:right w:w="62" w:type="dxa"/>
            </w:tcMar>
          </w:tcPr>
          <w:p w:rsidR="00000000" w:rsidRPr="00C074A1" w:rsidP="00C074A1">
            <w:pPr>
              <w:pStyle w:val="List2"/>
            </w:pPr>
            <w:r w:rsidRPr="00C074A1">
              <w:t>3.1.</w:t>
            </w:r>
            <w:r w:rsidRPr="00C074A1">
              <w:tab/>
            </w:r>
            <w:r w:rsidRPr="00C074A1">
              <w:rPr>
                <w:rStyle w:val="BoldandItalics"/>
              </w:rPr>
              <w:t>Lifting devices</w:t>
            </w:r>
            <w:r w:rsidRPr="00C074A1">
              <w:t xml:space="preserve"> are assembled and erected for the movement of load. </w:t>
            </w:r>
          </w:p>
          <w:p w:rsidR="00000000" w:rsidP="00C074A1">
            <w:pPr>
              <w:pStyle w:val="List2"/>
              <w:rPr>
                <w:lang w:val="en-NZ"/>
              </w:rPr>
            </w:pPr>
            <w:r w:rsidRPr="00C074A1">
              <w:t>3.2.</w:t>
            </w:r>
            <w:r w:rsidRPr="00C074A1">
              <w:tab/>
              <w:t xml:space="preserve">Using appropriate </w:t>
            </w:r>
            <w:r w:rsidRPr="00C074A1">
              <w:rPr>
                <w:rStyle w:val="BoldandItalics"/>
              </w:rPr>
              <w:t>load slinging method</w:t>
            </w:r>
            <w:r w:rsidRPr="00C074A1">
              <w:t xml:space="preserve">, loads are slung to </w:t>
            </w:r>
            <w:r w:rsidRPr="00C074A1">
              <w:rPr>
                <w:rStyle w:val="BoldandItalics"/>
              </w:rPr>
              <w:t>crane</w:t>
            </w:r>
            <w:r w:rsidRPr="00C074A1">
              <w:t xml:space="preserve"> ready for lifting. </w:t>
            </w:r>
          </w:p>
        </w:tc>
      </w:tr>
      <w:tr w:rsidTr="003310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074A1">
            <w:pPr>
              <w:pStyle w:val="List"/>
              <w:rPr>
                <w:lang w:val="en-NZ"/>
              </w:rPr>
            </w:pPr>
            <w:r w:rsidRPr="00C074A1">
              <w:t>4.</w:t>
            </w:r>
            <w:r w:rsidRPr="00C074A1">
              <w:tab/>
              <w:t>Shift loads.</w:t>
            </w:r>
          </w:p>
        </w:tc>
        <w:tc>
          <w:tcPr>
            <w:tcW w:w="5955" w:type="dxa"/>
            <w:tcBorders>
              <w:top w:val="nil"/>
              <w:left w:val="nil"/>
              <w:bottom w:val="nil"/>
              <w:right w:val="nil"/>
            </w:tcBorders>
            <w:tcMar>
              <w:top w:w="0" w:type="dxa"/>
              <w:left w:w="62" w:type="dxa"/>
              <w:bottom w:w="0" w:type="dxa"/>
              <w:right w:w="62" w:type="dxa"/>
            </w:tcMar>
          </w:tcPr>
          <w:p w:rsidR="00000000" w:rsidRPr="00C074A1" w:rsidP="00C074A1">
            <w:pPr>
              <w:pStyle w:val="List2"/>
            </w:pPr>
            <w:r w:rsidRPr="00C074A1">
              <w:t>4.1.</w:t>
            </w:r>
            <w:r w:rsidRPr="00C074A1">
              <w:tab/>
            </w:r>
            <w:r w:rsidRPr="00C074A1">
              <w:t>Loads are shifted ensuring stability and in compliance with work method statement.</w:t>
            </w:r>
          </w:p>
          <w:p w:rsidR="00000000" w:rsidRPr="00C074A1" w:rsidP="00C074A1">
            <w:pPr>
              <w:pStyle w:val="List2"/>
            </w:pPr>
            <w:r w:rsidRPr="00C074A1">
              <w:t>4.2.</w:t>
            </w:r>
            <w:r w:rsidRPr="00C074A1">
              <w:tab/>
              <w:t>Load is directed to landing position using communications in compliance with Australian standards and recognised work practices.</w:t>
            </w:r>
          </w:p>
          <w:p w:rsidR="00000000" w:rsidP="00C074A1">
            <w:pPr>
              <w:pStyle w:val="List2"/>
              <w:rPr>
                <w:lang w:val="en-NZ"/>
              </w:rPr>
            </w:pPr>
            <w:r w:rsidRPr="00C074A1">
              <w:t>4.3.</w:t>
            </w:r>
            <w:r w:rsidRPr="00C074A1">
              <w:tab/>
              <w:t>Load is landed in required positio</w:t>
            </w:r>
            <w:r w:rsidRPr="00C074A1">
              <w:t>n on packing or bearers.</w:t>
            </w:r>
          </w:p>
        </w:tc>
      </w:tr>
      <w:tr w:rsidTr="003310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074A1">
            <w:pPr>
              <w:pStyle w:val="List"/>
              <w:rPr>
                <w:lang w:val="en-NZ"/>
              </w:rPr>
            </w:pPr>
            <w:r w:rsidRPr="00C074A1">
              <w:t>5.</w:t>
            </w:r>
            <w:r w:rsidRPr="00C074A1">
              <w:tab/>
              <w:t>Remove dogging equipment.</w:t>
            </w:r>
          </w:p>
        </w:tc>
        <w:tc>
          <w:tcPr>
            <w:tcW w:w="5955" w:type="dxa"/>
            <w:tcBorders>
              <w:top w:val="nil"/>
              <w:left w:val="nil"/>
              <w:bottom w:val="nil"/>
              <w:right w:val="nil"/>
            </w:tcBorders>
            <w:tcMar>
              <w:top w:w="0" w:type="dxa"/>
              <w:left w:w="62" w:type="dxa"/>
              <w:bottom w:w="0" w:type="dxa"/>
              <w:right w:w="62" w:type="dxa"/>
            </w:tcMar>
          </w:tcPr>
          <w:p w:rsidR="00000000" w:rsidRPr="00C074A1" w:rsidP="00C074A1">
            <w:pPr>
              <w:pStyle w:val="List2"/>
            </w:pPr>
            <w:r w:rsidRPr="00C074A1">
              <w:t>5.1.</w:t>
            </w:r>
            <w:r w:rsidRPr="00C074A1">
              <w:tab/>
              <w:t>Load shifting equipment is dismantled and inspected for wear.</w:t>
            </w:r>
          </w:p>
          <w:p w:rsidR="00000000" w:rsidP="00C074A1">
            <w:pPr>
              <w:pStyle w:val="List2"/>
              <w:rPr>
                <w:lang w:val="en-NZ"/>
              </w:rPr>
            </w:pPr>
            <w:r w:rsidRPr="00C074A1">
              <w:t>5.2.</w:t>
            </w:r>
            <w:r w:rsidRPr="00C074A1">
              <w:tab/>
              <w:t>Logbook and site records are completed to company requirements.</w:t>
            </w:r>
          </w:p>
        </w:tc>
      </w:tr>
      <w:tr w:rsidTr="0033109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C074A1">
            <w:pPr>
              <w:pStyle w:val="List"/>
              <w:rPr>
                <w:lang w:val="en-NZ"/>
              </w:rPr>
            </w:pPr>
            <w:r w:rsidRPr="00C074A1">
              <w:t>6.</w:t>
            </w:r>
            <w:r w:rsidRPr="00C074A1">
              <w:tab/>
              <w:t>Clean up.</w:t>
            </w:r>
          </w:p>
        </w:tc>
        <w:tc>
          <w:tcPr>
            <w:tcW w:w="5955" w:type="dxa"/>
            <w:tcBorders>
              <w:top w:val="nil"/>
              <w:left w:val="nil"/>
              <w:bottom w:val="nil"/>
              <w:right w:val="nil"/>
            </w:tcBorders>
            <w:tcMar>
              <w:top w:w="0" w:type="dxa"/>
              <w:left w:w="62" w:type="dxa"/>
              <w:bottom w:w="0" w:type="dxa"/>
              <w:right w:w="62" w:type="dxa"/>
            </w:tcMar>
          </w:tcPr>
          <w:p w:rsidR="00000000" w:rsidRPr="00C074A1" w:rsidP="00C074A1">
            <w:pPr>
              <w:pStyle w:val="List2"/>
            </w:pPr>
            <w:r w:rsidRPr="00C074A1">
              <w:t>6.1.</w:t>
            </w:r>
            <w:r w:rsidRPr="00C074A1">
              <w:tab/>
              <w:t>Work area is cleared and materials disposed of</w:t>
            </w:r>
            <w:r w:rsidRPr="00C074A1">
              <w:t>, reused or recycled in accordance with legislation, regulations, codes of practice and job specification.</w:t>
            </w:r>
          </w:p>
          <w:p w:rsidR="00000000" w:rsidRPr="00C074A1" w:rsidP="00C074A1">
            <w:pPr>
              <w:pStyle w:val="List2"/>
            </w:pPr>
            <w:r w:rsidRPr="00C074A1">
              <w:t>6.2.</w:t>
            </w:r>
            <w:r w:rsidRPr="00C074A1">
              <w:tab/>
              <w:t>Tools and equipment are cleaned, checked, maintained and stored in accordance with manufacturer recommendations and standard work practices.</w:t>
            </w:r>
          </w:p>
          <w:p w:rsidR="00000000" w:rsidRPr="00C074A1" w:rsidP="00C074A1">
            <w:pPr>
              <w:pStyle w:val="List2"/>
            </w:pPr>
            <w:r w:rsidRPr="00C074A1">
              <w:t>6.3</w:t>
            </w:r>
            <w:r w:rsidRPr="00C074A1">
              <w:t>.</w:t>
            </w:r>
            <w:r w:rsidRPr="00C074A1">
              <w:tab/>
              <w:t>Work completion procedures are applied and relevant personnel notified that work is finished.</w:t>
            </w:r>
          </w:p>
        </w:tc>
      </w:tr>
    </w:tbl>
    <w:p w:rsidR="0033109C" w:rsidP="00C074A1">
      <w:pPr>
        <w:pStyle w:val="BodyText"/>
      </w:pPr>
    </w:p>
    <w:p w:rsidR="0033109C" w:rsidP="00C074A1">
      <w:pPr>
        <w:pStyle w:val="BodyText"/>
      </w:pPr>
    </w:p>
    <w:p w:rsidR="00000000" w:rsidRPr="00C074A1" w:rsidP="00C074A1">
      <w:pPr>
        <w:pStyle w:val="Heading1"/>
      </w:pPr>
      <w:bookmarkStart w:id="9" w:name="O_258229"/>
      <w:bookmarkEnd w:id="9"/>
      <w:r w:rsidRPr="00C074A1">
        <w:t>Required Skills and Knowledge</w:t>
      </w:r>
    </w:p>
    <w:tbl>
      <w:tblPr>
        <w:tblW w:w="0" w:type="auto"/>
        <w:tblLayout w:type="fixed"/>
        <w:tblCellMar>
          <w:left w:w="62" w:type="dxa"/>
          <w:right w:w="62" w:type="dxa"/>
        </w:tblCellMar>
        <w:tblLook w:val="0000"/>
      </w:tblPr>
      <w:tblGrid>
        <w:gridCol w:w="8522"/>
      </w:tblGrid>
      <w:tr w:rsidTr="0033109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REQUIRED SKILLS AND KNOWLEDGE</w:t>
            </w:r>
          </w:p>
        </w:tc>
      </w:tr>
      <w:tr w:rsidTr="003310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t>This section describes the skills and knowledge required for this unit.</w:t>
            </w:r>
          </w:p>
        </w:tc>
      </w:tr>
      <w:tr w:rsidTr="003310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Required skills</w:t>
            </w:r>
          </w:p>
        </w:tc>
      </w:tr>
      <w:tr w:rsidTr="003310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74A1" w:rsidP="00C074A1">
            <w:pPr>
              <w:pStyle w:val="BodyText"/>
            </w:pPr>
            <w:r w:rsidRPr="00C074A1">
              <w:t>Required skills for this unit are:</w:t>
            </w:r>
          </w:p>
          <w:p w:rsidR="00000000" w:rsidRPr="00C074A1" w:rsidP="00C074A1">
            <w:pPr>
              <w:pStyle w:val="ListBullet"/>
            </w:pPr>
            <w:r w:rsidRPr="00C074A1">
              <w:t>communication skills to:</w:t>
            </w:r>
          </w:p>
          <w:p w:rsidR="00000000" w:rsidRPr="00C074A1" w:rsidP="00C074A1">
            <w:pPr>
              <w:pStyle w:val="ListBullet2"/>
            </w:pPr>
            <w:r w:rsidRPr="00C074A1">
              <w:t>determine requirements</w:t>
            </w:r>
          </w:p>
          <w:p w:rsidR="00000000" w:rsidRPr="00C074A1" w:rsidP="00C074A1">
            <w:pPr>
              <w:pStyle w:val="ListBullet2"/>
            </w:pPr>
            <w:r w:rsidRPr="00C074A1">
              <w:t>enable clear and direct communication, using questioning to identi</w:t>
            </w:r>
            <w:r w:rsidRPr="00C074A1">
              <w:t>fy and confirm requirements, share information, listen and understand</w:t>
            </w:r>
          </w:p>
          <w:p w:rsidR="00000000" w:rsidRPr="00C074A1" w:rsidP="00C074A1">
            <w:pPr>
              <w:pStyle w:val="ListBullet2"/>
            </w:pPr>
            <w:r w:rsidRPr="00C074A1">
              <w:t>follow instructions</w:t>
            </w:r>
          </w:p>
          <w:p w:rsidR="00000000" w:rsidRPr="00C074A1" w:rsidP="00C074A1">
            <w:pPr>
              <w:pStyle w:val="ListBullet2"/>
            </w:pPr>
            <w:r w:rsidRPr="00C074A1">
              <w:t>read and interpret:</w:t>
            </w:r>
          </w:p>
          <w:p w:rsidR="00000000" w:rsidRPr="00C074A1" w:rsidP="00C074A1">
            <w:pPr>
              <w:pStyle w:val="ListBullet3"/>
            </w:pPr>
            <w:r w:rsidRPr="00C074A1">
              <w:t>documentation from a variety of sources</w:t>
            </w:r>
          </w:p>
          <w:p w:rsidR="00000000" w:rsidRPr="00C074A1" w:rsidP="00C074A1">
            <w:pPr>
              <w:pStyle w:val="ListBullet3"/>
            </w:pPr>
            <w:r w:rsidRPr="00C074A1">
              <w:t>drawings and specifications</w:t>
            </w:r>
          </w:p>
          <w:p w:rsidR="00000000" w:rsidRPr="00C074A1" w:rsidP="00C074A1">
            <w:pPr>
              <w:pStyle w:val="ListBullet2"/>
            </w:pPr>
            <w:r w:rsidRPr="00C074A1">
              <w:t>report faults</w:t>
            </w:r>
          </w:p>
          <w:p w:rsidR="00000000" w:rsidRPr="00C074A1" w:rsidP="00C074A1">
            <w:pPr>
              <w:pStyle w:val="ListBullet2"/>
            </w:pPr>
            <w:r w:rsidRPr="00C074A1">
              <w:t>use language and concepts appropriate to cultural differences</w:t>
            </w:r>
          </w:p>
          <w:p w:rsidR="00000000" w:rsidRPr="00C074A1" w:rsidP="00C074A1">
            <w:pPr>
              <w:pStyle w:val="ListBullet2"/>
            </w:pPr>
            <w:r w:rsidRPr="00C074A1">
              <w:t>use and interpret non-verbal communication, such as hand signals</w:t>
            </w:r>
          </w:p>
          <w:p w:rsidR="00000000" w:rsidRPr="00C074A1" w:rsidP="00C074A1">
            <w:pPr>
              <w:pStyle w:val="ListBullet"/>
            </w:pPr>
            <w:r w:rsidRPr="00C074A1">
              <w:t>evaluating own actions and making judgments about performance and necessary improvements</w:t>
            </w:r>
          </w:p>
          <w:p w:rsidR="00000000" w:rsidRPr="00C074A1" w:rsidP="00C074A1">
            <w:pPr>
              <w:pStyle w:val="ListBullet"/>
            </w:pPr>
            <w:r w:rsidRPr="00C074A1">
              <w:t>identifying and accurately reporting to appropriate personnel any fau</w:t>
            </w:r>
            <w:r w:rsidRPr="00C074A1">
              <w:t>lts in tools, equipment or materials</w:t>
            </w:r>
          </w:p>
          <w:p w:rsidR="00000000" w:rsidRPr="00C074A1" w:rsidP="00C074A1">
            <w:pPr>
              <w:pStyle w:val="ListBullet"/>
            </w:pPr>
            <w:r w:rsidRPr="00C074A1">
              <w:t>organisational skills, including the ability to plan and set out work</w:t>
            </w:r>
          </w:p>
          <w:p w:rsidR="00000000" w:rsidRPr="00C074A1" w:rsidP="00C074A1">
            <w:pPr>
              <w:pStyle w:val="ListBullet"/>
            </w:pPr>
            <w:r w:rsidRPr="00C074A1">
              <w:t>recognising procedures, following instructions, responding to change and contributing to workplace responsibilities, such as current work site enviro</w:t>
            </w:r>
            <w:r w:rsidRPr="00C074A1">
              <w:t>nmental and sustainability frameworks or management systems</w:t>
            </w:r>
          </w:p>
          <w:p w:rsidR="00000000" w:rsidRPr="00C074A1" w:rsidP="00C074A1">
            <w:pPr>
              <w:pStyle w:val="ListBullet"/>
            </w:pPr>
            <w:r w:rsidRPr="00C074A1">
              <w:t>teamwork skills to coordinate own work with others to action tasks and relate to people from a range of cultural and ethnic backgrounds and with varying physical and mental abilities</w:t>
            </w:r>
          </w:p>
          <w:p w:rsidR="00000000" w:rsidRPr="00C074A1" w:rsidP="00C074A1">
            <w:pPr>
              <w:pStyle w:val="ListBullet"/>
            </w:pPr>
            <w:r w:rsidRPr="00C074A1">
              <w:t>technological</w:t>
            </w:r>
            <w:r w:rsidRPr="00C074A1">
              <w:t xml:space="preserve"> skills to:</w:t>
            </w:r>
          </w:p>
          <w:p w:rsidR="00000000" w:rsidRPr="00C074A1" w:rsidP="00C074A1">
            <w:pPr>
              <w:pStyle w:val="ListBullet2"/>
            </w:pPr>
            <w:r w:rsidRPr="00C074A1">
              <w:t>use a range of mobile technology, such as two-way radio and mobile phones</w:t>
            </w:r>
          </w:p>
          <w:p w:rsidR="00000000" w:rsidP="00C074A1">
            <w:pPr>
              <w:pStyle w:val="ListBullet2"/>
              <w:rPr>
                <w:lang w:val="en-NZ"/>
              </w:rPr>
            </w:pPr>
            <w:r w:rsidRPr="00C074A1">
              <w:t>voice and hand signals to access and understand site-specific instructions.</w:t>
            </w:r>
          </w:p>
        </w:tc>
      </w:tr>
      <w:tr w:rsidTr="003310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Required knowledge</w:t>
            </w:r>
          </w:p>
        </w:tc>
      </w:tr>
      <w:tr w:rsidTr="003310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074A1" w:rsidP="00C074A1">
            <w:pPr>
              <w:pStyle w:val="BodyText"/>
            </w:pPr>
            <w:r w:rsidRPr="00C074A1">
              <w:t>Required knowledge for this unit is:</w:t>
            </w:r>
          </w:p>
          <w:p w:rsidR="00000000" w:rsidRPr="00C074A1" w:rsidP="00C074A1">
            <w:pPr>
              <w:pStyle w:val="ListBullet"/>
            </w:pPr>
            <w:r w:rsidRPr="00C074A1">
              <w:t>crane operations and limitations</w:t>
            </w:r>
          </w:p>
          <w:p w:rsidR="00000000" w:rsidRPr="00C074A1" w:rsidP="00C074A1">
            <w:pPr>
              <w:pStyle w:val="ListBullet"/>
            </w:pPr>
            <w:r w:rsidRPr="00C074A1">
              <w:t>designs and functions of lifting equipment</w:t>
            </w:r>
          </w:p>
          <w:p w:rsidR="00000000" w:rsidRPr="00C074A1" w:rsidP="00C074A1">
            <w:pPr>
              <w:pStyle w:val="ListBullet"/>
            </w:pPr>
            <w:r w:rsidRPr="00C074A1">
              <w:t>dogging equipment</w:t>
            </w:r>
          </w:p>
          <w:p w:rsidR="00000000" w:rsidRPr="00C074A1" w:rsidP="00C074A1">
            <w:pPr>
              <w:pStyle w:val="ListBullet"/>
            </w:pPr>
            <w:r w:rsidRPr="00C074A1">
              <w:t>dogging techniques</w:t>
            </w:r>
          </w:p>
          <w:p w:rsidR="00000000" w:rsidRPr="00C074A1" w:rsidP="00C074A1">
            <w:pPr>
              <w:pStyle w:val="ListBullet"/>
            </w:pPr>
            <w:r w:rsidRPr="00C074A1">
              <w:t>elevated work platforms</w:t>
            </w:r>
          </w:p>
          <w:p w:rsidR="00000000" w:rsidRPr="00C074A1" w:rsidP="00C074A1">
            <w:pPr>
              <w:pStyle w:val="ListBullet"/>
            </w:pPr>
            <w:r w:rsidRPr="00C074A1">
              <w:t>general construction terminology</w:t>
            </w:r>
          </w:p>
          <w:p w:rsidR="00000000" w:rsidRPr="00C074A1" w:rsidP="00C074A1">
            <w:pPr>
              <w:pStyle w:val="ListBullet"/>
            </w:pPr>
            <w:r w:rsidRPr="00C074A1">
              <w:t>job safety analysis (JSA) and safe work method statements</w:t>
            </w:r>
          </w:p>
          <w:p w:rsidR="00000000" w:rsidRPr="00C074A1" w:rsidP="00C074A1">
            <w:pPr>
              <w:pStyle w:val="ListBullet"/>
            </w:pPr>
            <w:r w:rsidRPr="00C074A1">
              <w:t>logbooks</w:t>
            </w:r>
          </w:p>
          <w:p w:rsidR="00000000" w:rsidRPr="00C074A1" w:rsidP="00C074A1">
            <w:pPr>
              <w:pStyle w:val="ListBullet"/>
            </w:pPr>
            <w:r w:rsidRPr="00C074A1">
              <w:t>material safety data sheets (MSDS)</w:t>
            </w:r>
          </w:p>
          <w:p w:rsidR="00000000" w:rsidRPr="00C074A1" w:rsidP="00C074A1">
            <w:pPr>
              <w:pStyle w:val="ListBullet"/>
            </w:pPr>
            <w:r w:rsidRPr="00C074A1">
              <w:t>materials storage</w:t>
            </w:r>
            <w:r w:rsidRPr="00C074A1">
              <w:t xml:space="preserve"> and environmentally friendly waste management</w:t>
            </w:r>
          </w:p>
          <w:p w:rsidR="00000000" w:rsidRPr="00C074A1" w:rsidP="00C074A1">
            <w:pPr>
              <w:pStyle w:val="ListBullet"/>
            </w:pPr>
            <w:r w:rsidRPr="00C074A1">
              <w:t>plans, drawings and specifications</w:t>
            </w:r>
          </w:p>
          <w:p w:rsidR="00000000" w:rsidRPr="00C074A1" w:rsidP="00C074A1">
            <w:pPr>
              <w:pStyle w:val="ListBullet"/>
            </w:pPr>
            <w:r w:rsidRPr="00C074A1">
              <w:t>processes for the calculation of material requirements</w:t>
            </w:r>
          </w:p>
          <w:p w:rsidR="00000000" w:rsidRPr="00C074A1" w:rsidP="00C074A1">
            <w:pPr>
              <w:pStyle w:val="ListBullet"/>
            </w:pPr>
            <w:r w:rsidRPr="00C074A1">
              <w:t>quality requirements</w:t>
            </w:r>
          </w:p>
          <w:p w:rsidR="00000000" w:rsidRPr="00C074A1" w:rsidP="00C074A1">
            <w:pPr>
              <w:pStyle w:val="ListBullet"/>
            </w:pPr>
            <w:r w:rsidRPr="00C074A1">
              <w:t>relevant Acts, regulations and codes of practice</w:t>
            </w:r>
          </w:p>
          <w:p w:rsidR="00000000" w:rsidRPr="00C074A1" w:rsidP="00C074A1">
            <w:pPr>
              <w:pStyle w:val="ListBullet"/>
            </w:pPr>
            <w:r w:rsidRPr="00C074A1">
              <w:t>safe working at heights and fall arrest</w:t>
            </w:r>
          </w:p>
          <w:p w:rsidR="00000000" w:rsidRPr="00C074A1" w:rsidP="00C074A1">
            <w:pPr>
              <w:pStyle w:val="ListBullet"/>
            </w:pPr>
            <w:r w:rsidRPr="00C074A1">
              <w:t>safe working load tags</w:t>
            </w:r>
          </w:p>
          <w:p w:rsidR="00000000" w:rsidRPr="00C074A1" w:rsidP="00C074A1">
            <w:pPr>
              <w:pStyle w:val="ListBullet"/>
            </w:pPr>
            <w:r w:rsidRPr="00C074A1">
              <w:t>signalling methods and communications</w:t>
            </w:r>
          </w:p>
          <w:p w:rsidR="00000000" w:rsidRPr="00C074A1" w:rsidP="00C074A1">
            <w:pPr>
              <w:pStyle w:val="ListBullet"/>
            </w:pPr>
            <w:r w:rsidRPr="00C074A1">
              <w:t>types, characteristics, uses and limitations of plant, tools and equipment</w:t>
            </w:r>
          </w:p>
          <w:p w:rsidR="00000000" w:rsidRPr="00C074A1" w:rsidP="00C074A1">
            <w:pPr>
              <w:pStyle w:val="ListBullet"/>
            </w:pPr>
            <w:r w:rsidRPr="00C074A1">
              <w:t>weather and ground considerations</w:t>
            </w:r>
          </w:p>
          <w:p w:rsidR="00000000" w:rsidRPr="00C074A1" w:rsidP="00C074A1">
            <w:pPr>
              <w:pStyle w:val="ListBullet"/>
            </w:pPr>
            <w:r w:rsidRPr="00C074A1">
              <w:t>workplace and equipment safety requirements.</w:t>
            </w:r>
          </w:p>
        </w:tc>
      </w:tr>
    </w:tbl>
    <w:p w:rsidR="0033109C" w:rsidP="00C074A1">
      <w:pPr>
        <w:pStyle w:val="BodyText"/>
      </w:pPr>
    </w:p>
    <w:p w:rsidR="0033109C" w:rsidP="00C074A1">
      <w:pPr>
        <w:pStyle w:val="BodyText"/>
      </w:pPr>
    </w:p>
    <w:p w:rsidR="00000000" w:rsidRPr="00C074A1" w:rsidP="00C074A1">
      <w:pPr>
        <w:pStyle w:val="AllowPageBreak"/>
      </w:pPr>
    </w:p>
    <w:p w:rsidR="00000000" w:rsidRPr="00C074A1" w:rsidP="00C074A1">
      <w:pPr>
        <w:pStyle w:val="Heading1"/>
      </w:pPr>
      <w:bookmarkStart w:id="10" w:name="O_242263"/>
      <w:bookmarkEnd w:id="10"/>
      <w:r w:rsidRPr="00C074A1">
        <w:t>Evidence Guide</w:t>
      </w:r>
    </w:p>
    <w:tbl>
      <w:tblPr>
        <w:tblW w:w="0" w:type="auto"/>
        <w:tblLayout w:type="fixed"/>
        <w:tblCellMar>
          <w:left w:w="62" w:type="dxa"/>
          <w:right w:w="62" w:type="dxa"/>
        </w:tblCellMar>
        <w:tblLook w:val="0000"/>
      </w:tblPr>
      <w:tblGrid>
        <w:gridCol w:w="3507"/>
        <w:gridCol w:w="5015"/>
      </w:tblGrid>
      <w:tr w:rsidTr="0033109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74A1">
            <w:pPr>
              <w:pStyle w:val="BodyText"/>
              <w:rPr>
                <w:lang w:val="en-NZ"/>
              </w:rPr>
            </w:pPr>
            <w:r w:rsidRPr="00C074A1">
              <w:rPr>
                <w:rStyle w:val="SpecialBold"/>
              </w:rPr>
              <w:t>EVIDENCE GUIDE</w:t>
            </w:r>
          </w:p>
        </w:tc>
      </w:tr>
      <w:tr w:rsidTr="0033109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74A1">
            <w:pPr>
              <w:pStyle w:val="BodyText"/>
              <w:rPr>
                <w:lang w:val="en-NZ"/>
              </w:rPr>
            </w:pPr>
            <w:r w:rsidRPr="00C074A1">
              <w:t>The evidence guide provides advice on assessment and must be read in conjunction with the performance criteria, required skills and knowledge, range statement and the Assessment Guidelines for the Training Package.</w:t>
            </w:r>
          </w:p>
        </w:tc>
      </w:tr>
      <w:tr w:rsidTr="0033109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t>This unit of competency could be assessed in the workplace or a close simulation of the workplace environment, provided that simulated or project-based assessment techniques fully replicate construction workplace conditions, material</w:t>
            </w:r>
            <w:r w:rsidRPr="00C074A1">
              <w:t xml:space="preserve">s, activities, responsibilities and procedures. </w:t>
            </w:r>
          </w:p>
        </w:tc>
      </w:tr>
      <w:tr w:rsidTr="0033109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C074A1" w:rsidP="00C074A1">
            <w:pPr>
              <w:pStyle w:val="BodyText"/>
            </w:pPr>
            <w:r w:rsidRPr="00C074A1">
              <w:t>A person who demonstrates competency in this unit must be able to provide evidence of the ability to:</w:t>
            </w:r>
          </w:p>
          <w:p w:rsidR="00000000" w:rsidRPr="00C074A1" w:rsidP="00C074A1">
            <w:pPr>
              <w:pStyle w:val="ListBullet"/>
            </w:pPr>
            <w:r w:rsidRPr="00C074A1">
              <w:t>locate, in</w:t>
            </w:r>
            <w:r w:rsidRPr="00C074A1">
              <w:t>terpret and apply relevant information, standards and specifications</w:t>
            </w:r>
          </w:p>
          <w:p w:rsidR="00000000" w:rsidRPr="00C074A1" w:rsidP="00C074A1">
            <w:pPr>
              <w:pStyle w:val="ListBullet"/>
            </w:pPr>
            <w:r w:rsidRPr="00C074A1">
              <w:t>comply with site safety plan and OHS legislation, regulations and codes of practice applicable to workplace operations</w:t>
            </w:r>
          </w:p>
          <w:p w:rsidR="00000000" w:rsidRPr="00C074A1" w:rsidP="00C074A1">
            <w:pPr>
              <w:pStyle w:val="ListBullet"/>
            </w:pPr>
            <w:r w:rsidRPr="00C074A1">
              <w:t>comply with organisational policies and procedures including quality</w:t>
            </w:r>
            <w:r w:rsidRPr="00C074A1">
              <w:t xml:space="preserve"> requirements</w:t>
            </w:r>
          </w:p>
          <w:p w:rsidR="00000000" w:rsidRPr="00C074A1" w:rsidP="00C074A1">
            <w:pPr>
              <w:pStyle w:val="ListBullet"/>
            </w:pPr>
            <w:r w:rsidRPr="00C074A1">
              <w:t>safely and effectively operate and use tools, plant and equipment</w:t>
            </w:r>
          </w:p>
          <w:p w:rsidR="00000000" w:rsidRPr="00C074A1" w:rsidP="00C074A1">
            <w:pPr>
              <w:pStyle w:val="ListBullet"/>
            </w:pPr>
            <w:r w:rsidRPr="00C074A1">
              <w:t>communicate and work effectively and safely with others</w:t>
            </w:r>
          </w:p>
          <w:p w:rsidR="00000000" w:rsidRPr="00C074A1" w:rsidP="00C074A1">
            <w:pPr>
              <w:pStyle w:val="ListBullet"/>
            </w:pPr>
            <w:r w:rsidRPr="00C074A1">
              <w:t>as a minimum, read tags, sling, load, direct and land loads in conjunction with a slewing mobile crane with a telescopic boom and a winch, out of sight for:</w:t>
            </w:r>
          </w:p>
          <w:p w:rsidR="00000000" w:rsidRPr="00C074A1" w:rsidP="00C074A1">
            <w:pPr>
              <w:pStyle w:val="ListBullet2"/>
            </w:pPr>
            <w:r w:rsidRPr="00C074A1">
              <w:t>rigid heavy loads to two thirds capacity of the crane</w:t>
            </w:r>
          </w:p>
          <w:p w:rsidR="00000000" w:rsidRPr="00C074A1" w:rsidP="00C074A1">
            <w:pPr>
              <w:pStyle w:val="ListBullet2"/>
            </w:pPr>
            <w:r w:rsidRPr="00C074A1">
              <w:t>luff movements, boom retract and boom extend</w:t>
            </w:r>
            <w:r w:rsidRPr="00C074A1">
              <w:t>, slew right and slew left, winch up and down in combination</w:t>
            </w:r>
          </w:p>
          <w:p w:rsidR="00000000" w:rsidRPr="00C074A1" w:rsidP="00C074A1">
            <w:pPr>
              <w:pStyle w:val="ListBullet2"/>
            </w:pPr>
            <w:r w:rsidRPr="00C074A1">
              <w:t>a flexible load with a minimum of three lifting points</w:t>
            </w:r>
          </w:p>
          <w:p w:rsidR="00000000" w:rsidP="00C074A1">
            <w:pPr>
              <w:pStyle w:val="ListBullet2"/>
              <w:rPr>
                <w:lang w:val="en-NZ"/>
              </w:rPr>
            </w:pPr>
            <w:r w:rsidRPr="00C074A1">
              <w:t>using hand signals and whistle from minimum radius to maximum radius.</w:t>
            </w:r>
          </w:p>
        </w:tc>
      </w:tr>
      <w:tr w:rsidTr="0033109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C074A1" w:rsidP="00C074A1">
            <w:pPr>
              <w:pStyle w:val="BodyText"/>
            </w:pPr>
            <w:r w:rsidRPr="00C074A1">
              <w:t>This competency is to be assessed using standard and authorised work practices, safety requirements and environmental constraints.</w:t>
            </w:r>
          </w:p>
          <w:p w:rsidR="00000000" w:rsidRPr="00C074A1" w:rsidP="00C074A1">
            <w:pPr>
              <w:pStyle w:val="BodyText"/>
            </w:pPr>
            <w:r w:rsidRPr="00C074A1">
              <w:t>Assessment of essential underpinning knowledge will usually be conducted in an off-site context.</w:t>
            </w:r>
          </w:p>
          <w:p w:rsidR="00000000" w:rsidRPr="00C074A1" w:rsidP="00C074A1">
            <w:pPr>
              <w:pStyle w:val="BodyText"/>
            </w:pPr>
            <w:r w:rsidRPr="00C074A1">
              <w:t>Assessment is to comply with</w:t>
            </w:r>
            <w:r w:rsidRPr="00C074A1">
              <w:t xml:space="preserve"> relevant regulatory or Australian standards' requirements.</w:t>
            </w:r>
          </w:p>
          <w:p w:rsidR="00000000" w:rsidRPr="00C074A1" w:rsidP="00C074A1">
            <w:pPr>
              <w:pStyle w:val="BodyText"/>
            </w:pPr>
            <w:r w:rsidRPr="00C074A1">
              <w:t>Resource implications for assessment include:</w:t>
            </w:r>
          </w:p>
          <w:p w:rsidR="00000000" w:rsidRPr="00C074A1" w:rsidP="00C074A1">
            <w:pPr>
              <w:pStyle w:val="ListBullet"/>
            </w:pPr>
            <w:r w:rsidRPr="00C074A1">
              <w:t>an induction procedure and requirement</w:t>
            </w:r>
          </w:p>
          <w:p w:rsidR="00000000" w:rsidRPr="00C074A1" w:rsidP="00C074A1">
            <w:pPr>
              <w:pStyle w:val="ListBullet"/>
            </w:pPr>
            <w:r w:rsidRPr="00C074A1">
              <w:t>realistic tasks or simulated tasks covering the mandatory task requirements</w:t>
            </w:r>
          </w:p>
          <w:p w:rsidR="00000000" w:rsidRPr="00C074A1" w:rsidP="00C074A1">
            <w:pPr>
              <w:pStyle w:val="ListBullet"/>
            </w:pPr>
            <w:r w:rsidRPr="00C074A1">
              <w:t>relevant specifications and work i</w:t>
            </w:r>
            <w:r w:rsidRPr="00C074A1">
              <w:t>nstructions</w:t>
            </w:r>
          </w:p>
          <w:p w:rsidR="00000000" w:rsidRPr="00C074A1" w:rsidP="00C074A1">
            <w:pPr>
              <w:pStyle w:val="ListBullet"/>
            </w:pPr>
            <w:r w:rsidRPr="00C074A1">
              <w:t>tools and equipment appropriate to applying safe work practices</w:t>
            </w:r>
          </w:p>
          <w:p w:rsidR="00000000" w:rsidRPr="00C074A1" w:rsidP="00C074A1">
            <w:pPr>
              <w:pStyle w:val="ListBullet"/>
            </w:pPr>
            <w:r w:rsidRPr="00C074A1">
              <w:t>support materials appropriate to activity</w:t>
            </w:r>
          </w:p>
          <w:p w:rsidR="00000000" w:rsidRPr="00C074A1" w:rsidP="00C074A1">
            <w:pPr>
              <w:pStyle w:val="ListBullet"/>
            </w:pPr>
            <w:r w:rsidRPr="00C074A1">
              <w:t>workplace instructions relating to safe work practices and addressing hazards and emergencies</w:t>
            </w:r>
          </w:p>
          <w:p w:rsidR="00000000" w:rsidRPr="00C074A1" w:rsidP="00C074A1">
            <w:pPr>
              <w:pStyle w:val="ListBullet"/>
            </w:pPr>
            <w:r w:rsidRPr="00C074A1">
              <w:t>material safety data sheets</w:t>
            </w:r>
          </w:p>
          <w:p w:rsidR="00000000" w:rsidRPr="00C074A1" w:rsidP="00C074A1">
            <w:pPr>
              <w:pStyle w:val="ListBullet"/>
            </w:pPr>
            <w:r w:rsidRPr="00C074A1">
              <w:t>research resourc</w:t>
            </w:r>
            <w:r w:rsidRPr="00C074A1">
              <w:t>es, including industry related systems information.</w:t>
            </w:r>
          </w:p>
          <w:p w:rsidR="00000000" w:rsidP="00C074A1">
            <w:pPr>
              <w:pStyle w:val="BodyText"/>
              <w:rPr>
                <w:lang w:val="en-NZ"/>
              </w:rPr>
            </w:pPr>
            <w:r w:rsidRPr="00C074A1">
              <w:t xml:space="preserve">Reasonable adjustments for people with disabilities must be made to assessment processes where required. This could include access to modified equipment and other physical resources, and the provision of </w:t>
            </w:r>
            <w:r w:rsidRPr="00C074A1">
              <w:t xml:space="preserve">appropriate assessment support. </w:t>
            </w:r>
          </w:p>
        </w:tc>
      </w:tr>
      <w:tr w:rsidTr="0033109C">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Method of assessment</w:t>
            </w:r>
          </w:p>
        </w:tc>
        <w:tc>
          <w:tcPr>
            <w:tcW w:w="5015" w:type="dxa"/>
            <w:tcBorders>
              <w:top w:val="nil"/>
              <w:left w:val="nil"/>
              <w:bottom w:val="nil"/>
              <w:right w:val="nil"/>
            </w:tcBorders>
            <w:tcMar>
              <w:top w:w="0" w:type="dxa"/>
              <w:left w:w="62" w:type="dxa"/>
              <w:bottom w:w="0" w:type="dxa"/>
              <w:right w:w="62" w:type="dxa"/>
            </w:tcMar>
          </w:tcPr>
          <w:p w:rsidR="00000000" w:rsidRPr="00C074A1" w:rsidP="00C074A1">
            <w:pPr>
              <w:pStyle w:val="BodyText"/>
            </w:pPr>
            <w:r w:rsidRPr="00C074A1">
              <w:t>Assessment methods must:</w:t>
            </w:r>
          </w:p>
          <w:p w:rsidR="00000000" w:rsidRPr="00C074A1" w:rsidP="00C074A1">
            <w:pPr>
              <w:pStyle w:val="ListBullet"/>
            </w:pPr>
            <w:r w:rsidRPr="00C074A1">
              <w:t>satisfy the endorsed Assessment Guidelines of the Construction, Plumbing and Services Training Package</w:t>
            </w:r>
          </w:p>
          <w:p w:rsidR="00000000" w:rsidRPr="00C074A1" w:rsidP="00C074A1">
            <w:pPr>
              <w:pStyle w:val="ListBullet"/>
            </w:pPr>
            <w:r w:rsidRPr="00C074A1">
              <w:t>include direct observation of tasks in real or simulated work conditions, with questioning to confirm the ability to consistently identify and correctly interpret the essential underpinning knowledge required for practical application</w:t>
            </w:r>
          </w:p>
          <w:p w:rsidR="00000000" w:rsidRPr="00C074A1" w:rsidP="00C074A1">
            <w:pPr>
              <w:pStyle w:val="ListBullet"/>
            </w:pPr>
            <w:r w:rsidRPr="00C074A1">
              <w:t>reinforce the integra</w:t>
            </w:r>
            <w:r w:rsidRPr="00C074A1">
              <w:t>tion of employability skills with workplace tasks and job roles</w:t>
            </w:r>
          </w:p>
          <w:p w:rsidR="00000000" w:rsidRPr="00C074A1" w:rsidP="00C074A1">
            <w:pPr>
              <w:pStyle w:val="ListBullet"/>
            </w:pPr>
            <w:r w:rsidRPr="00C074A1">
              <w:t>confirm that competency is verified and able to be transferred to other circumstances and environments.</w:t>
            </w:r>
          </w:p>
          <w:p w:rsidR="00000000" w:rsidRPr="00C074A1" w:rsidP="00C074A1">
            <w:pPr>
              <w:pStyle w:val="BodyText"/>
            </w:pPr>
            <w:r w:rsidRPr="00C074A1">
              <w:t>Validity and sufficiency of evidence requires that:</w:t>
            </w:r>
          </w:p>
          <w:p w:rsidR="00000000" w:rsidRPr="00C074A1" w:rsidP="00C074A1">
            <w:pPr>
              <w:pStyle w:val="ListBullet"/>
            </w:pPr>
            <w:r w:rsidRPr="00C074A1">
              <w:t>competency will need to be demonstr</w:t>
            </w:r>
            <w:r w:rsidRPr="00C074A1">
              <w:t>ated over a period of time reflecting the scope of the role and the practical requirements of the workplace</w:t>
            </w:r>
          </w:p>
          <w:p w:rsidR="00000000" w:rsidRPr="00C074A1" w:rsidP="00C074A1">
            <w:pPr>
              <w:pStyle w:val="ListBullet"/>
            </w:pPr>
            <w:r w:rsidRPr="00C074A1">
              <w:t>where the assessment is part of a structured learning experience the evidence collected must relate to a number of performances assessed at differen</w:t>
            </w:r>
            <w:r w:rsidRPr="00C074A1">
              <w:t>t points in time and separated by further learning and practice, with a decision on competency only taken at the point when the assessor has complete confidence in the person's demonstrated ability and applied knowledge</w:t>
            </w:r>
          </w:p>
          <w:p w:rsidR="00000000" w:rsidRPr="00C074A1" w:rsidP="00C074A1">
            <w:pPr>
              <w:pStyle w:val="ListBullet"/>
            </w:pPr>
            <w:r w:rsidRPr="00C074A1">
              <w:t>all assessment that is part of a str</w:t>
            </w:r>
            <w:r w:rsidRPr="00C074A1">
              <w:t>uctured learning experience must include a combination of direct, indirect and supplementary evidence.</w:t>
            </w:r>
          </w:p>
          <w:p w:rsidR="00000000" w:rsidRPr="00C074A1" w:rsidP="00C074A1">
            <w:pPr>
              <w:pStyle w:val="BodyText"/>
            </w:pPr>
            <w:r w:rsidRPr="00C074A1">
              <w:t>Assessment processes and techniques should as far as is practical take into account the language, literacy and numeracy capacity of the candidate in rela</w:t>
            </w:r>
            <w:r w:rsidRPr="00C074A1">
              <w:t>tion to the competency being assessed.</w:t>
            </w:r>
          </w:p>
          <w:p w:rsidR="00000000" w:rsidRPr="00C074A1" w:rsidP="00C074A1">
            <w:pPr>
              <w:pStyle w:val="BodyText"/>
            </w:pPr>
            <w:r w:rsidRPr="00C074A1">
              <w:t xml:space="preserve">Supplementary evidence of competency may be obtained from relevant authenticated documentation from third parties, such as existing supervisors, team leaders or specialist training staff. </w:t>
            </w:r>
          </w:p>
        </w:tc>
      </w:tr>
    </w:tbl>
    <w:p w:rsidR="0033109C" w:rsidP="00C074A1">
      <w:pPr>
        <w:pStyle w:val="BodyText"/>
      </w:pPr>
    </w:p>
    <w:p w:rsidR="0033109C" w:rsidP="00C074A1">
      <w:pPr>
        <w:pStyle w:val="BodyText"/>
      </w:pPr>
    </w:p>
    <w:p w:rsidR="00000000" w:rsidRPr="00C074A1" w:rsidP="00C074A1">
      <w:pPr>
        <w:pStyle w:val="Heading1"/>
      </w:pPr>
      <w:bookmarkStart w:id="11" w:name="O_250246"/>
      <w:bookmarkEnd w:id="11"/>
      <w:r w:rsidRPr="00C074A1">
        <w:t>Range Statement</w:t>
      </w:r>
    </w:p>
    <w:tbl>
      <w:tblPr>
        <w:tblW w:w="0" w:type="auto"/>
        <w:tblLayout w:type="fixed"/>
        <w:tblCellMar>
          <w:left w:w="62" w:type="dxa"/>
          <w:right w:w="62" w:type="dxa"/>
        </w:tblCellMar>
        <w:tblLook w:val="0000"/>
      </w:tblPr>
      <w:tblGrid>
        <w:gridCol w:w="3489"/>
        <w:gridCol w:w="5033"/>
      </w:tblGrid>
      <w:tr w:rsidTr="0033109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074A1">
            <w:pPr>
              <w:pStyle w:val="BodyText"/>
              <w:rPr>
                <w:lang w:val="en-NZ"/>
              </w:rPr>
            </w:pPr>
            <w:r w:rsidRPr="00C074A1">
              <w:rPr>
                <w:rStyle w:val="SpecialBold"/>
              </w:rPr>
              <w:t>RANGE STATEMENT</w:t>
            </w:r>
          </w:p>
        </w:tc>
      </w:tr>
      <w:tr w:rsidTr="0033109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074A1">
            <w:pPr>
              <w:pStyle w:val="BodyText"/>
              <w:rPr>
                <w:lang w:val="en-NZ"/>
              </w:rPr>
            </w:pPr>
            <w:r w:rsidRPr="00C074A1">
              <w:t>The range statement relates to the unit of competency as a whole. It allows for different work environments and situations that may affect performance. Bold italicised wording, if used in the performance criteria, is detai</w:t>
            </w:r>
            <w:r w:rsidRPr="00C074A1">
              <w:t>led below. Essential operating conditions that may be present with training and assessment (depending on the work situation, needs of the candidate, accessibility of the item, and local industry and regional contexts) may also be included.</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Information</w:t>
            </w:r>
            <w:r w:rsidRPr="00C074A1">
              <w:t xml:space="preserve"> in</w:t>
            </w:r>
            <w:r w:rsidRPr="00C074A1">
              <w:t xml:space="preserve">cludes: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diagrams or sketches</w:t>
            </w:r>
          </w:p>
          <w:p w:rsidR="00000000" w:rsidRPr="00C074A1" w:rsidP="00C074A1">
            <w:pPr>
              <w:pStyle w:val="ListBullet"/>
            </w:pPr>
            <w:r w:rsidRPr="00C074A1">
              <w:t>instructions issued by authorised organisational or external personnel</w:t>
            </w:r>
          </w:p>
          <w:p w:rsidR="00000000" w:rsidRPr="00C074A1" w:rsidP="00C074A1">
            <w:pPr>
              <w:pStyle w:val="ListBullet"/>
            </w:pPr>
            <w:r w:rsidRPr="00C074A1">
              <w:t>manufacturer specifications and instructions, where specified</w:t>
            </w:r>
          </w:p>
          <w:p w:rsidR="00000000" w:rsidRPr="00C074A1" w:rsidP="00C074A1">
            <w:pPr>
              <w:pStyle w:val="ListBullet"/>
            </w:pPr>
            <w:r w:rsidRPr="00C074A1">
              <w:t>MSDS</w:t>
            </w:r>
          </w:p>
          <w:p w:rsidR="00000000" w:rsidRPr="00C074A1" w:rsidP="00C074A1">
            <w:pPr>
              <w:pStyle w:val="ListBullet"/>
            </w:pPr>
            <w:r w:rsidRPr="00C074A1">
              <w:t>memos</w:t>
            </w:r>
          </w:p>
          <w:p w:rsidR="00000000" w:rsidRPr="00C074A1" w:rsidP="00C074A1">
            <w:pPr>
              <w:pStyle w:val="ListBullet"/>
            </w:pPr>
            <w:r w:rsidRPr="00C074A1">
              <w:t>regulatory and legislative requirements pertaining to performing dogging</w:t>
            </w:r>
          </w:p>
          <w:p w:rsidR="00000000" w:rsidRPr="00C074A1" w:rsidP="00C074A1">
            <w:pPr>
              <w:pStyle w:val="ListBullet"/>
            </w:pPr>
            <w:r w:rsidRPr="00C074A1">
              <w:t>relevant Australian standards</w:t>
            </w:r>
          </w:p>
          <w:p w:rsidR="00000000" w:rsidRPr="00C074A1" w:rsidP="00C074A1">
            <w:pPr>
              <w:pStyle w:val="ListBullet"/>
            </w:pPr>
            <w:r w:rsidRPr="00C074A1">
              <w:t>safe work procedures relating to performing dogging</w:t>
            </w:r>
          </w:p>
          <w:p w:rsidR="00000000" w:rsidRPr="00C074A1" w:rsidP="00C074A1">
            <w:pPr>
              <w:pStyle w:val="ListBullet"/>
            </w:pPr>
            <w:r w:rsidRPr="00C074A1">
              <w:t>signage</w:t>
            </w:r>
          </w:p>
          <w:p w:rsidR="00000000" w:rsidRPr="00C074A1" w:rsidP="00C074A1">
            <w:pPr>
              <w:pStyle w:val="ListBullet"/>
            </w:pPr>
            <w:r w:rsidRPr="00C074A1">
              <w:t>verbal, written and graphical instructions</w:t>
            </w:r>
          </w:p>
          <w:p w:rsidR="00000000" w:rsidRPr="00C074A1" w:rsidP="00C074A1">
            <w:pPr>
              <w:pStyle w:val="ListBullet"/>
            </w:pPr>
            <w:r w:rsidRPr="00C074A1">
              <w:t>work bulletins</w:t>
            </w:r>
          </w:p>
          <w:p w:rsidR="00000000" w:rsidP="00C074A1">
            <w:pPr>
              <w:pStyle w:val="ListBullet"/>
              <w:rPr>
                <w:lang w:val="en-NZ"/>
              </w:rPr>
            </w:pPr>
            <w:r w:rsidRPr="00C074A1">
              <w:t>work schedules, plans and specifications.</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Planning and preparation</w:t>
            </w:r>
            <w:r w:rsidRPr="00C074A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 xml:space="preserve">assessment of conditions and </w:t>
            </w:r>
            <w:r w:rsidRPr="00C074A1">
              <w:t>hazards</w:t>
            </w:r>
          </w:p>
          <w:p w:rsidR="00000000" w:rsidRPr="00C074A1" w:rsidP="00C074A1">
            <w:pPr>
              <w:pStyle w:val="ListBullet"/>
            </w:pPr>
            <w:r w:rsidRPr="00C074A1">
              <w:t>determination of work requirements and safety plans and policies</w:t>
            </w:r>
          </w:p>
          <w:p w:rsidR="00000000" w:rsidRPr="00C074A1" w:rsidP="00C074A1">
            <w:pPr>
              <w:pStyle w:val="ListBullet"/>
            </w:pPr>
            <w:r w:rsidRPr="00C074A1">
              <w:t>equipment defect identification</w:t>
            </w:r>
          </w:p>
          <w:p w:rsidR="00000000" w:rsidP="00C074A1">
            <w:pPr>
              <w:pStyle w:val="ListBullet"/>
              <w:rPr>
                <w:lang w:val="en-NZ"/>
              </w:rPr>
            </w:pPr>
            <w:r w:rsidRPr="00C074A1">
              <w:t>work site inspection.</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Safety</w:t>
            </w:r>
            <w:r w:rsidRPr="00C074A1">
              <w:t xml:space="preserve"> (</w:t>
            </w:r>
            <w:r w:rsidRPr="00C074A1">
              <w:rPr>
                <w:rStyle w:val="BoldandItalics"/>
              </w:rPr>
              <w:t>OHS</w:t>
            </w:r>
            <w:r w:rsidRPr="00C074A1">
              <w:t xml:space="preserve">) is to </w:t>
            </w:r>
            <w:r w:rsidRPr="00C074A1">
              <w:t xml:space="preserve">be in accordance with state and territory legislation and regulations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emergency procedures, including extinguishing fires, organisational first aid requirements and evacuation</w:t>
            </w:r>
          </w:p>
          <w:p w:rsidR="00000000" w:rsidRPr="00C074A1" w:rsidP="00C074A1">
            <w:pPr>
              <w:pStyle w:val="ListBullet"/>
            </w:pPr>
            <w:r w:rsidRPr="00C074A1">
              <w:t xml:space="preserve">handling activities that may require </w:t>
            </w:r>
            <w:r w:rsidRPr="00C074A1">
              <w:t>the assistance of others or the use of manual or mechanical lifting devices where size, weight or other issues, such as a disability are a factor</w:t>
            </w:r>
          </w:p>
          <w:p w:rsidR="00000000" w:rsidRPr="00C074A1" w:rsidP="00C074A1">
            <w:pPr>
              <w:pStyle w:val="ListBullet"/>
            </w:pPr>
            <w:r w:rsidRPr="00C074A1">
              <w:t>hazard control</w:t>
            </w:r>
          </w:p>
          <w:p w:rsidR="00000000" w:rsidRPr="00C074A1" w:rsidP="00C074A1">
            <w:pPr>
              <w:pStyle w:val="ListBullet"/>
            </w:pPr>
            <w:r w:rsidRPr="00C074A1">
              <w:t>hazardous materials and substances</w:t>
            </w:r>
          </w:p>
          <w:p w:rsidR="00000000" w:rsidRPr="00C074A1" w:rsidP="00C074A1">
            <w:pPr>
              <w:pStyle w:val="ListBullet"/>
            </w:pPr>
            <w:r w:rsidRPr="00C074A1">
              <w:t>organisational first aid</w:t>
            </w:r>
          </w:p>
          <w:p w:rsidR="00000000" w:rsidRPr="00C074A1" w:rsidP="00C074A1">
            <w:pPr>
              <w:pStyle w:val="ListBullet"/>
            </w:pPr>
            <w:r w:rsidRPr="00C074A1">
              <w:t>PPE prescribed under legislation, r</w:t>
            </w:r>
            <w:r w:rsidRPr="00C074A1">
              <w:t>egulations and workplace policies and practices</w:t>
            </w:r>
          </w:p>
          <w:p w:rsidR="00000000" w:rsidRPr="00C074A1" w:rsidP="00C074A1">
            <w:pPr>
              <w:pStyle w:val="ListBullet"/>
            </w:pPr>
            <w:r w:rsidRPr="00C074A1">
              <w:t>safe operating procedures, including the conduct of operational risk assessment and treatments associated with:</w:t>
            </w:r>
          </w:p>
          <w:p w:rsidR="00000000" w:rsidRPr="00C074A1" w:rsidP="00C074A1">
            <w:pPr>
              <w:pStyle w:val="ListBullet2"/>
            </w:pPr>
            <w:r w:rsidRPr="00C074A1">
              <w:t>earth leakage boxes</w:t>
            </w:r>
          </w:p>
          <w:p w:rsidR="00000000" w:rsidRPr="00C074A1" w:rsidP="00C074A1">
            <w:pPr>
              <w:pStyle w:val="ListBullet2"/>
            </w:pPr>
            <w:r w:rsidRPr="00C074A1">
              <w:t>lighting</w:t>
            </w:r>
          </w:p>
          <w:p w:rsidR="00000000" w:rsidRPr="00C074A1" w:rsidP="00C074A1">
            <w:pPr>
              <w:pStyle w:val="ListBullet2"/>
            </w:pPr>
            <w:r w:rsidRPr="00C074A1">
              <w:t>power cables, including overhead service trays, cables and conduits</w:t>
            </w:r>
          </w:p>
          <w:p w:rsidR="00000000" w:rsidRPr="00C074A1" w:rsidP="00C074A1">
            <w:pPr>
              <w:pStyle w:val="ListBullet2"/>
            </w:pPr>
            <w:r w:rsidRPr="00C074A1">
              <w:t>restricted access barriers</w:t>
            </w:r>
          </w:p>
          <w:p w:rsidR="00000000" w:rsidRPr="00C074A1" w:rsidP="00C074A1">
            <w:pPr>
              <w:pStyle w:val="ListBullet2"/>
            </w:pPr>
            <w:r w:rsidRPr="00C074A1">
              <w:t>surrounding structures</w:t>
            </w:r>
          </w:p>
          <w:p w:rsidR="00000000" w:rsidRPr="00C074A1" w:rsidP="00C074A1">
            <w:pPr>
              <w:pStyle w:val="ListBullet2"/>
            </w:pPr>
            <w:r w:rsidRPr="00C074A1">
              <w:t>traffic control</w:t>
            </w:r>
          </w:p>
          <w:p w:rsidR="00000000" w:rsidRPr="00C074A1" w:rsidP="00C074A1">
            <w:pPr>
              <w:pStyle w:val="ListBullet2"/>
            </w:pPr>
            <w:r w:rsidRPr="00C074A1">
              <w:t>trip hazards</w:t>
            </w:r>
          </w:p>
          <w:p w:rsidR="00000000" w:rsidRPr="00C074A1" w:rsidP="00C074A1">
            <w:pPr>
              <w:pStyle w:val="ListBullet2"/>
            </w:pPr>
            <w:r w:rsidRPr="00C074A1">
              <w:t>work site visitors and the public</w:t>
            </w:r>
          </w:p>
          <w:p w:rsidR="00000000" w:rsidRPr="00C074A1" w:rsidP="00C074A1">
            <w:pPr>
              <w:pStyle w:val="ListBullet2"/>
            </w:pPr>
            <w:r w:rsidRPr="00C074A1">
              <w:t>working at heights</w:t>
            </w:r>
          </w:p>
          <w:p w:rsidR="00000000" w:rsidRPr="00C074A1" w:rsidP="00C074A1">
            <w:pPr>
              <w:pStyle w:val="ListBullet2"/>
            </w:pPr>
            <w:r w:rsidRPr="00C074A1">
              <w:t>working in confined spaces</w:t>
            </w:r>
          </w:p>
          <w:p w:rsidR="00000000" w:rsidRPr="00C074A1" w:rsidP="00C074A1">
            <w:pPr>
              <w:pStyle w:val="ListBullet2"/>
            </w:pPr>
            <w:r w:rsidRPr="00C074A1">
              <w:t>working in proximity to other</w:t>
            </w:r>
            <w:r w:rsidRPr="00C074A1">
              <w:t>s</w:t>
            </w:r>
          </w:p>
          <w:p w:rsidR="00000000" w:rsidRPr="00C074A1" w:rsidP="00C074A1">
            <w:pPr>
              <w:pStyle w:val="ListBullet"/>
            </w:pPr>
            <w:r w:rsidRPr="00C074A1">
              <w:t>use of firefighting equipment</w:t>
            </w:r>
          </w:p>
          <w:p w:rsidR="00000000" w:rsidRPr="00C074A1" w:rsidP="00C074A1">
            <w:pPr>
              <w:pStyle w:val="ListBullet"/>
            </w:pPr>
            <w:r w:rsidRPr="00C074A1">
              <w:t>use of tools and equipment</w:t>
            </w:r>
          </w:p>
          <w:p w:rsidR="00000000" w:rsidP="00C074A1">
            <w:pPr>
              <w:pStyle w:val="ListBullet"/>
              <w:rPr>
                <w:lang w:val="en-NZ"/>
              </w:rPr>
            </w:pPr>
            <w:r w:rsidRPr="00C074A1">
              <w:t>workplace environmental requirements and safety.</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Tools and equipment</w:t>
            </w:r>
            <w:r w:rsidRPr="00C074A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brick cages</w:t>
            </w:r>
          </w:p>
          <w:p w:rsidR="00000000" w:rsidRPr="00C074A1" w:rsidP="00C074A1">
            <w:pPr>
              <w:pStyle w:val="ListBullet"/>
            </w:pPr>
            <w:r w:rsidRPr="00C074A1">
              <w:t>kibbles</w:t>
            </w:r>
          </w:p>
          <w:p w:rsidR="00000000" w:rsidRPr="00C074A1" w:rsidP="00C074A1">
            <w:pPr>
              <w:pStyle w:val="ListBullet"/>
            </w:pPr>
            <w:r w:rsidRPr="00C074A1">
              <w:t>personnel cages</w:t>
            </w:r>
          </w:p>
          <w:p w:rsidR="00000000" w:rsidRPr="00C074A1" w:rsidP="00C074A1">
            <w:pPr>
              <w:pStyle w:val="ListBullet"/>
            </w:pPr>
            <w:r w:rsidRPr="00C074A1">
              <w:t>rescue cages</w:t>
            </w:r>
          </w:p>
          <w:p w:rsidR="00000000" w:rsidRPr="00C074A1" w:rsidP="00C074A1">
            <w:pPr>
              <w:pStyle w:val="ListBullet"/>
            </w:pPr>
            <w:r w:rsidRPr="00C074A1">
              <w:t>rubbish bins</w:t>
            </w:r>
          </w:p>
          <w:p w:rsidR="00000000" w:rsidP="00C074A1">
            <w:pPr>
              <w:pStyle w:val="ListBullet"/>
              <w:rPr>
                <w:lang w:val="en-NZ"/>
              </w:rPr>
            </w:pPr>
            <w:r w:rsidRPr="00C074A1">
              <w:t>spreader bars and beams.</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Quality requirements</w:t>
            </w:r>
            <w:r w:rsidRPr="00C074A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internal company quality policy and standards</w:t>
            </w:r>
          </w:p>
          <w:p w:rsidR="00000000" w:rsidRPr="00C074A1" w:rsidP="00C074A1">
            <w:pPr>
              <w:pStyle w:val="ListBullet"/>
            </w:pPr>
            <w:r w:rsidRPr="00C074A1">
              <w:t>manufacturer specifications, where specified</w:t>
            </w:r>
          </w:p>
          <w:p w:rsidR="00000000" w:rsidRPr="00C074A1" w:rsidP="00C074A1">
            <w:pPr>
              <w:pStyle w:val="ListBullet"/>
            </w:pPr>
            <w:r w:rsidRPr="00C074A1">
              <w:t>relevant regulations, including Australian standards</w:t>
            </w:r>
          </w:p>
          <w:p w:rsidR="00000000" w:rsidP="00C074A1">
            <w:pPr>
              <w:pStyle w:val="ListBullet"/>
              <w:rPr>
                <w:lang w:val="en-NZ"/>
              </w:rPr>
            </w:pPr>
            <w:r w:rsidRPr="00C074A1">
              <w:t>workplace operations and procedures.</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Environmental requirements</w:t>
            </w:r>
            <w:r w:rsidRPr="00C074A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clean-up management</w:t>
            </w:r>
          </w:p>
          <w:p w:rsidR="00000000" w:rsidRPr="00C074A1" w:rsidP="00C074A1">
            <w:pPr>
              <w:pStyle w:val="ListBullet"/>
            </w:pPr>
            <w:r w:rsidRPr="00C074A1">
              <w:t>noise</w:t>
            </w:r>
          </w:p>
          <w:p w:rsidR="00000000" w:rsidRPr="00C074A1" w:rsidP="00C074A1">
            <w:pPr>
              <w:pStyle w:val="ListBullet"/>
            </w:pPr>
            <w:r w:rsidRPr="00C074A1">
              <w:t>vibration</w:t>
            </w:r>
          </w:p>
          <w:p w:rsidR="00000000" w:rsidP="00C074A1">
            <w:pPr>
              <w:pStyle w:val="ListBullet"/>
              <w:rPr>
                <w:lang w:val="en-NZ"/>
              </w:rPr>
            </w:pPr>
            <w:r w:rsidRPr="00C074A1">
              <w:t>waste management.</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Calculations</w:t>
            </w:r>
            <w:r w:rsidRPr="00C074A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delivery dockets</w:t>
            </w:r>
          </w:p>
          <w:p w:rsidR="00000000" w:rsidRPr="00C074A1" w:rsidP="00C074A1">
            <w:pPr>
              <w:pStyle w:val="ListBullet"/>
            </w:pPr>
            <w:r w:rsidRPr="00C074A1">
              <w:t>load charts</w:t>
            </w:r>
          </w:p>
          <w:p w:rsidR="00000000" w:rsidRPr="00C074A1" w:rsidP="00C074A1">
            <w:pPr>
              <w:pStyle w:val="ListBullet"/>
            </w:pPr>
            <w:r w:rsidRPr="00C074A1">
              <w:t>load share</w:t>
            </w:r>
          </w:p>
          <w:p w:rsidR="00000000" w:rsidRPr="00C074A1" w:rsidP="00C074A1">
            <w:pPr>
              <w:pStyle w:val="ListBullet"/>
            </w:pPr>
            <w:r w:rsidRPr="00C074A1">
              <w:t>pre-cast compliance charts</w:t>
            </w:r>
          </w:p>
          <w:p w:rsidR="00000000" w:rsidRPr="00C074A1" w:rsidP="00C074A1">
            <w:pPr>
              <w:pStyle w:val="ListBullet"/>
            </w:pPr>
            <w:r w:rsidRPr="00C074A1">
              <w:t>safe working loads</w:t>
            </w:r>
          </w:p>
          <w:p w:rsidR="00000000" w:rsidP="00C074A1">
            <w:pPr>
              <w:pStyle w:val="ListBullet"/>
              <w:rPr>
                <w:lang w:val="en-NZ"/>
              </w:rPr>
            </w:pPr>
            <w:r w:rsidRPr="00C074A1">
              <w:t>standard calculations.</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Slings</w:t>
            </w:r>
            <w:r w:rsidRPr="00C074A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chain</w:t>
            </w:r>
          </w:p>
          <w:p w:rsidR="00000000" w:rsidRPr="00C074A1" w:rsidP="00C074A1">
            <w:pPr>
              <w:pStyle w:val="ListBullet"/>
            </w:pPr>
            <w:r w:rsidRPr="00C074A1">
              <w:t>flexible steel wire rope</w:t>
            </w:r>
          </w:p>
          <w:p w:rsidR="00000000" w:rsidP="00C074A1">
            <w:pPr>
              <w:pStyle w:val="ListBullet"/>
              <w:rPr>
                <w:lang w:val="en-NZ"/>
              </w:rPr>
            </w:pPr>
            <w:r w:rsidRPr="00C074A1">
              <w:t>natural or synthetic fibre.</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Lifting devices</w:t>
            </w:r>
            <w:r w:rsidRPr="00C074A1">
              <w:t xml:space="preserv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include:</w:t>
            </w:r>
          </w:p>
          <w:p w:rsidR="00000000" w:rsidRPr="00C074A1" w:rsidP="00C074A1">
            <w:pPr>
              <w:pStyle w:val="ListBullet2"/>
            </w:pPr>
            <w:r w:rsidRPr="00C074A1">
              <w:t>eye bolts</w:t>
            </w:r>
          </w:p>
          <w:p w:rsidR="00000000" w:rsidRPr="00C074A1" w:rsidP="00C074A1">
            <w:pPr>
              <w:pStyle w:val="ListBullet2"/>
            </w:pPr>
            <w:r w:rsidRPr="00C074A1">
              <w:t>lifting clutches</w:t>
            </w:r>
          </w:p>
          <w:p w:rsidR="00000000" w:rsidRPr="00C074A1" w:rsidP="00C074A1">
            <w:pPr>
              <w:pStyle w:val="ListBullet2"/>
            </w:pPr>
            <w:r w:rsidRPr="00C074A1">
              <w:t>shackles</w:t>
            </w:r>
          </w:p>
          <w:p w:rsidR="00000000" w:rsidRPr="00C074A1" w:rsidP="00C074A1">
            <w:pPr>
              <w:pStyle w:val="ListBullet2"/>
            </w:pPr>
            <w:r w:rsidRPr="00C074A1">
              <w:t>snatch blocks</w:t>
            </w:r>
          </w:p>
          <w:p w:rsidR="00000000" w:rsidRPr="00C074A1" w:rsidP="00C074A1">
            <w:pPr>
              <w:pStyle w:val="ListBullet2"/>
            </w:pPr>
            <w:r w:rsidRPr="00C074A1">
              <w:t>tags</w:t>
            </w:r>
          </w:p>
          <w:p w:rsidR="00000000" w:rsidRPr="00C074A1" w:rsidP="00C074A1">
            <w:pPr>
              <w:pStyle w:val="ListBullet"/>
            </w:pPr>
            <w:r w:rsidRPr="00C074A1">
              <w:t>may include:</w:t>
            </w:r>
          </w:p>
          <w:p w:rsidR="00000000" w:rsidRPr="00C074A1" w:rsidP="00C074A1">
            <w:pPr>
              <w:pStyle w:val="ListBullet2"/>
            </w:pPr>
            <w:r w:rsidRPr="00C074A1">
              <w:t>collared eye bolts</w:t>
            </w:r>
          </w:p>
          <w:p w:rsidR="00000000" w:rsidRPr="00C074A1" w:rsidP="00C074A1">
            <w:pPr>
              <w:pStyle w:val="ListBullet2"/>
            </w:pPr>
            <w:r w:rsidRPr="00C074A1">
              <w:t>equalizing sheaves</w:t>
            </w:r>
          </w:p>
          <w:p w:rsidR="00000000" w:rsidRPr="00C074A1" w:rsidP="00C074A1">
            <w:pPr>
              <w:pStyle w:val="ListBullet2"/>
            </w:pPr>
            <w:r w:rsidRPr="00C074A1">
              <w:t>lifting lugs</w:t>
            </w:r>
          </w:p>
          <w:p w:rsidR="00000000" w:rsidRPr="00C074A1" w:rsidP="00C074A1">
            <w:pPr>
              <w:pStyle w:val="ListBullet2"/>
            </w:pPr>
            <w:r w:rsidRPr="00C074A1">
              <w:t>rigging screws</w:t>
            </w:r>
          </w:p>
          <w:p w:rsidR="00000000" w:rsidP="00C074A1">
            <w:pPr>
              <w:pStyle w:val="ListBullet2"/>
              <w:rPr>
                <w:lang w:val="en-NZ"/>
              </w:rPr>
            </w:pPr>
            <w:r w:rsidRPr="00C074A1">
              <w:t>turn buckles.</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Load slinging methods</w:t>
            </w:r>
            <w:r w:rsidRPr="00C074A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straight sling</w:t>
            </w:r>
          </w:p>
          <w:p w:rsidR="00000000" w:rsidRPr="00C074A1" w:rsidP="00C074A1">
            <w:pPr>
              <w:pStyle w:val="ListBullet"/>
            </w:pPr>
            <w:r w:rsidRPr="00C074A1">
              <w:t>adjustable sling</w:t>
            </w:r>
          </w:p>
          <w:p w:rsidR="00000000" w:rsidRPr="00C074A1" w:rsidP="00C074A1">
            <w:pPr>
              <w:pStyle w:val="ListBullet"/>
            </w:pPr>
            <w:r w:rsidRPr="00C074A1">
              <w:t>reeved sling</w:t>
            </w:r>
          </w:p>
          <w:p w:rsidR="00000000" w:rsidP="00C074A1">
            <w:pPr>
              <w:pStyle w:val="ListBullet"/>
              <w:rPr>
                <w:lang w:val="en-NZ"/>
              </w:rPr>
            </w:pPr>
            <w:r w:rsidRPr="00C074A1">
              <w:t>inclined sling.</w:t>
            </w:r>
          </w:p>
        </w:tc>
      </w:tr>
      <w:tr w:rsidTr="0033109C">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BoldandItalics"/>
              </w:rPr>
              <w:t>Cranes</w:t>
            </w:r>
            <w:r w:rsidRPr="00C074A1">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C074A1" w:rsidP="00C074A1">
            <w:pPr>
              <w:pStyle w:val="ListBullet"/>
            </w:pPr>
            <w:r w:rsidRPr="00C074A1">
              <w:t>fixed cranes</w:t>
            </w:r>
          </w:p>
          <w:p w:rsidR="00000000" w:rsidRPr="00C074A1" w:rsidP="00C074A1">
            <w:pPr>
              <w:pStyle w:val="ListBullet"/>
            </w:pPr>
            <w:r w:rsidRPr="00C074A1">
              <w:t>hydraulic mobile cranes</w:t>
            </w:r>
          </w:p>
          <w:p w:rsidR="00000000" w:rsidRPr="00C074A1" w:rsidP="00C074A1">
            <w:pPr>
              <w:pStyle w:val="ListBullet"/>
            </w:pPr>
            <w:r w:rsidRPr="00C074A1">
              <w:t>lattice boom mobile cranes</w:t>
            </w:r>
          </w:p>
          <w:p w:rsidR="00000000" w:rsidRPr="00C074A1" w:rsidP="00C074A1">
            <w:pPr>
              <w:pStyle w:val="ListBullet"/>
            </w:pPr>
            <w:r w:rsidRPr="00C074A1">
              <w:t>slewing cranes</w:t>
            </w:r>
          </w:p>
          <w:p w:rsidR="00000000" w:rsidRPr="00C074A1" w:rsidP="00C074A1">
            <w:pPr>
              <w:pStyle w:val="ListBullet"/>
            </w:pPr>
            <w:r w:rsidRPr="00C074A1">
              <w:t>tower cranes.</w:t>
            </w:r>
          </w:p>
        </w:tc>
      </w:tr>
    </w:tbl>
    <w:p w:rsidR="0033109C" w:rsidP="00C074A1">
      <w:pPr>
        <w:pStyle w:val="BodyText"/>
      </w:pPr>
    </w:p>
    <w:p w:rsidR="0033109C" w:rsidP="00C074A1">
      <w:pPr>
        <w:pStyle w:val="BodyText"/>
      </w:pPr>
    </w:p>
    <w:p w:rsidR="00000000" w:rsidRPr="00C074A1" w:rsidP="00C074A1">
      <w:pPr>
        <w:pStyle w:val="Heading1"/>
      </w:pPr>
      <w:bookmarkStart w:id="12" w:name="O_197828"/>
      <w:bookmarkEnd w:id="12"/>
      <w:r w:rsidRPr="00C074A1">
        <w:t>Unit Sector(s)</w:t>
      </w:r>
    </w:p>
    <w:tbl>
      <w:tblPr>
        <w:tblW w:w="0" w:type="auto"/>
        <w:tblLayout w:type="fixed"/>
        <w:tblCellMar>
          <w:left w:w="62" w:type="dxa"/>
          <w:right w:w="62" w:type="dxa"/>
        </w:tblCellMar>
        <w:tblLook w:val="0000"/>
      </w:tblPr>
      <w:tblGrid>
        <w:gridCol w:w="2567"/>
        <w:gridCol w:w="5955"/>
      </w:tblGrid>
      <w:tr w:rsidTr="0033109C">
        <w:tblPrEx>
          <w:tblW w:w="0" w:type="auto"/>
          <w:tblLayout w:type="fixed"/>
          <w:tblCellMar>
            <w:left w:w="62" w:type="dxa"/>
            <w:right w:w="62" w:type="dxa"/>
          </w:tblCellMar>
          <w:tblLook w:val="0000"/>
        </w:tblPrEx>
        <w:trPr>
          <w:tblHeader/>
        </w:trPr>
        <w:tc>
          <w:tcPr>
            <w:tcW w:w="2567"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Unit sector</w:t>
            </w:r>
          </w:p>
        </w:tc>
        <w:tc>
          <w:tcPr>
            <w:tcW w:w="5955" w:type="dxa"/>
            <w:tcBorders>
              <w:top w:val="nil"/>
              <w:left w:val="nil"/>
              <w:bottom w:val="nil"/>
              <w:right w:val="nil"/>
            </w:tcBorders>
            <w:tcMar>
              <w:top w:w="0" w:type="dxa"/>
              <w:left w:w="62" w:type="dxa"/>
              <w:bottom w:w="0" w:type="dxa"/>
              <w:right w:w="62" w:type="dxa"/>
            </w:tcMar>
          </w:tcPr>
          <w:p w:rsidR="00000000" w:rsidRPr="00C074A1" w:rsidP="00C074A1">
            <w:pPr>
              <w:pStyle w:val="BodyText"/>
            </w:pPr>
            <w:r w:rsidRPr="00C074A1">
              <w:t>Construction</w:t>
            </w:r>
          </w:p>
        </w:tc>
      </w:tr>
    </w:tbl>
    <w:p w:rsidR="0033109C" w:rsidP="00C074A1">
      <w:pPr>
        <w:pStyle w:val="BodyText"/>
      </w:pPr>
    </w:p>
    <w:p w:rsidR="0033109C" w:rsidP="00C074A1">
      <w:pPr>
        <w:pStyle w:val="BodyText"/>
      </w:pPr>
    </w:p>
    <w:p w:rsidR="00000000" w:rsidRPr="00C074A1" w:rsidP="00C074A1">
      <w:pPr>
        <w:pStyle w:val="Heading1"/>
      </w:pPr>
      <w:bookmarkStart w:id="13" w:name="O_197825"/>
      <w:bookmarkEnd w:id="13"/>
      <w:r w:rsidRPr="00C074A1">
        <w:t>Co-requisite units</w:t>
      </w:r>
    </w:p>
    <w:tbl>
      <w:tblPr>
        <w:tblW w:w="0" w:type="auto"/>
        <w:tblLayout w:type="fixed"/>
        <w:tblCellMar>
          <w:left w:w="62" w:type="dxa"/>
          <w:right w:w="62" w:type="dxa"/>
        </w:tblCellMar>
        <w:tblLook w:val="0000"/>
      </w:tblPr>
      <w:tblGrid>
        <w:gridCol w:w="2582"/>
        <w:gridCol w:w="1765"/>
        <w:gridCol w:w="4175"/>
      </w:tblGrid>
      <w:tr w:rsidTr="0033109C">
        <w:tblPrEx>
          <w:tblW w:w="0" w:type="auto"/>
          <w:tblLayout w:type="fixed"/>
          <w:tblCellMar>
            <w:left w:w="62" w:type="dxa"/>
            <w:right w:w="62" w:type="dxa"/>
          </w:tblCellMar>
          <w:tblLook w:val="0000"/>
        </w:tblPrEx>
        <w:trPr>
          <w:tblHeader/>
        </w:trPr>
        <w:tc>
          <w:tcPr>
            <w:tcW w:w="2582"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Co-requisite units</w:t>
            </w:r>
          </w:p>
        </w:tc>
        <w:tc>
          <w:tcPr>
            <w:tcW w:w="5940" w:type="dxa"/>
            <w:gridSpan w:val="2"/>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t>Nil</w:t>
            </w:r>
          </w:p>
        </w:tc>
      </w:tr>
      <w:tr w:rsidTr="0033109C">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75"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p>
        </w:tc>
      </w:tr>
      <w:tr w:rsidTr="0033109C">
        <w:tblPrEx>
          <w:tblW w:w="0" w:type="auto"/>
          <w:tblLayout w:type="fixed"/>
          <w:tblCellMar>
            <w:left w:w="62" w:type="dxa"/>
            <w:right w:w="62" w:type="dxa"/>
          </w:tblCellMar>
          <w:tblLook w:val="0000"/>
        </w:tblPrEx>
        <w:tc>
          <w:tcPr>
            <w:tcW w:w="258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175" w:type="dxa"/>
            <w:tcBorders>
              <w:top w:val="nil"/>
              <w:left w:val="nil"/>
              <w:bottom w:val="nil"/>
              <w:right w:val="nil"/>
            </w:tcBorders>
            <w:tcMar>
              <w:top w:w="0" w:type="dxa"/>
              <w:left w:w="62" w:type="dxa"/>
              <w:bottom w:w="0" w:type="dxa"/>
              <w:right w:w="62" w:type="dxa"/>
            </w:tcMar>
          </w:tcPr>
          <w:p w:rsidR="00000000" w:rsidRPr="00C074A1" w:rsidP="00C074A1">
            <w:pPr>
              <w:pStyle w:val="BodyText"/>
            </w:pPr>
          </w:p>
        </w:tc>
      </w:tr>
    </w:tbl>
    <w:p w:rsidR="0033109C" w:rsidP="00C074A1">
      <w:pPr>
        <w:pStyle w:val="BodyText"/>
      </w:pPr>
    </w:p>
    <w:p w:rsidR="0033109C" w:rsidP="00C074A1">
      <w:pPr>
        <w:pStyle w:val="BodyText"/>
      </w:pPr>
    </w:p>
    <w:p w:rsidR="00000000" w:rsidRPr="00C074A1" w:rsidP="00C074A1">
      <w:pPr>
        <w:pStyle w:val="Heading1"/>
      </w:pPr>
      <w:bookmarkStart w:id="14" w:name="O_197827"/>
      <w:bookmarkEnd w:id="14"/>
      <w:r w:rsidRPr="00C074A1">
        <w:t>Functional area</w:t>
      </w:r>
    </w:p>
    <w:tbl>
      <w:tblPr>
        <w:tblW w:w="0" w:type="auto"/>
        <w:tblLayout w:type="fixed"/>
        <w:tblCellMar>
          <w:left w:w="62" w:type="dxa"/>
          <w:right w:w="62" w:type="dxa"/>
        </w:tblCellMar>
        <w:tblLook w:val="0000"/>
      </w:tblPr>
      <w:tblGrid>
        <w:gridCol w:w="2672"/>
        <w:gridCol w:w="5850"/>
      </w:tblGrid>
      <w:tr w:rsidTr="0033109C">
        <w:tblPrEx>
          <w:tblW w:w="0" w:type="auto"/>
          <w:tblLayout w:type="fixed"/>
          <w:tblCellMar>
            <w:left w:w="62" w:type="dxa"/>
            <w:right w:w="62" w:type="dxa"/>
          </w:tblCellMar>
          <w:tblLook w:val="0000"/>
        </w:tblPrEx>
        <w:trPr>
          <w:tblHeader/>
        </w:trPr>
        <w:tc>
          <w:tcPr>
            <w:tcW w:w="2672" w:type="dxa"/>
            <w:tcBorders>
              <w:top w:val="nil"/>
              <w:left w:val="nil"/>
              <w:bottom w:val="nil"/>
              <w:right w:val="nil"/>
            </w:tcBorders>
            <w:tcMar>
              <w:top w:w="0" w:type="dxa"/>
              <w:left w:w="62" w:type="dxa"/>
              <w:bottom w:w="0" w:type="dxa"/>
              <w:right w:w="62" w:type="dxa"/>
            </w:tcMar>
          </w:tcPr>
          <w:p w:rsidR="00000000" w:rsidP="00C074A1">
            <w:pPr>
              <w:pStyle w:val="BodyText"/>
              <w:rPr>
                <w:lang w:val="en-NZ"/>
              </w:rPr>
            </w:pPr>
            <w:r w:rsidRPr="00C074A1">
              <w:rPr>
                <w:rStyle w:val="SpecialBold"/>
              </w:rPr>
              <w:t>Functional area</w:t>
            </w:r>
          </w:p>
        </w:tc>
        <w:tc>
          <w:tcPr>
            <w:tcW w:w="5850" w:type="dxa"/>
            <w:tcBorders>
              <w:top w:val="nil"/>
              <w:left w:val="nil"/>
              <w:bottom w:val="nil"/>
              <w:right w:val="nil"/>
            </w:tcBorders>
            <w:tcMar>
              <w:top w:w="0" w:type="dxa"/>
              <w:left w:w="62" w:type="dxa"/>
              <w:bottom w:w="0" w:type="dxa"/>
              <w:right w:w="62" w:type="dxa"/>
            </w:tcMar>
          </w:tcPr>
          <w:p w:rsidR="00000000" w:rsidRPr="00C074A1" w:rsidP="00C074A1">
            <w:pPr>
              <w:pStyle w:val="BodyText"/>
            </w:pPr>
          </w:p>
        </w:tc>
      </w:tr>
    </w:tbl>
    <w:p w:rsidR="0033109C" w:rsidP="00C074A1">
      <w:pPr>
        <w:pStyle w:val="BodyText"/>
      </w:pPr>
    </w:p>
    <w:p w:rsidR="0033109C" w:rsidP="00C074A1">
      <w:pPr>
        <w:pStyle w:val="BodyText"/>
      </w:pPr>
    </w:p>
    <w:p w:rsidR="00000000" w:rsidRPr="00C074A1" w:rsidP="00C074A1"/>
    <w:sectPr w:rsidSect="00C074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A1" w:rsidRPr="0033109C" w:rsidP="003310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9C" w:rsidP="00C074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3109C" w:rsidP="00C074A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109C" w:rsidP="00C074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A1" w:rsidRPr="0033109C" w:rsidP="003310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09C" w:rsidRPr="002D2AF8" w:rsidP="00C074A1">
    <w:pPr>
      <w:pStyle w:val="Header"/>
      <w:framePr w:wrap="around"/>
    </w:pPr>
    <w:r>
      <w:fldChar w:fldCharType="begin"/>
    </w:r>
    <w:r>
      <w:instrText xml:space="preserve"> TITLE   \* MERGEFORMAT </w:instrText>
    </w:r>
    <w:r>
      <w:fldChar w:fldCharType="separate"/>
    </w:r>
    <w:r>
      <w:t>CPCCDO3011A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33109C" w:rsidP="00C074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E01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495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64AF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4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4A1"/>
    <w:pPr>
      <w:spacing w:before="360" w:after="60"/>
      <w:outlineLvl w:val="0"/>
    </w:pPr>
    <w:rPr>
      <w:sz w:val="32"/>
    </w:rPr>
  </w:style>
  <w:style w:type="paragraph" w:styleId="Heading2">
    <w:name w:val="heading 2"/>
    <w:basedOn w:val="HeadingBase"/>
    <w:next w:val="BodyText"/>
    <w:link w:val="Heading2Char"/>
    <w:qFormat/>
    <w:rsid w:val="00C074A1"/>
    <w:pPr>
      <w:keepLines/>
      <w:spacing w:before="240" w:after="120"/>
      <w:outlineLvl w:val="1"/>
    </w:pPr>
    <w:rPr>
      <w:sz w:val="28"/>
      <w:szCs w:val="40"/>
    </w:rPr>
  </w:style>
  <w:style w:type="paragraph" w:styleId="Heading3">
    <w:name w:val="heading 3"/>
    <w:basedOn w:val="HeadingBase"/>
    <w:next w:val="BodyText"/>
    <w:link w:val="Heading3Char"/>
    <w:qFormat/>
    <w:rsid w:val="00C074A1"/>
    <w:pPr>
      <w:spacing w:before="180" w:after="120"/>
      <w:outlineLvl w:val="2"/>
    </w:pPr>
    <w:rPr>
      <w:spacing w:val="-10"/>
      <w:kern w:val="32"/>
    </w:rPr>
  </w:style>
  <w:style w:type="paragraph" w:styleId="Heading4">
    <w:name w:val="heading 4"/>
    <w:basedOn w:val="HeadingBase"/>
    <w:next w:val="BodyText"/>
    <w:link w:val="Heading4Char"/>
    <w:qFormat/>
    <w:rsid w:val="00C074A1"/>
    <w:pPr>
      <w:spacing w:before="160" w:after="120"/>
      <w:outlineLvl w:val="3"/>
    </w:pPr>
    <w:rPr>
      <w:sz w:val="22"/>
    </w:rPr>
  </w:style>
  <w:style w:type="paragraph" w:styleId="Heading5">
    <w:name w:val="heading 5"/>
    <w:basedOn w:val="HeadingBase"/>
    <w:next w:val="Normal"/>
    <w:link w:val="Heading5Char"/>
    <w:qFormat/>
    <w:rsid w:val="00C074A1"/>
    <w:pPr>
      <w:spacing w:before="80"/>
      <w:outlineLvl w:val="4"/>
    </w:pPr>
    <w:rPr>
      <w:color w:val="918585"/>
      <w:sz w:val="20"/>
    </w:rPr>
  </w:style>
  <w:style w:type="paragraph" w:styleId="Heading6">
    <w:name w:val="heading 6"/>
    <w:basedOn w:val="HeadingBase"/>
    <w:next w:val="Normal"/>
    <w:link w:val="Heading6Char"/>
    <w:qFormat/>
    <w:rsid w:val="00C074A1"/>
    <w:pPr>
      <w:spacing w:before="60"/>
      <w:outlineLvl w:val="5"/>
    </w:pPr>
    <w:rPr>
      <w:color w:val="918585"/>
      <w:sz w:val="20"/>
    </w:rPr>
  </w:style>
  <w:style w:type="paragraph" w:styleId="Heading7">
    <w:name w:val="heading 7"/>
    <w:basedOn w:val="Normal"/>
    <w:next w:val="Normal"/>
    <w:link w:val="Heading7Char"/>
    <w:qFormat/>
    <w:rsid w:val="00C074A1"/>
    <w:pPr>
      <w:ind w:left="720"/>
      <w:outlineLvl w:val="6"/>
    </w:pPr>
    <w:rPr>
      <w:i/>
    </w:rPr>
  </w:style>
  <w:style w:type="paragraph" w:styleId="Heading8">
    <w:name w:val="heading 8"/>
    <w:basedOn w:val="Normal"/>
    <w:next w:val="Normal"/>
    <w:link w:val="Heading8Char"/>
    <w:qFormat/>
    <w:rsid w:val="00C074A1"/>
    <w:pPr>
      <w:ind w:left="720"/>
      <w:outlineLvl w:val="7"/>
    </w:pPr>
    <w:rPr>
      <w:i/>
    </w:rPr>
  </w:style>
  <w:style w:type="paragraph" w:styleId="Heading9">
    <w:name w:val="heading 9"/>
    <w:basedOn w:val="Normal"/>
    <w:next w:val="Normal"/>
    <w:link w:val="Heading9Char"/>
    <w:qFormat/>
    <w:rsid w:val="00C074A1"/>
    <w:pPr>
      <w:ind w:left="720"/>
      <w:outlineLvl w:val="8"/>
    </w:pPr>
    <w:rPr>
      <w:i/>
    </w:rPr>
  </w:style>
  <w:style w:type="character" w:default="1" w:styleId="DefaultParagraphFont">
    <w:name w:val="Default Paragraph Font"/>
    <w:uiPriority w:val="1"/>
    <w:unhideWhenUsed/>
    <w:rsid w:val="00C074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4A1"/>
  </w:style>
  <w:style w:type="character" w:customStyle="1" w:styleId="Heading1Char">
    <w:name w:val="Heading 1 Char"/>
    <w:basedOn w:val="DefaultParagraphFont"/>
    <w:link w:val="Heading1"/>
    <w:rsid w:val="00C074A1"/>
    <w:rPr>
      <w:rFonts w:ascii="Times New Roman" w:eastAsia="Times New Roman" w:hAnsi="Times New Roman" w:cs="Times New Roman"/>
      <w:b/>
      <w:sz w:val="32"/>
      <w:szCs w:val="20"/>
      <w:lang w:eastAsia="en-US"/>
    </w:rPr>
  </w:style>
  <w:style w:type="paragraph" w:styleId="BodyText">
    <w:name w:val="Body Text"/>
    <w:basedOn w:val="Normal"/>
    <w:link w:val="BodyTextChar"/>
    <w:rsid w:val="00C074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74A1"/>
    <w:rPr>
      <w:rFonts w:ascii="Times New Roman" w:eastAsia="Times New Roman" w:hAnsi="Times New Roman" w:cs="Times New Roman"/>
      <w:sz w:val="24"/>
      <w:lang w:eastAsia="en-US"/>
    </w:rPr>
  </w:style>
  <w:style w:type="paragraph" w:styleId="List">
    <w:name w:val="List"/>
    <w:basedOn w:val="BodyText"/>
    <w:next w:val="BodyText"/>
    <w:rsid w:val="00C074A1"/>
    <w:pPr>
      <w:tabs>
        <w:tab w:val="left" w:pos="340"/>
      </w:tabs>
      <w:spacing w:before="60" w:after="60"/>
      <w:ind w:left="340" w:hanging="340"/>
    </w:pPr>
  </w:style>
  <w:style w:type="paragraph" w:styleId="ListBullet">
    <w:name w:val="List Bullet"/>
    <w:basedOn w:val="List"/>
    <w:rsid w:val="00C074A1"/>
    <w:pPr>
      <w:numPr>
        <w:numId w:val="14"/>
      </w:numPr>
      <w:tabs>
        <w:tab w:val="clear" w:pos="340"/>
      </w:tabs>
      <w:spacing w:before="40" w:after="40"/>
    </w:pPr>
  </w:style>
  <w:style w:type="character" w:customStyle="1" w:styleId="SpecialBold">
    <w:name w:val="Special Bold"/>
    <w:basedOn w:val="DefaultParagraphFont"/>
    <w:rsid w:val="00C074A1"/>
    <w:rPr>
      <w:b/>
      <w:spacing w:val="0"/>
    </w:rPr>
  </w:style>
  <w:style w:type="paragraph" w:styleId="ListBullet2">
    <w:name w:val="List Bullet 2"/>
    <w:basedOn w:val="List2"/>
    <w:rsid w:val="00C074A1"/>
    <w:pPr>
      <w:numPr>
        <w:numId w:val="15"/>
      </w:numPr>
      <w:tabs>
        <w:tab w:val="clear" w:pos="680"/>
      </w:tabs>
    </w:pPr>
  </w:style>
  <w:style w:type="paragraph" w:customStyle="1" w:styleId="SuperHeading">
    <w:name w:val="SuperHeading"/>
    <w:basedOn w:val="Normal"/>
    <w:rsid w:val="00C074A1"/>
    <w:pPr>
      <w:spacing w:before="240" w:after="120"/>
      <w:outlineLvl w:val="0"/>
    </w:pPr>
    <w:rPr>
      <w:rFonts w:ascii="Times New Roman" w:hAnsi="Times New Roman"/>
      <w:b/>
      <w:sz w:val="32"/>
    </w:rPr>
  </w:style>
  <w:style w:type="paragraph" w:customStyle="1" w:styleId="AllowPageBreak">
    <w:name w:val="AllowPageBreak"/>
    <w:rsid w:val="00C074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74A1"/>
    <w:pPr>
      <w:tabs>
        <w:tab w:val="left" w:pos="680"/>
      </w:tabs>
      <w:spacing w:before="60" w:after="60"/>
      <w:ind w:left="680" w:hanging="340"/>
    </w:pPr>
  </w:style>
  <w:style w:type="paragraph" w:styleId="ListBullet3">
    <w:name w:val="List Bullet 3"/>
    <w:basedOn w:val="List3"/>
    <w:rsid w:val="00C074A1"/>
    <w:pPr>
      <w:numPr>
        <w:numId w:val="3"/>
      </w:numPr>
      <w:tabs>
        <w:tab w:val="clear" w:pos="1021"/>
      </w:tabs>
      <w:ind w:left="1037" w:hanging="357"/>
    </w:pPr>
  </w:style>
  <w:style w:type="character" w:customStyle="1" w:styleId="BoldandItalics">
    <w:name w:val="Bold and Italics"/>
    <w:qFormat/>
    <w:rsid w:val="00C074A1"/>
    <w:rPr>
      <w:b/>
      <w:i/>
      <w:u w:val="none"/>
    </w:rPr>
  </w:style>
  <w:style w:type="character" w:customStyle="1" w:styleId="Heading2Char">
    <w:name w:val="Heading 2 Char"/>
    <w:basedOn w:val="DefaultParagraphFont"/>
    <w:link w:val="Heading2"/>
    <w:rsid w:val="00C074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4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4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4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4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4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4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4A1"/>
    <w:rPr>
      <w:rFonts w:ascii="Courier New" w:eastAsia="Times New Roman" w:hAnsi="Courier New" w:cs="Times New Roman"/>
      <w:i/>
      <w:szCs w:val="20"/>
      <w:lang w:eastAsia="en-US"/>
    </w:rPr>
  </w:style>
  <w:style w:type="paragraph" w:customStyle="1" w:styleId="HeadingBase">
    <w:name w:val="Heading Base"/>
    <w:rsid w:val="00C074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4A1"/>
    <w:pPr>
      <w:tabs>
        <w:tab w:val="right" w:leader="dot" w:pos="9072"/>
      </w:tabs>
      <w:ind w:left="567"/>
    </w:pPr>
    <w:rPr>
      <w:szCs w:val="22"/>
    </w:rPr>
  </w:style>
  <w:style w:type="paragraph" w:customStyle="1" w:styleId="TOCBase">
    <w:name w:val="TOC Base"/>
    <w:rsid w:val="00C074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4A1"/>
    <w:pPr>
      <w:tabs>
        <w:tab w:val="right" w:leader="dot" w:pos="9072"/>
      </w:tabs>
      <w:spacing w:before="40" w:after="40"/>
      <w:ind w:left="284"/>
    </w:pPr>
    <w:rPr>
      <w:rFonts w:ascii="Times New Roman" w:hAnsi="Times New Roman"/>
    </w:rPr>
  </w:style>
  <w:style w:type="paragraph" w:styleId="TOC1">
    <w:name w:val="toc 1"/>
    <w:basedOn w:val="TOCBase"/>
    <w:next w:val="Normal"/>
    <w:rsid w:val="00C074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4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4A1"/>
    <w:rPr>
      <w:rFonts w:ascii="Times New Roman" w:eastAsia="Times New Roman" w:hAnsi="Times New Roman" w:cs="Times New Roman"/>
      <w:sz w:val="16"/>
      <w:lang w:eastAsia="en-US"/>
    </w:rPr>
  </w:style>
  <w:style w:type="paragraph" w:styleId="Title">
    <w:name w:val="Title"/>
    <w:basedOn w:val="HeadingBase"/>
    <w:link w:val="TitleChar"/>
    <w:qFormat/>
    <w:rsid w:val="00C074A1"/>
    <w:pPr>
      <w:spacing w:before="5040"/>
      <w:jc w:val="center"/>
    </w:pPr>
    <w:rPr>
      <w:sz w:val="48"/>
      <w:szCs w:val="72"/>
      <w:lang w:val="en-US"/>
    </w:rPr>
  </w:style>
  <w:style w:type="character" w:customStyle="1" w:styleId="TitleChar">
    <w:name w:val="Title Char"/>
    <w:basedOn w:val="DefaultParagraphFont"/>
    <w:link w:val="Title"/>
    <w:rsid w:val="00C074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4A1"/>
    <w:pPr>
      <w:tabs>
        <w:tab w:val="left" w:pos="3600"/>
        <w:tab w:val="left" w:pos="3958"/>
      </w:tabs>
    </w:pPr>
  </w:style>
  <w:style w:type="paragraph" w:customStyle="1" w:styleId="Note">
    <w:name w:val="Note"/>
    <w:basedOn w:val="BodyText"/>
    <w:rsid w:val="00C074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4A1"/>
    <w:pPr>
      <w:framePr w:wrap="auto" w:hAnchor="text" w:y="6049"/>
    </w:pPr>
    <w:rPr>
      <w:color w:val="000000"/>
      <w:sz w:val="40"/>
    </w:rPr>
  </w:style>
  <w:style w:type="paragraph" w:customStyle="1" w:styleId="TOCTitle">
    <w:name w:val="TOCTitle"/>
    <w:basedOn w:val="Heading1"/>
    <w:rsid w:val="00C074A1"/>
    <w:pPr>
      <w:spacing w:after="240"/>
      <w:jc w:val="center"/>
      <w:outlineLvl w:val="9"/>
    </w:pPr>
    <w:rPr>
      <w:caps/>
    </w:rPr>
  </w:style>
  <w:style w:type="paragraph" w:customStyle="1" w:styleId="Version">
    <w:name w:val="Version"/>
    <w:rsid w:val="00C074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4A1"/>
    <w:pPr>
      <w:keepNext w:val="0"/>
      <w:tabs>
        <w:tab w:val="right" w:pos="4176"/>
      </w:tabs>
      <w:ind w:left="198" w:hanging="198"/>
    </w:pPr>
    <w:rPr>
      <w:rFonts w:ascii="Garamond" w:hAnsi="Garamond"/>
    </w:rPr>
  </w:style>
  <w:style w:type="paragraph" w:styleId="IndexHeading">
    <w:name w:val="index heading"/>
    <w:basedOn w:val="Normal"/>
    <w:next w:val="Index1"/>
    <w:semiHidden/>
    <w:rsid w:val="00C074A1"/>
    <w:pPr>
      <w:spacing w:before="120" w:after="120"/>
    </w:pPr>
    <w:rPr>
      <w:rFonts w:ascii="Arial" w:hAnsi="Arial"/>
      <w:b/>
      <w:color w:val="918585"/>
      <w:sz w:val="24"/>
    </w:rPr>
  </w:style>
  <w:style w:type="paragraph" w:styleId="Header">
    <w:name w:val="header"/>
    <w:basedOn w:val="Normal"/>
    <w:link w:val="HeaderChar"/>
    <w:rsid w:val="00C074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4A1"/>
    <w:rPr>
      <w:rFonts w:ascii="Times New Roman" w:eastAsia="Times New Roman" w:hAnsi="Times New Roman" w:cs="Times New Roman"/>
      <w:sz w:val="16"/>
      <w:szCs w:val="20"/>
      <w:lang w:val="en-GB" w:eastAsia="en-US"/>
    </w:rPr>
  </w:style>
  <w:style w:type="paragraph" w:customStyle="1" w:styleId="Chapter">
    <w:name w:val="Chapter"/>
    <w:basedOn w:val="Normal"/>
    <w:rsid w:val="00C074A1"/>
    <w:pPr>
      <w:spacing w:before="240"/>
    </w:pPr>
    <w:rPr>
      <w:rFonts w:ascii="Times New Roman" w:hAnsi="Times New Roman"/>
      <w:smallCaps/>
      <w:spacing w:val="80"/>
      <w:sz w:val="28"/>
    </w:rPr>
  </w:style>
  <w:style w:type="paragraph" w:customStyle="1" w:styleId="InChapter">
    <w:name w:val="InChapter"/>
    <w:basedOn w:val="Heading3"/>
    <w:rsid w:val="00C074A1"/>
    <w:pPr>
      <w:spacing w:after="240"/>
      <w:outlineLvl w:val="9"/>
    </w:pPr>
    <w:rPr>
      <w:noProof/>
    </w:rPr>
  </w:style>
  <w:style w:type="paragraph" w:styleId="Index2">
    <w:name w:val="index 2"/>
    <w:basedOn w:val="Normal"/>
    <w:next w:val="Normal"/>
    <w:semiHidden/>
    <w:rsid w:val="00C074A1"/>
    <w:pPr>
      <w:tabs>
        <w:tab w:val="right" w:pos="4176"/>
      </w:tabs>
      <w:ind w:left="568" w:hanging="284"/>
    </w:pPr>
    <w:rPr>
      <w:rFonts w:ascii="Garamond" w:hAnsi="Garamond"/>
    </w:rPr>
  </w:style>
  <w:style w:type="paragraph" w:customStyle="1" w:styleId="Byline">
    <w:name w:val="Byline"/>
    <w:rsid w:val="00C074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4A1"/>
    <w:pPr>
      <w:tabs>
        <w:tab w:val="clear" w:pos="3600"/>
        <w:tab w:val="clear" w:pos="3958"/>
      </w:tabs>
      <w:jc w:val="right"/>
    </w:pPr>
  </w:style>
  <w:style w:type="character" w:styleId="Emphasis">
    <w:name w:val="Emphasis"/>
    <w:basedOn w:val="DefaultParagraphFont"/>
    <w:qFormat/>
    <w:rsid w:val="00C074A1"/>
    <w:rPr>
      <w:i/>
    </w:rPr>
  </w:style>
  <w:style w:type="paragraph" w:styleId="Caption">
    <w:name w:val="caption"/>
    <w:basedOn w:val="BodyText"/>
    <w:next w:val="Normal"/>
    <w:qFormat/>
    <w:rsid w:val="00C074A1"/>
    <w:pPr>
      <w:framePr w:w="2268" w:hSpace="181" w:vSpace="181" w:wrap="around" w:vAnchor="text" w:hAnchor="page" w:x="1135" w:y="285" w:anchorLock="1"/>
    </w:pPr>
    <w:rPr>
      <w:i/>
    </w:rPr>
  </w:style>
  <w:style w:type="paragraph" w:customStyle="1" w:styleId="MiniTOCTitle">
    <w:name w:val="MiniTOCTitle"/>
    <w:basedOn w:val="Heading4"/>
    <w:rsid w:val="00C074A1"/>
    <w:pPr>
      <w:spacing w:before="240"/>
      <w:outlineLvl w:val="9"/>
    </w:pPr>
    <w:rPr>
      <w:noProof/>
      <w:sz w:val="24"/>
    </w:rPr>
  </w:style>
  <w:style w:type="paragraph" w:customStyle="1" w:styleId="MiniTOCItem">
    <w:name w:val="MiniTOCItem"/>
    <w:basedOn w:val="ListBullet"/>
    <w:rsid w:val="00C074A1"/>
    <w:pPr>
      <w:numPr>
        <w:numId w:val="0"/>
      </w:numPr>
      <w:tabs>
        <w:tab w:val="right" w:leader="dot" w:pos="6521"/>
      </w:tabs>
      <w:spacing w:before="0" w:after="0"/>
    </w:pPr>
  </w:style>
  <w:style w:type="paragraph" w:customStyle="1" w:styleId="TOFTitle">
    <w:name w:val="TOFTitle"/>
    <w:basedOn w:val="TOCTitle"/>
    <w:rsid w:val="00C074A1"/>
  </w:style>
  <w:style w:type="paragraph" w:styleId="TableofFigures">
    <w:name w:val="table of figures"/>
    <w:basedOn w:val="Normal"/>
    <w:next w:val="Normal"/>
    <w:semiHidden/>
    <w:rsid w:val="00C074A1"/>
    <w:pPr>
      <w:tabs>
        <w:tab w:val="right" w:leader="dot" w:pos="9072"/>
      </w:tabs>
      <w:ind w:left="970" w:hanging="403"/>
    </w:pPr>
    <w:rPr>
      <w:rFonts w:ascii="Times New Roman" w:hAnsi="Times New Roman"/>
      <w:b/>
    </w:rPr>
  </w:style>
  <w:style w:type="paragraph" w:styleId="ListNumber">
    <w:name w:val="List Number"/>
    <w:basedOn w:val="List"/>
    <w:rsid w:val="00C074A1"/>
    <w:pPr>
      <w:numPr>
        <w:numId w:val="12"/>
      </w:numPr>
    </w:pPr>
  </w:style>
  <w:style w:type="character" w:customStyle="1" w:styleId="WingdingSymbols">
    <w:name w:val="Wingding Symbols"/>
    <w:rsid w:val="00C074A1"/>
    <w:rPr>
      <w:rFonts w:ascii="Wingdings" w:hAnsi="Wingdings"/>
    </w:rPr>
  </w:style>
  <w:style w:type="paragraph" w:customStyle="1" w:styleId="TableHeading">
    <w:name w:val="Table Heading"/>
    <w:basedOn w:val="HeadingBase"/>
    <w:rsid w:val="00C074A1"/>
    <w:pPr>
      <w:keepLines/>
      <w:pBdr>
        <w:bottom w:val="single" w:sz="6" w:space="1" w:color="918585"/>
      </w:pBdr>
      <w:spacing w:before="240"/>
    </w:pPr>
  </w:style>
  <w:style w:type="character" w:customStyle="1" w:styleId="HotSpot">
    <w:name w:val="HotSpot"/>
    <w:rsid w:val="00C074A1"/>
    <w:rPr>
      <w:color w:val="0033CC"/>
      <w:u w:val="none"/>
    </w:rPr>
  </w:style>
  <w:style w:type="paragraph" w:customStyle="1" w:styleId="BodyTextRight">
    <w:name w:val="Body Text Right"/>
    <w:basedOn w:val="BodyText"/>
    <w:rsid w:val="00C074A1"/>
    <w:pPr>
      <w:spacing w:before="0" w:after="0"/>
      <w:jc w:val="right"/>
    </w:pPr>
  </w:style>
  <w:style w:type="paragraph" w:styleId="Index3">
    <w:name w:val="index 3"/>
    <w:basedOn w:val="ListNumber2"/>
    <w:next w:val="Normal"/>
    <w:semiHidden/>
    <w:rsid w:val="00C074A1"/>
    <w:pPr>
      <w:numPr>
        <w:numId w:val="0"/>
      </w:numPr>
      <w:tabs>
        <w:tab w:val="right" w:leader="dot" w:pos="4176"/>
      </w:tabs>
    </w:pPr>
  </w:style>
  <w:style w:type="paragraph" w:styleId="ListNumber2">
    <w:name w:val="List Number 2"/>
    <w:basedOn w:val="List2"/>
    <w:rsid w:val="00C074A1"/>
    <w:pPr>
      <w:numPr>
        <w:numId w:val="11"/>
      </w:numPr>
      <w:tabs>
        <w:tab w:val="clear" w:pos="1060"/>
      </w:tabs>
    </w:pPr>
  </w:style>
  <w:style w:type="paragraph" w:customStyle="1" w:styleId="MarginNote">
    <w:name w:val="Margin Note"/>
    <w:basedOn w:val="BodyText"/>
    <w:rsid w:val="00C074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4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4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4A1"/>
    <w:rPr>
      <w:sz w:val="32"/>
    </w:rPr>
  </w:style>
  <w:style w:type="paragraph" w:customStyle="1" w:styleId="HeadingProcedure">
    <w:name w:val="Heading Procedure"/>
    <w:basedOn w:val="HeadingBase"/>
    <w:next w:val="Normal"/>
    <w:rsid w:val="00C074A1"/>
    <w:pPr>
      <w:tabs>
        <w:tab w:val="left" w:pos="0"/>
      </w:tabs>
      <w:spacing w:before="120" w:after="60"/>
    </w:pPr>
    <w:rPr>
      <w:i/>
      <w:color w:val="918585"/>
      <w:sz w:val="22"/>
    </w:rPr>
  </w:style>
  <w:style w:type="paragraph" w:customStyle="1" w:styleId="TableBodyText">
    <w:name w:val="Table Body Text"/>
    <w:basedOn w:val="BodyText"/>
    <w:rsid w:val="00C074A1"/>
    <w:pPr>
      <w:spacing w:before="60" w:after="60"/>
    </w:pPr>
  </w:style>
  <w:style w:type="paragraph" w:styleId="ListContinue">
    <w:name w:val="List Continue"/>
    <w:basedOn w:val="List"/>
    <w:rsid w:val="00C074A1"/>
    <w:pPr>
      <w:ind w:firstLine="0"/>
    </w:pPr>
  </w:style>
  <w:style w:type="paragraph" w:customStyle="1" w:styleId="ListNote">
    <w:name w:val="List Note"/>
    <w:basedOn w:val="List"/>
    <w:rsid w:val="00C074A1"/>
    <w:pPr>
      <w:pBdr>
        <w:top w:val="single" w:sz="6" w:space="2" w:color="918585"/>
        <w:bottom w:val="single" w:sz="6" w:space="2" w:color="918585"/>
      </w:pBdr>
      <w:tabs>
        <w:tab w:val="left" w:pos="1021"/>
      </w:tabs>
      <w:ind w:firstLine="0"/>
    </w:pPr>
  </w:style>
  <w:style w:type="paragraph" w:customStyle="1" w:styleId="Warning">
    <w:name w:val="Warning"/>
    <w:basedOn w:val="BodyText"/>
    <w:rsid w:val="00C074A1"/>
    <w:pPr>
      <w:shd w:val="clear" w:color="auto" w:fill="D9D9D9"/>
      <w:tabs>
        <w:tab w:val="left" w:pos="992"/>
      </w:tabs>
      <w:ind w:left="119" w:right="119"/>
    </w:pPr>
    <w:rPr>
      <w:sz w:val="20"/>
    </w:rPr>
  </w:style>
  <w:style w:type="paragraph" w:customStyle="1" w:styleId="MarginIcons">
    <w:name w:val="Margin Icons"/>
    <w:basedOn w:val="BodyText"/>
    <w:rsid w:val="00C074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4A1"/>
    <w:rPr>
      <w:rFonts w:ascii="Courier New" w:hAnsi="Courier New"/>
    </w:rPr>
  </w:style>
  <w:style w:type="paragraph" w:customStyle="1" w:styleId="NoteBullet">
    <w:name w:val="Note Bullet"/>
    <w:basedOn w:val="Note"/>
    <w:rsid w:val="00C074A1"/>
    <w:pPr>
      <w:tabs>
        <w:tab w:val="clear" w:pos="680"/>
      </w:tabs>
      <w:spacing w:before="60" w:after="60"/>
    </w:pPr>
  </w:style>
  <w:style w:type="paragraph" w:customStyle="1" w:styleId="SubHeading2">
    <w:name w:val="SubHeading2"/>
    <w:basedOn w:val="HeadingBase"/>
    <w:rsid w:val="00C074A1"/>
    <w:pPr>
      <w:spacing w:before="240" w:after="60"/>
    </w:pPr>
    <w:rPr>
      <w:sz w:val="20"/>
    </w:rPr>
  </w:style>
  <w:style w:type="paragraph" w:customStyle="1" w:styleId="SubHeading1">
    <w:name w:val="SubHeading1"/>
    <w:basedOn w:val="HeadingBase"/>
    <w:rsid w:val="00C074A1"/>
    <w:pPr>
      <w:spacing w:before="240" w:after="60"/>
    </w:pPr>
    <w:rPr>
      <w:color w:val="918585"/>
      <w:sz w:val="22"/>
    </w:rPr>
  </w:style>
  <w:style w:type="paragraph" w:customStyle="1" w:styleId="SideHeading">
    <w:name w:val="Side Heading"/>
    <w:basedOn w:val="HeadingBase"/>
    <w:rsid w:val="00C074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4A1"/>
    <w:pPr>
      <w:numPr>
        <w:numId w:val="13"/>
      </w:numPr>
    </w:pPr>
  </w:style>
  <w:style w:type="paragraph" w:styleId="PlainText">
    <w:name w:val="Plain Text"/>
    <w:basedOn w:val="Normal"/>
    <w:link w:val="PlainTextChar"/>
    <w:rsid w:val="00C074A1"/>
    <w:rPr>
      <w:sz w:val="20"/>
    </w:rPr>
  </w:style>
  <w:style w:type="character" w:customStyle="1" w:styleId="PlainTextChar">
    <w:name w:val="Plain Text Char"/>
    <w:basedOn w:val="DefaultParagraphFont"/>
    <w:link w:val="PlainText"/>
    <w:rsid w:val="00C074A1"/>
    <w:rPr>
      <w:rFonts w:ascii="Courier New" w:eastAsia="Times New Roman" w:hAnsi="Courier New" w:cs="Times New Roman"/>
      <w:sz w:val="20"/>
      <w:szCs w:val="20"/>
      <w:lang w:eastAsia="en-US"/>
    </w:rPr>
  </w:style>
  <w:style w:type="character" w:customStyle="1" w:styleId="MenuOption">
    <w:name w:val="Menu Option"/>
    <w:basedOn w:val="DefaultParagraphFont"/>
    <w:rsid w:val="00C074A1"/>
    <w:rPr>
      <w:b/>
      <w:smallCaps/>
    </w:rPr>
  </w:style>
  <w:style w:type="paragraph" w:customStyle="1" w:styleId="TableListNumber">
    <w:name w:val="Table List Number"/>
    <w:basedOn w:val="ListNumber"/>
    <w:rsid w:val="00C074A1"/>
    <w:pPr>
      <w:numPr>
        <w:numId w:val="0"/>
      </w:numPr>
    </w:pPr>
  </w:style>
  <w:style w:type="paragraph" w:styleId="TOC4">
    <w:name w:val="toc 4"/>
    <w:basedOn w:val="TOCBase"/>
    <w:next w:val="Normal"/>
    <w:semiHidden/>
    <w:rsid w:val="00C074A1"/>
    <w:pPr>
      <w:tabs>
        <w:tab w:val="right" w:leader="dot" w:pos="9071"/>
      </w:tabs>
      <w:ind w:left="1701"/>
    </w:pPr>
  </w:style>
  <w:style w:type="paragraph" w:customStyle="1" w:styleId="ListAlpha">
    <w:name w:val="List Alpha"/>
    <w:basedOn w:val="List"/>
    <w:rsid w:val="00C074A1"/>
    <w:pPr>
      <w:numPr>
        <w:numId w:val="10"/>
      </w:numPr>
    </w:pPr>
  </w:style>
  <w:style w:type="paragraph" w:customStyle="1" w:styleId="ListAlpha2">
    <w:name w:val="List Alpha 2"/>
    <w:basedOn w:val="List2"/>
    <w:rsid w:val="00C074A1"/>
    <w:pPr>
      <w:numPr>
        <w:numId w:val="9"/>
      </w:numPr>
    </w:pPr>
  </w:style>
  <w:style w:type="paragraph" w:styleId="List3">
    <w:name w:val="List 3"/>
    <w:basedOn w:val="BodyText"/>
    <w:rsid w:val="00C074A1"/>
    <w:pPr>
      <w:tabs>
        <w:tab w:val="left" w:pos="1021"/>
      </w:tabs>
      <w:spacing w:before="60" w:after="60"/>
      <w:ind w:left="1020" w:hanging="340"/>
    </w:pPr>
  </w:style>
  <w:style w:type="paragraph" w:styleId="List4">
    <w:name w:val="List 4"/>
    <w:basedOn w:val="BodyText"/>
    <w:rsid w:val="00C074A1"/>
    <w:pPr>
      <w:tabs>
        <w:tab w:val="left" w:pos="1361"/>
      </w:tabs>
      <w:spacing w:before="60" w:after="60"/>
      <w:ind w:left="1361" w:hanging="340"/>
    </w:pPr>
  </w:style>
  <w:style w:type="paragraph" w:styleId="List5">
    <w:name w:val="List 5"/>
    <w:basedOn w:val="BodyText"/>
    <w:rsid w:val="00C074A1"/>
    <w:pPr>
      <w:tabs>
        <w:tab w:val="left" w:pos="1701"/>
      </w:tabs>
      <w:spacing w:before="60" w:after="60"/>
      <w:ind w:left="1701" w:hanging="340"/>
    </w:pPr>
  </w:style>
  <w:style w:type="paragraph" w:styleId="ListBullet4">
    <w:name w:val="List Bullet 4"/>
    <w:basedOn w:val="List4"/>
    <w:rsid w:val="00C074A1"/>
    <w:pPr>
      <w:numPr>
        <w:numId w:val="4"/>
      </w:numPr>
      <w:tabs>
        <w:tab w:val="clear" w:pos="1361"/>
      </w:tabs>
    </w:pPr>
  </w:style>
  <w:style w:type="paragraph" w:styleId="ListBullet5">
    <w:name w:val="List Bullet 5"/>
    <w:basedOn w:val="List5"/>
    <w:rsid w:val="00C074A1"/>
    <w:pPr>
      <w:numPr>
        <w:numId w:val="5"/>
      </w:numPr>
    </w:pPr>
  </w:style>
  <w:style w:type="paragraph" w:styleId="ListContinue2">
    <w:name w:val="List Continue 2"/>
    <w:basedOn w:val="List2"/>
    <w:rsid w:val="00C074A1"/>
    <w:pPr>
      <w:ind w:firstLine="0"/>
    </w:pPr>
  </w:style>
  <w:style w:type="paragraph" w:styleId="ListContinue3">
    <w:name w:val="List Continue 3"/>
    <w:basedOn w:val="List3"/>
    <w:rsid w:val="00C074A1"/>
    <w:pPr>
      <w:ind w:left="1021" w:firstLine="0"/>
    </w:pPr>
  </w:style>
  <w:style w:type="paragraph" w:styleId="ListContinue4">
    <w:name w:val="List Continue 4"/>
    <w:basedOn w:val="List4"/>
    <w:rsid w:val="00C074A1"/>
    <w:pPr>
      <w:ind w:firstLine="0"/>
    </w:pPr>
  </w:style>
  <w:style w:type="paragraph" w:styleId="ListContinue5">
    <w:name w:val="List Continue 5"/>
    <w:basedOn w:val="List5"/>
    <w:rsid w:val="00C074A1"/>
    <w:pPr>
      <w:ind w:firstLine="0"/>
    </w:pPr>
  </w:style>
  <w:style w:type="paragraph" w:styleId="ListNumber3">
    <w:name w:val="List Number 3"/>
    <w:basedOn w:val="List3"/>
    <w:rsid w:val="00C074A1"/>
    <w:pPr>
      <w:numPr>
        <w:numId w:val="6"/>
      </w:numPr>
    </w:pPr>
  </w:style>
  <w:style w:type="paragraph" w:styleId="ListNumber4">
    <w:name w:val="List Number 4"/>
    <w:basedOn w:val="List4"/>
    <w:rsid w:val="00C074A1"/>
    <w:pPr>
      <w:numPr>
        <w:numId w:val="7"/>
      </w:numPr>
    </w:pPr>
  </w:style>
  <w:style w:type="paragraph" w:styleId="ListNumber5">
    <w:name w:val="List Number 5"/>
    <w:basedOn w:val="List5"/>
    <w:rsid w:val="00C074A1"/>
    <w:pPr>
      <w:numPr>
        <w:numId w:val="8"/>
      </w:numPr>
    </w:pPr>
  </w:style>
  <w:style w:type="paragraph" w:styleId="BlockText">
    <w:name w:val="Block Text"/>
    <w:basedOn w:val="Normal"/>
    <w:rsid w:val="00C074A1"/>
    <w:pPr>
      <w:spacing w:after="120"/>
      <w:ind w:left="1440" w:right="1440"/>
    </w:pPr>
  </w:style>
  <w:style w:type="character" w:customStyle="1" w:styleId="Subscript">
    <w:name w:val="Subscript"/>
    <w:basedOn w:val="DefaultParagraphFont"/>
    <w:rsid w:val="00C074A1"/>
    <w:rPr>
      <w:sz w:val="16"/>
      <w:vertAlign w:val="subscript"/>
    </w:rPr>
  </w:style>
  <w:style w:type="character" w:customStyle="1" w:styleId="Superscript">
    <w:name w:val="Superscript"/>
    <w:basedOn w:val="DefaultParagraphFont"/>
    <w:rsid w:val="00C074A1"/>
    <w:rPr>
      <w:sz w:val="16"/>
      <w:vertAlign w:val="superscript"/>
    </w:rPr>
  </w:style>
  <w:style w:type="character" w:customStyle="1" w:styleId="Symbols">
    <w:name w:val="Symbols"/>
    <w:basedOn w:val="DefaultParagraphFont"/>
    <w:rsid w:val="00C074A1"/>
    <w:rPr>
      <w:rFonts w:ascii="Symbol" w:hAnsi="Symbol"/>
    </w:rPr>
  </w:style>
  <w:style w:type="character" w:customStyle="1" w:styleId="MenuOptions">
    <w:name w:val="Menu Options"/>
    <w:basedOn w:val="DefaultParagraphFont"/>
    <w:rsid w:val="00C074A1"/>
    <w:rPr>
      <w:rFonts w:ascii="Arial Narrow" w:hAnsi="Arial Narrow"/>
      <w:smallCaps/>
    </w:rPr>
  </w:style>
  <w:style w:type="character" w:customStyle="1" w:styleId="Buttons">
    <w:name w:val="Buttons"/>
    <w:basedOn w:val="DefaultParagraphFont"/>
    <w:rsid w:val="00C074A1"/>
    <w:rPr>
      <w:b/>
    </w:rPr>
  </w:style>
  <w:style w:type="character" w:customStyle="1" w:styleId="Underlined">
    <w:name w:val="Underlined"/>
    <w:basedOn w:val="DefaultParagraphFont"/>
    <w:rsid w:val="00C074A1"/>
    <w:rPr>
      <w:u w:val="single"/>
    </w:rPr>
  </w:style>
  <w:style w:type="paragraph" w:customStyle="1" w:styleId="TableBodyTextRight">
    <w:name w:val="Table Body Text Right"/>
    <w:basedOn w:val="TableBodyText"/>
    <w:rsid w:val="00C074A1"/>
    <w:pPr>
      <w:widowControl w:val="0"/>
      <w:autoSpaceDE w:val="0"/>
      <w:autoSpaceDN w:val="0"/>
      <w:adjustRightInd w:val="0"/>
      <w:jc w:val="right"/>
    </w:pPr>
    <w:rPr>
      <w:rFonts w:cs="Arial"/>
      <w:szCs w:val="18"/>
    </w:rPr>
  </w:style>
  <w:style w:type="paragraph" w:customStyle="1" w:styleId="CopyrightText">
    <w:name w:val="Copyright Text"/>
    <w:basedOn w:val="BodyText"/>
    <w:rsid w:val="00C074A1"/>
    <w:rPr>
      <w:sz w:val="18"/>
    </w:rPr>
  </w:style>
  <w:style w:type="paragraph" w:customStyle="1" w:styleId="BodySmallRight">
    <w:name w:val="Body Small Right"/>
    <w:basedOn w:val="BodyTextRight"/>
    <w:rsid w:val="00C074A1"/>
    <w:rPr>
      <w:sz w:val="18"/>
      <w:szCs w:val="18"/>
    </w:rPr>
  </w:style>
  <w:style w:type="paragraph" w:customStyle="1" w:styleId="MarginEdition">
    <w:name w:val="Margin Edition"/>
    <w:basedOn w:val="MarginNote"/>
    <w:rsid w:val="00C074A1"/>
    <w:pPr>
      <w:spacing w:before="0" w:after="0"/>
    </w:pPr>
    <w:rPr>
      <w:rFonts w:ascii="Times New Roman" w:hAnsi="Times New Roman"/>
      <w:color w:val="999999"/>
    </w:rPr>
  </w:style>
  <w:style w:type="paragraph" w:customStyle="1" w:styleId="Spacer">
    <w:name w:val="Spacer"/>
    <w:basedOn w:val="Normal"/>
    <w:rsid w:val="00C074A1"/>
    <w:rPr>
      <w:sz w:val="2"/>
      <w:szCs w:val="2"/>
    </w:rPr>
  </w:style>
  <w:style w:type="character" w:customStyle="1" w:styleId="Small">
    <w:name w:val="Small"/>
    <w:basedOn w:val="DefaultParagraphFont"/>
    <w:rsid w:val="00C074A1"/>
    <w:rPr>
      <w:sz w:val="16"/>
    </w:rPr>
  </w:style>
  <w:style w:type="paragraph" w:customStyle="1" w:styleId="WideTable">
    <w:name w:val="Wide Table"/>
    <w:basedOn w:val="Normal"/>
    <w:rsid w:val="00C074A1"/>
    <w:pPr>
      <w:ind w:left="-1418"/>
    </w:pPr>
    <w:rPr>
      <w:sz w:val="2"/>
      <w:szCs w:val="2"/>
    </w:rPr>
  </w:style>
  <w:style w:type="character" w:styleId="PageNumber">
    <w:name w:val="page number"/>
    <w:basedOn w:val="DefaultParagraphFont"/>
    <w:rsid w:val="00C074A1"/>
  </w:style>
  <w:style w:type="paragraph" w:styleId="Quote">
    <w:name w:val="Quote"/>
    <w:basedOn w:val="Heading1"/>
    <w:link w:val="QuoteChar"/>
    <w:qFormat/>
    <w:rsid w:val="00C074A1"/>
    <w:rPr>
      <w:b w:val="0"/>
      <w:sz w:val="72"/>
      <w:szCs w:val="72"/>
      <w:lang w:val="en-NZ"/>
    </w:rPr>
  </w:style>
  <w:style w:type="character" w:customStyle="1" w:styleId="QuoteChar">
    <w:name w:val="Quote Char"/>
    <w:basedOn w:val="DefaultParagraphFont"/>
    <w:link w:val="Quote"/>
    <w:rsid w:val="00C074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4A1"/>
    <w:pPr>
      <w:pageBreakBefore/>
    </w:pPr>
  </w:style>
  <w:style w:type="paragraph" w:customStyle="1" w:styleId="Border">
    <w:name w:val="Border"/>
    <w:basedOn w:val="Normal"/>
    <w:qFormat/>
    <w:rsid w:val="00C074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4A1"/>
    <w:rPr>
      <w:b/>
      <w:bCs/>
      <w:i/>
      <w:iCs/>
      <w:color w:val="auto"/>
    </w:rPr>
  </w:style>
  <w:style w:type="paragraph" w:styleId="IntenseQuote">
    <w:name w:val="Intense Quote"/>
    <w:basedOn w:val="Normal"/>
    <w:next w:val="Normal"/>
    <w:link w:val="IntenseQuoteChar"/>
    <w:uiPriority w:val="30"/>
    <w:qFormat/>
    <w:rsid w:val="00C074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4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4A1"/>
    <w:rPr>
      <w:smallCaps/>
      <w:color w:val="auto"/>
      <w:u w:val="single"/>
    </w:rPr>
  </w:style>
  <w:style w:type="character" w:styleId="IntenseReference">
    <w:name w:val="Intense Reference"/>
    <w:basedOn w:val="DefaultParagraphFont"/>
    <w:uiPriority w:val="32"/>
    <w:qFormat/>
    <w:rsid w:val="00C074A1"/>
    <w:rPr>
      <w:b/>
      <w:bCs/>
      <w:smallCaps/>
      <w:color w:val="auto"/>
      <w:spacing w:val="5"/>
      <w:u w:val="single"/>
    </w:rPr>
  </w:style>
  <w:style w:type="paragraph" w:customStyle="1" w:styleId="2ColumnHeading">
    <w:name w:val="2Column Heading"/>
    <w:basedOn w:val="BodyText"/>
    <w:qFormat/>
    <w:rsid w:val="00C074A1"/>
    <w:pPr>
      <w:spacing w:after="60"/>
      <w:ind w:left="-2268"/>
    </w:pPr>
    <w:rPr>
      <w:b/>
    </w:rPr>
  </w:style>
  <w:style w:type="paragraph" w:customStyle="1" w:styleId="Heading1TOC">
    <w:name w:val="Heading1 TOC"/>
    <w:basedOn w:val="Normal"/>
    <w:qFormat/>
    <w:rsid w:val="00C074A1"/>
    <w:pPr>
      <w:spacing w:before="240" w:after="120"/>
    </w:pPr>
    <w:rPr>
      <w:rFonts w:ascii="Times New Roman" w:hAnsi="Times New Roman"/>
      <w:b/>
      <w:sz w:val="32"/>
    </w:rPr>
  </w:style>
  <w:style w:type="paragraph" w:customStyle="1" w:styleId="Heading2TOC">
    <w:name w:val="Heading2 TOC"/>
    <w:basedOn w:val="Normal"/>
    <w:qFormat/>
    <w:rsid w:val="00C074A1"/>
    <w:pPr>
      <w:spacing w:before="240" w:after="60"/>
    </w:pPr>
    <w:rPr>
      <w:rFonts w:ascii="Times New Roman" w:hAnsi="Times New Roman"/>
      <w:b/>
      <w:sz w:val="28"/>
    </w:rPr>
  </w:style>
  <w:style w:type="character" w:customStyle="1" w:styleId="Underline">
    <w:name w:val="Underline"/>
    <w:basedOn w:val="DefaultParagraphFont"/>
    <w:qFormat/>
    <w:rsid w:val="00C074A1"/>
    <w:rPr>
      <w:u w:val="single"/>
    </w:rPr>
  </w:style>
  <w:style w:type="paragraph" w:styleId="BalloonText">
    <w:name w:val="Balloon Text"/>
    <w:basedOn w:val="Normal"/>
    <w:link w:val="BalloonTextChar"/>
    <w:rsid w:val="00C074A1"/>
    <w:rPr>
      <w:rFonts w:ascii="Tahoma" w:hAnsi="Tahoma" w:cs="Tahoma"/>
      <w:sz w:val="16"/>
      <w:szCs w:val="16"/>
    </w:rPr>
  </w:style>
  <w:style w:type="character" w:customStyle="1" w:styleId="BalloonTextChar">
    <w:name w:val="Balloon Text Char"/>
    <w:basedOn w:val="DefaultParagraphFont"/>
    <w:link w:val="BalloonText"/>
    <w:rsid w:val="00C074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4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74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4A1"/>
    <w:rPr>
      <w:b/>
      <w:color w:val="660033"/>
      <w:spacing w:val="0"/>
    </w:rPr>
  </w:style>
  <w:style w:type="paragraph" w:customStyle="1" w:styleId="Nameditemlist">
    <w:name w:val="Named item list"/>
    <w:basedOn w:val="BodyText"/>
    <w:qFormat/>
    <w:rsid w:val="00C074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1891</Words>
  <Characters>11951</Characters>
  <Application>Microsoft Office Word</Application>
  <DocSecurity>0</DocSecurity>
  <Lines>440</Lines>
  <Paragraphs>245</Paragraphs>
  <ScaleCrop>false</ScaleCrop>
  <Company>Author-it Software Corporation Ltd.</Company>
  <LinksUpToDate>false</LinksUpToDate>
  <CharactersWithSpaces>13764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CPCCDO3011A Perform dogging</dc:title>
  <dc:subject>Approved</dc:subject>
  <dc:creator>Construction &amp; Property Services Industry Skills Council</dc:creator>
  <cp:keywords>Release: 1</cp:keywords>
  <dc:description>Review Date: 12 April 2008</dc:description>
  <cp:lastModifiedBy>TPCMS</cp:lastModifiedBy>
  <cp:revision>3</cp:revision>
  <dcterms:created xsi:type="dcterms:W3CDTF">2016-08-21T23:38:00Z</dcterms:created>
  <dcterms:modified xsi:type="dcterms:W3CDTF">2016-08-21T23:38:00Z</dcterms:modified>
</cp:coreProperties>
</file>