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442" w:rsidP="00426442">
      <w:pPr>
        <w:pStyle w:val="Title"/>
      </w:pPr>
      <w:r>
        <w:fldChar w:fldCharType="begin"/>
      </w:r>
      <w:r>
        <w:instrText xml:space="preserve"> TITLE   \* MERGEFORMAT </w:instrText>
      </w:r>
      <w:r>
        <w:fldChar w:fldCharType="separate"/>
      </w:r>
      <w:r>
        <w:t>CPCCDE4002A Plan and supervise demolition work to minimise environmental and public health and safety impact</w:t>
      </w:r>
      <w:r>
        <w:fldChar w:fldCharType="end"/>
      </w:r>
    </w:p>
    <w:p w:rsidR="00426442" w:rsidP="00426442">
      <w:pPr>
        <w:pStyle w:val="Version"/>
        <w:sectPr w:rsidSect="00050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E14" w:rsidP="00050E14">
      <w:pPr>
        <w:pStyle w:val="SuperHeading"/>
      </w:pPr>
      <w:r w:rsidRPr="00050E14">
        <w:t>CPCCDE4002A Plan and supervise demolition work to minimise environmental and public health and safety impact</w:t>
      </w:r>
    </w:p>
    <w:p w:rsidR="00000000" w:rsidRPr="00050E14" w:rsidP="00050E14">
      <w:pPr>
        <w:pStyle w:val="Heading1"/>
      </w:pPr>
      <w:bookmarkStart w:id="1" w:name="O_619521"/>
      <w:bookmarkEnd w:id="1"/>
      <w:r w:rsidRPr="00050E14">
        <w:t>Modification History</w:t>
      </w:r>
    </w:p>
    <w:p w:rsidR="00000000" w:rsidRPr="00050E14" w:rsidP="00050E14">
      <w:pPr>
        <w:pStyle w:val="BodyText"/>
      </w:pPr>
      <w:r w:rsidRPr="00050E14">
        <w:t>New unit.</w:t>
      </w:r>
    </w:p>
    <w:p w:rsidR="00426442" w:rsidP="00050E14">
      <w:pPr>
        <w:pStyle w:val="BodyText"/>
      </w:pPr>
      <w:r w:rsidRPr="00050E14">
        <w:t>This version first released with CPC08 Construction, Plumbing and Services Training Package Version 9.</w:t>
      </w:r>
    </w:p>
    <w:p w:rsidR="00426442" w:rsidP="00050E14">
      <w:pPr>
        <w:pStyle w:val="BodyText"/>
      </w:pPr>
    </w:p>
    <w:p w:rsidR="00000000" w:rsidRPr="00050E14" w:rsidP="00050E14">
      <w:pPr>
        <w:pStyle w:val="Heading1"/>
      </w:pPr>
      <w:bookmarkStart w:id="2" w:name="O_619522"/>
      <w:bookmarkEnd w:id="2"/>
      <w:r w:rsidRPr="00050E14">
        <w:t>Unit Descriptor</w:t>
      </w:r>
    </w:p>
    <w:p w:rsidR="00000000" w:rsidRPr="00050E14" w:rsidP="00050E14">
      <w:pPr>
        <w:pStyle w:val="BodyText"/>
      </w:pPr>
      <w:r w:rsidRPr="00050E14">
        <w:t>This unit of competency specifies the outcomes required to monitor and manage large demolition projects, including stru</w:t>
      </w:r>
      <w:r w:rsidRPr="00050E14">
        <w:t>ctures or installations above 15 metres, to minimise environmental and public health and safety impact. It includes interpreting and meeting relevant compliance requirements, and developing and implementing proactive measures to exceed them where possible.</w:t>
      </w:r>
    </w:p>
    <w:p w:rsidR="00000000" w:rsidRPr="00050E14" w:rsidP="00050E14">
      <w:pPr>
        <w:pStyle w:val="AllowPageBreak"/>
      </w:pPr>
    </w:p>
    <w:p w:rsidR="00000000" w:rsidRPr="00050E14" w:rsidP="00050E14">
      <w:pPr>
        <w:pStyle w:val="Heading1"/>
      </w:pPr>
      <w:bookmarkStart w:id="3" w:name="O_619523"/>
      <w:bookmarkEnd w:id="3"/>
      <w:r w:rsidRPr="00050E14">
        <w:t>Application of the Unit</w:t>
      </w:r>
    </w:p>
    <w:p w:rsidR="00000000" w:rsidRPr="00050E14" w:rsidP="00050E14">
      <w:pPr>
        <w:pStyle w:val="BodyText"/>
      </w:pPr>
      <w:r w:rsidRPr="00050E14">
        <w:t>This unit of competency supports the work of demolition project management staff responsible for regulatory compliance and minimising environmental contamination and public health and safety impacts on structures o</w:t>
      </w:r>
      <w:r w:rsidRPr="00050E14">
        <w:t>r installations above 15 metres.</w:t>
      </w:r>
    </w:p>
    <w:p w:rsidR="00000000" w:rsidRPr="00050E14" w:rsidP="00050E14">
      <w:pPr>
        <w:pStyle w:val="AllowPageBreak"/>
      </w:pPr>
    </w:p>
    <w:p w:rsidR="00000000" w:rsidRPr="00050E14" w:rsidP="00050E14">
      <w:pPr>
        <w:pStyle w:val="Heading1"/>
      </w:pPr>
      <w:bookmarkStart w:id="4" w:name="O_619524"/>
      <w:bookmarkEnd w:id="4"/>
      <w:r w:rsidRPr="00050E14">
        <w:t>Licensing/Regulatory Information</w:t>
      </w:r>
    </w:p>
    <w:p w:rsidR="00000000" w:rsidRPr="00050E14" w:rsidP="00050E14">
      <w:pPr>
        <w:pStyle w:val="BodyText"/>
      </w:pPr>
      <w:r w:rsidRPr="00050E14">
        <w:t>Licensing, legislative, regulatory or certification requirements apply to demolition work in different States and Territories. Candidates are advised to consult with the rel</w:t>
      </w:r>
      <w:r w:rsidRPr="00050E14">
        <w:t>evant regulatory authorities.</w:t>
      </w:r>
    </w:p>
    <w:p w:rsidR="00000000" w:rsidRPr="00050E14" w:rsidP="00050E14">
      <w:pPr>
        <w:pStyle w:val="AllowPageBreak"/>
      </w:pPr>
    </w:p>
    <w:p w:rsidR="00000000" w:rsidRPr="00050E14" w:rsidP="00050E14">
      <w:pPr>
        <w:pStyle w:val="Heading1"/>
      </w:pPr>
      <w:bookmarkStart w:id="5" w:name="O_619525"/>
      <w:bookmarkEnd w:id="5"/>
      <w:r w:rsidRPr="00050E14">
        <w:t>Pre-Requisites</w:t>
      </w:r>
    </w:p>
    <w:p w:rsidR="00000000" w:rsidRPr="00050E14" w:rsidP="00050E14">
      <w:pPr>
        <w:pStyle w:val="BodyText"/>
      </w:pPr>
      <w:r w:rsidRPr="00050E14">
        <w:t>Nil</w:t>
      </w:r>
    </w:p>
    <w:p w:rsidR="00000000" w:rsidRPr="00050E14" w:rsidP="00050E14">
      <w:pPr>
        <w:pStyle w:val="AllowPageBreak"/>
      </w:pPr>
    </w:p>
    <w:p w:rsidR="00000000" w:rsidRPr="00050E14" w:rsidP="00050E14">
      <w:pPr>
        <w:pStyle w:val="Heading1"/>
      </w:pPr>
      <w:bookmarkStart w:id="6" w:name="O_619526"/>
      <w:bookmarkEnd w:id="6"/>
      <w:r w:rsidRPr="00050E14">
        <w:t>Employability Skills Information</w:t>
      </w:r>
    </w:p>
    <w:p w:rsidR="00000000" w:rsidRPr="00050E14" w:rsidP="00050E14">
      <w:pPr>
        <w:pStyle w:val="BodyText"/>
      </w:pPr>
      <w:r w:rsidRPr="00050E14">
        <w:t>This unit contains employability skills.</w:t>
      </w:r>
    </w:p>
    <w:p w:rsidR="00000000" w:rsidRPr="00050E14" w:rsidP="00050E14">
      <w:pPr>
        <w:pStyle w:val="AllowPageBreak"/>
      </w:pPr>
    </w:p>
    <w:p w:rsidR="00000000" w:rsidRPr="00050E14" w:rsidP="00050E14">
      <w:pPr>
        <w:pStyle w:val="Heading1"/>
      </w:pPr>
      <w:bookmarkStart w:id="7" w:name="O_619527"/>
      <w:bookmarkEnd w:id="7"/>
      <w:r w:rsidRPr="00050E14">
        <w:t>Elements and Performance Criteria Pre-Content</w:t>
      </w:r>
    </w:p>
    <w:tbl>
      <w:tblPr>
        <w:tblW w:w="0" w:type="auto"/>
        <w:tblLayout w:type="fixed"/>
        <w:tblCellMar>
          <w:left w:w="62" w:type="dxa"/>
          <w:right w:w="62" w:type="dxa"/>
        </w:tblCellMar>
        <w:tblLook w:val="0000"/>
      </w:tblPr>
      <w:tblGrid>
        <w:gridCol w:w="2838"/>
        <w:gridCol w:w="5842"/>
      </w:tblGrid>
      <w:tr w:rsidTr="00050E14">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Elements describe the essential outc</w:t>
            </w:r>
            <w:r w:rsidRPr="00050E14">
              <w:t>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50E14" w:rsidP="00050E14">
            <w:pPr>
              <w:pStyle w:val="BodyText"/>
            </w:pPr>
            <w:r w:rsidRPr="00050E14">
              <w:t xml:space="preserve">Performance criteria describe the required performance needed to demonstrate achievement of the element. Where </w:t>
            </w:r>
            <w:r w:rsidRPr="00050E14">
              <w:rPr>
                <w:rStyle w:val="BoldandItalics"/>
              </w:rPr>
              <w:t>bold italicised</w:t>
            </w:r>
            <w:r w:rsidRPr="00050E14">
              <w:t xml:space="preserve"> text is used, further information is detailed in the required skills and knowledge and/or the range</w:t>
            </w:r>
            <w:r w:rsidRPr="00050E14">
              <w:t xml:space="preserve"> statement. Assessment of performance is to be consistent with the evidence guide.</w:t>
            </w:r>
          </w:p>
        </w:tc>
      </w:tr>
    </w:tbl>
    <w:p w:rsidR="00000000" w:rsidRPr="00050E14" w:rsidP="00050E14">
      <w:pPr>
        <w:pStyle w:val="BodyText"/>
      </w:pPr>
    </w:p>
    <w:p w:rsidR="00000000" w:rsidRPr="00050E14" w:rsidP="00050E14">
      <w:pPr>
        <w:pStyle w:val="AllowPageBreak"/>
      </w:pPr>
    </w:p>
    <w:p w:rsidR="00000000" w:rsidRPr="00050E14" w:rsidP="00050E14">
      <w:pPr>
        <w:pStyle w:val="Heading1"/>
      </w:pPr>
      <w:bookmarkStart w:id="8" w:name="O_619528"/>
      <w:bookmarkEnd w:id="8"/>
      <w:r w:rsidRPr="00050E14">
        <w:t>Elements and Performance Criteria</w:t>
      </w:r>
    </w:p>
    <w:p w:rsidR="00000000" w:rsidRPr="00050E14" w:rsidP="00050E14">
      <w:pPr>
        <w:pStyle w:val="BodyText"/>
      </w:pPr>
    </w:p>
    <w:tbl>
      <w:tblPr>
        <w:tblW w:w="0" w:type="auto"/>
        <w:tblLayout w:type="fixed"/>
        <w:tblCellMar>
          <w:left w:w="62" w:type="dxa"/>
          <w:right w:w="62" w:type="dxa"/>
        </w:tblCellMar>
        <w:tblLook w:val="0000"/>
      </w:tblPr>
      <w:tblGrid>
        <w:gridCol w:w="678"/>
        <w:gridCol w:w="1962"/>
        <w:gridCol w:w="770"/>
        <w:gridCol w:w="5610"/>
      </w:tblGrid>
      <w:tr w:rsidTr="00050E1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1</w:t>
            </w:r>
          </w:p>
        </w:tc>
        <w:tc>
          <w:tcPr>
            <w:tcW w:w="1962" w:type="dxa"/>
            <w:vMerge w:val="restart"/>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Assess potential impacts of demolition tasks.</w:t>
            </w: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1.1</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Environmental and public health and safety compliance requirements for the demolition site and geographic locality are determined.</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1.2</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 xml:space="preserve">Safe work method statements (SWMS) for individual demolition tasks are reviewed and potential </w:t>
            </w:r>
            <w:r w:rsidRPr="00050E14">
              <w:rPr>
                <w:rStyle w:val="BoldandItalics"/>
              </w:rPr>
              <w:t xml:space="preserve">impacts on environment </w:t>
            </w:r>
            <w:r w:rsidRPr="00050E14">
              <w:t>a</w:t>
            </w:r>
            <w:r w:rsidRPr="00050E14">
              <w:t>re determined.</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1.3</w:t>
            </w:r>
          </w:p>
        </w:tc>
        <w:tc>
          <w:tcPr>
            <w:tcW w:w="5610" w:type="dxa"/>
            <w:tcBorders>
              <w:top w:val="nil"/>
              <w:left w:val="nil"/>
              <w:bottom w:val="nil"/>
              <w:right w:val="nil"/>
            </w:tcBorders>
            <w:tcMar>
              <w:top w:w="0" w:type="dxa"/>
              <w:left w:w="62" w:type="dxa"/>
              <w:bottom w:w="0" w:type="dxa"/>
              <w:right w:w="62" w:type="dxa"/>
            </w:tcMar>
          </w:tcPr>
          <w:p w:rsidR="00000000" w:rsidRPr="00050E14" w:rsidP="00050E14">
            <w:pPr>
              <w:pStyle w:val="BodyText"/>
            </w:pPr>
            <w:r w:rsidRPr="00050E14">
              <w:t xml:space="preserve">Safe work method statements for individual demolition tasks are reviewed and potential </w:t>
            </w:r>
            <w:r w:rsidRPr="00050E14">
              <w:rPr>
                <w:rStyle w:val="BoldandItalics"/>
              </w:rPr>
              <w:t>impacts on public health and safety</w:t>
            </w:r>
            <w:r w:rsidRPr="00050E14">
              <w:t xml:space="preserve"> are determined.</w:t>
            </w:r>
          </w:p>
        </w:tc>
      </w:tr>
    </w:tbl>
    <w:p w:rsidR="00000000" w:rsidRPr="00050E14" w:rsidP="00050E14">
      <w:pPr>
        <w:pStyle w:val="BodyText"/>
      </w:pPr>
    </w:p>
    <w:tbl>
      <w:tblPr>
        <w:tblW w:w="0" w:type="auto"/>
        <w:tblLayout w:type="fixed"/>
        <w:tblCellMar>
          <w:left w:w="62" w:type="dxa"/>
          <w:right w:w="62" w:type="dxa"/>
        </w:tblCellMar>
        <w:tblLook w:val="0000"/>
      </w:tblPr>
      <w:tblGrid>
        <w:gridCol w:w="678"/>
        <w:gridCol w:w="1962"/>
        <w:gridCol w:w="770"/>
        <w:gridCol w:w="5610"/>
      </w:tblGrid>
      <w:tr w:rsidTr="00050E1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2</w:t>
            </w:r>
          </w:p>
        </w:tc>
        <w:tc>
          <w:tcPr>
            <w:tcW w:w="1962" w:type="dxa"/>
            <w:vMerge w:val="restart"/>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Identify measures to minimise impacts of demolition work on the environment.</w:t>
            </w: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2.1</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Strategies to minimise impacts on air quality are investigated, selected and incorporated into procedures.</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2.2</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Strategies to minimise water wastage and impacts on stormwater are investigated, selected and incorporated into procedures.</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2.3</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Strategies to minimise energy wastage and employ renewable energy technologies are investigated, selected and incorporated into procedures.</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2.4</w:t>
            </w:r>
          </w:p>
        </w:tc>
        <w:tc>
          <w:tcPr>
            <w:tcW w:w="5610" w:type="dxa"/>
            <w:tcBorders>
              <w:top w:val="nil"/>
              <w:left w:val="nil"/>
              <w:bottom w:val="nil"/>
              <w:right w:val="nil"/>
            </w:tcBorders>
            <w:tcMar>
              <w:top w:w="0" w:type="dxa"/>
              <w:left w:w="62" w:type="dxa"/>
              <w:bottom w:w="0" w:type="dxa"/>
              <w:right w:w="62" w:type="dxa"/>
            </w:tcMar>
          </w:tcPr>
          <w:p w:rsidR="00000000" w:rsidRPr="00050E14" w:rsidP="00050E14">
            <w:pPr>
              <w:pStyle w:val="BodyText"/>
            </w:pPr>
            <w:r w:rsidRPr="00050E14">
              <w:t>Strategies to minimise material wastage and to ensure safe disposal of hazardous and waste materials are inve</w:t>
            </w:r>
            <w:r w:rsidRPr="00050E14">
              <w:t>stigated, selected and incorporated into procedures.</w:t>
            </w:r>
          </w:p>
        </w:tc>
      </w:tr>
    </w:tbl>
    <w:p w:rsidR="00000000" w:rsidRPr="00050E14" w:rsidP="00050E14">
      <w:pPr>
        <w:pStyle w:val="BodyText"/>
      </w:pPr>
    </w:p>
    <w:tbl>
      <w:tblPr>
        <w:tblW w:w="0" w:type="auto"/>
        <w:tblLayout w:type="fixed"/>
        <w:tblCellMar>
          <w:left w:w="62" w:type="dxa"/>
          <w:right w:w="62" w:type="dxa"/>
        </w:tblCellMar>
        <w:tblLook w:val="0000"/>
      </w:tblPr>
      <w:tblGrid>
        <w:gridCol w:w="678"/>
        <w:gridCol w:w="1962"/>
        <w:gridCol w:w="770"/>
        <w:gridCol w:w="5610"/>
      </w:tblGrid>
      <w:tr w:rsidTr="00050E1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3</w:t>
            </w:r>
          </w:p>
        </w:tc>
        <w:tc>
          <w:tcPr>
            <w:tcW w:w="1962" w:type="dxa"/>
            <w:vMerge w:val="restart"/>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Identify measures to minimise impacts of demolition work on the public.</w:t>
            </w: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3.1</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 xml:space="preserve">Site containment, exclusion and signage strategies are reviewed and amended to maximise awareness of, and minimise impacts </w:t>
            </w:r>
            <w:r w:rsidRPr="00050E14">
              <w:t>on, the public.</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3.2</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Pedestrian and traffic management plan for site and site perimeter is reviewed and amended to minimise risks to the public.</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3.3</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Fall prevention strategies for both personnel and materials are reviewed and amended to minimise risks to site personnel and the public.</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3.4</w:t>
            </w:r>
          </w:p>
        </w:tc>
        <w:tc>
          <w:tcPr>
            <w:tcW w:w="5610" w:type="dxa"/>
            <w:tcBorders>
              <w:top w:val="nil"/>
              <w:left w:val="nil"/>
              <w:bottom w:val="nil"/>
              <w:right w:val="nil"/>
            </w:tcBorders>
            <w:tcMar>
              <w:top w:w="0" w:type="dxa"/>
              <w:left w:w="62" w:type="dxa"/>
              <w:bottom w:w="0" w:type="dxa"/>
              <w:right w:w="62" w:type="dxa"/>
            </w:tcMar>
          </w:tcPr>
          <w:p w:rsidR="00000000" w:rsidRPr="00050E14" w:rsidP="00050E14">
            <w:pPr>
              <w:pStyle w:val="BodyText"/>
            </w:pPr>
            <w:r w:rsidRPr="00050E14">
              <w:t>Noise, air pollution and vibration management strategies are reviewed and amended to minimise impact on the publ</w:t>
            </w:r>
            <w:r w:rsidRPr="00050E14">
              <w:t>ic.</w:t>
            </w:r>
          </w:p>
        </w:tc>
      </w:tr>
    </w:tbl>
    <w:p w:rsidR="00000000" w:rsidRPr="00050E14" w:rsidP="00050E14">
      <w:pPr>
        <w:pStyle w:val="BodyText"/>
      </w:pPr>
    </w:p>
    <w:tbl>
      <w:tblPr>
        <w:tblW w:w="0" w:type="auto"/>
        <w:tblLayout w:type="fixed"/>
        <w:tblCellMar>
          <w:left w:w="62" w:type="dxa"/>
          <w:right w:w="62" w:type="dxa"/>
        </w:tblCellMar>
        <w:tblLook w:val="0000"/>
      </w:tblPr>
      <w:tblGrid>
        <w:gridCol w:w="678"/>
        <w:gridCol w:w="1962"/>
        <w:gridCol w:w="770"/>
        <w:gridCol w:w="5610"/>
      </w:tblGrid>
      <w:tr w:rsidTr="00050E1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4</w:t>
            </w:r>
          </w:p>
        </w:tc>
        <w:tc>
          <w:tcPr>
            <w:tcW w:w="1962" w:type="dxa"/>
            <w:vMerge w:val="restart"/>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Brief team and supervise implementation of impact minimisation strategies.</w:t>
            </w: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4.1</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Strategies for minimising impact of demolition work on the environment and on public health and safety are explained to demolition teams.</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4.2</w:t>
            </w:r>
          </w:p>
        </w:tc>
        <w:tc>
          <w:tcPr>
            <w:tcW w:w="561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Amended safe work method statements are distributed and questions invited and responded to, as required.</w:t>
            </w:r>
          </w:p>
        </w:tc>
      </w:tr>
      <w:tr w:rsidTr="00050E1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4.3</w:t>
            </w:r>
          </w:p>
        </w:tc>
        <w:tc>
          <w:tcPr>
            <w:tcW w:w="5610" w:type="dxa"/>
            <w:tcBorders>
              <w:top w:val="nil"/>
              <w:left w:val="nil"/>
              <w:bottom w:val="nil"/>
              <w:right w:val="nil"/>
            </w:tcBorders>
            <w:tcMar>
              <w:top w:w="0" w:type="dxa"/>
              <w:left w:w="62" w:type="dxa"/>
              <w:bottom w:w="0" w:type="dxa"/>
              <w:right w:w="62" w:type="dxa"/>
            </w:tcMar>
          </w:tcPr>
          <w:p w:rsidR="00000000" w:rsidRPr="00050E14" w:rsidP="00050E14">
            <w:pPr>
              <w:pStyle w:val="BodyText"/>
            </w:pPr>
            <w:r w:rsidRPr="00050E14">
              <w:t xml:space="preserve">Implementation of strategies to minimise impact of demolition work on the environment and on public health and safety is monitored and directed. </w:t>
            </w:r>
          </w:p>
        </w:tc>
      </w:tr>
    </w:tbl>
    <w:p w:rsidR="00426442" w:rsidP="00050E14">
      <w:pPr>
        <w:pStyle w:val="BodyText"/>
      </w:pPr>
    </w:p>
    <w:p w:rsidR="00426442" w:rsidP="00050E14">
      <w:pPr>
        <w:pStyle w:val="BodyText"/>
      </w:pPr>
    </w:p>
    <w:p w:rsidR="00000000" w:rsidRPr="00050E14" w:rsidP="00050E14">
      <w:pPr>
        <w:pStyle w:val="Heading1"/>
      </w:pPr>
      <w:bookmarkStart w:id="9" w:name="O_619529"/>
      <w:bookmarkEnd w:id="9"/>
      <w:r w:rsidRPr="00050E14">
        <w:t>Required Skills and Knowledge</w:t>
      </w:r>
    </w:p>
    <w:tbl>
      <w:tblPr>
        <w:tblW w:w="0" w:type="auto"/>
        <w:tblLayout w:type="fixed"/>
        <w:tblCellMar>
          <w:left w:w="62" w:type="dxa"/>
          <w:right w:w="62" w:type="dxa"/>
        </w:tblCellMar>
        <w:tblLook w:val="0000"/>
      </w:tblPr>
      <w:tblGrid>
        <w:gridCol w:w="9134"/>
      </w:tblGrid>
      <w:tr w:rsidTr="00050E1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This section describes the skills and knowledge required for</w:t>
            </w:r>
            <w:r w:rsidRPr="00050E14">
              <w:t xml:space="preserve"> this unit.</w:t>
            </w:r>
          </w:p>
        </w:tc>
      </w:tr>
      <w:tr w:rsidTr="00050E1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rPr>
                <w:rStyle w:val="SpecialBold"/>
              </w:rPr>
              <w:t>Required skills</w:t>
            </w:r>
          </w:p>
        </w:tc>
      </w:tr>
      <w:tr w:rsidTr="00050E1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50E14" w:rsidP="00050E14">
            <w:pPr>
              <w:pStyle w:val="ListBullet"/>
            </w:pPr>
            <w:r w:rsidRPr="00050E14">
              <w:t xml:space="preserve">learning skills to: </w:t>
            </w:r>
          </w:p>
          <w:p w:rsidR="00000000" w:rsidRPr="00050E14" w:rsidP="00050E14">
            <w:pPr>
              <w:pStyle w:val="ListBullet2"/>
            </w:pPr>
            <w:r w:rsidRPr="00050E14">
              <w:t>respond to change, such as differences in environmental and public health and safety standards required by clients</w:t>
            </w:r>
          </w:p>
          <w:p w:rsidR="00000000" w:rsidRPr="00050E14" w:rsidP="00050E14">
            <w:pPr>
              <w:pStyle w:val="ListBullet2"/>
            </w:pPr>
            <w:r w:rsidRPr="00050E14">
              <w:t>use past experience to develop and implement solutions to problems</w:t>
            </w:r>
          </w:p>
          <w:p w:rsidR="00000000" w:rsidRPr="00050E14" w:rsidP="00050E14">
            <w:pPr>
              <w:pStyle w:val="ListBullet"/>
            </w:pPr>
            <w:r w:rsidRPr="00050E14">
              <w:t>numeracy skills to calculate or estimate:</w:t>
            </w:r>
          </w:p>
          <w:p w:rsidR="00000000" w:rsidRPr="00050E14" w:rsidP="00050E14">
            <w:pPr>
              <w:pStyle w:val="ListBullet2"/>
            </w:pPr>
            <w:r w:rsidRPr="00050E14">
              <w:t>energy use</w:t>
            </w:r>
          </w:p>
          <w:p w:rsidR="00000000" w:rsidRPr="00050E14" w:rsidP="00050E14">
            <w:pPr>
              <w:pStyle w:val="ListBullet2"/>
            </w:pPr>
            <w:r w:rsidRPr="00050E14">
              <w:t>predicted volume of waste</w:t>
            </w:r>
          </w:p>
          <w:p w:rsidR="00000000" w:rsidRPr="00050E14" w:rsidP="00050E14">
            <w:pPr>
              <w:pStyle w:val="ListBullet"/>
            </w:pPr>
            <w:r w:rsidRPr="00050E14">
              <w:t>oral communication skills to:</w:t>
            </w:r>
          </w:p>
          <w:p w:rsidR="00000000" w:rsidRPr="00050E14" w:rsidP="00050E14">
            <w:pPr>
              <w:pStyle w:val="ListBullet2"/>
            </w:pPr>
            <w:r w:rsidRPr="00050E14">
              <w:t xml:space="preserve">motivate and direct team members </w:t>
            </w:r>
          </w:p>
          <w:p w:rsidR="00000000" w:rsidRPr="00050E14" w:rsidP="00050E14">
            <w:pPr>
              <w:pStyle w:val="ListBullet2"/>
            </w:pPr>
            <w:r w:rsidRPr="00050E14">
              <w:t>develop and maintain relationships with clients and other relevant personnel</w:t>
            </w:r>
          </w:p>
          <w:p w:rsidR="00000000" w:rsidRPr="00050E14" w:rsidP="00050E14">
            <w:pPr>
              <w:pStyle w:val="ListBullet"/>
            </w:pPr>
            <w:r w:rsidRPr="00050E14">
              <w:t>reading skills to interpret work</w:t>
            </w:r>
            <w:r w:rsidRPr="00050E14">
              <w:t xml:space="preserve"> specifications </w:t>
            </w:r>
          </w:p>
          <w:p w:rsidR="00000000" w:rsidP="00050E14">
            <w:pPr>
              <w:pStyle w:val="ListBullet"/>
              <w:rPr>
                <w:lang w:val="en-NZ"/>
              </w:rPr>
            </w:pPr>
            <w:r w:rsidRPr="00050E14">
              <w:t>writing skills to amend work procedures and safe work method statements</w:t>
            </w:r>
          </w:p>
        </w:tc>
      </w:tr>
      <w:tr w:rsidTr="00050E1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50E14" w:rsidP="00050E14">
            <w:pPr>
              <w:pStyle w:val="BodyText"/>
            </w:pPr>
          </w:p>
          <w:p w:rsidR="00000000" w:rsidP="00050E14">
            <w:pPr>
              <w:pStyle w:val="BodyText"/>
              <w:rPr>
                <w:lang w:val="en-NZ"/>
              </w:rPr>
            </w:pPr>
            <w:r w:rsidRPr="00050E14">
              <w:rPr>
                <w:rStyle w:val="SpecialBold"/>
              </w:rPr>
              <w:t>Required knowledge</w:t>
            </w:r>
          </w:p>
        </w:tc>
      </w:tr>
      <w:tr w:rsidTr="00050E14">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50E14" w:rsidP="00050E14">
            <w:pPr>
              <w:pStyle w:val="ListBullet"/>
            </w:pPr>
            <w:r w:rsidRPr="00050E14">
              <w:t>demolition procedures, techniques and safety requirements</w:t>
            </w:r>
          </w:p>
          <w:p w:rsidR="00000000" w:rsidRPr="00050E14" w:rsidP="00050E14">
            <w:pPr>
              <w:pStyle w:val="ListBullet"/>
            </w:pPr>
            <w:r w:rsidRPr="00050E14">
              <w:t>demolition site inspection procedures</w:t>
            </w:r>
          </w:p>
          <w:p w:rsidR="00000000" w:rsidRPr="00050E14" w:rsidP="00050E14">
            <w:pPr>
              <w:pStyle w:val="ListBullet"/>
            </w:pPr>
            <w:r w:rsidRPr="00050E14">
              <w:t>environmental and public health and safety hazards and risks existing or arising on demolition sites, and relevant risk management strategies</w:t>
            </w:r>
          </w:p>
          <w:p w:rsidR="00000000" w:rsidRPr="00050E14" w:rsidP="00050E14">
            <w:pPr>
              <w:pStyle w:val="ListBullet"/>
            </w:pPr>
            <w:r w:rsidRPr="00050E14">
              <w:t>legislation, regulations, codes and standards relating to environmental and public health and safety on demolition</w:t>
            </w:r>
            <w:r w:rsidRPr="00050E14">
              <w:t xml:space="preserve"> sites</w:t>
            </w:r>
          </w:p>
          <w:p w:rsidR="00000000" w:rsidRPr="00050E14" w:rsidP="00050E14">
            <w:pPr>
              <w:pStyle w:val="ListBullet"/>
            </w:pPr>
            <w:r w:rsidRPr="00050E14">
              <w:t>plant, tools and equipment required for demolition tasks and:</w:t>
            </w:r>
          </w:p>
          <w:p w:rsidR="00000000" w:rsidRPr="00050E14" w:rsidP="00050E14">
            <w:pPr>
              <w:pStyle w:val="ListBullet2"/>
            </w:pPr>
            <w:r w:rsidRPr="00050E14">
              <w:t>permits and licences required</w:t>
            </w:r>
          </w:p>
          <w:p w:rsidR="00000000" w:rsidRPr="00050E14" w:rsidP="00050E14">
            <w:pPr>
              <w:pStyle w:val="ListBullet2"/>
            </w:pPr>
            <w:r w:rsidRPr="00050E14">
              <w:t>safe operating procedures</w:t>
            </w:r>
          </w:p>
          <w:p w:rsidR="00000000" w:rsidRPr="00050E14" w:rsidP="00050E14">
            <w:pPr>
              <w:pStyle w:val="ListBullet"/>
            </w:pPr>
            <w:r w:rsidRPr="00050E14">
              <w:t>project management strategies</w:t>
            </w:r>
          </w:p>
          <w:p w:rsidR="00000000" w:rsidRPr="00050E14" w:rsidP="00050E14">
            <w:pPr>
              <w:pStyle w:val="ListBullet"/>
            </w:pPr>
            <w:r w:rsidRPr="00050E14">
              <w:t>quality management strategies</w:t>
            </w:r>
          </w:p>
          <w:p w:rsidR="00000000" w:rsidRPr="00050E14" w:rsidP="00050E14">
            <w:pPr>
              <w:pStyle w:val="ListBullet"/>
            </w:pPr>
            <w:r w:rsidRPr="00050E14">
              <w:t>strategies to minimise environmental and public health and safety risks on and around demolition sites</w:t>
            </w:r>
          </w:p>
          <w:p w:rsidR="00000000" w:rsidRPr="00050E14" w:rsidP="00050E14">
            <w:pPr>
              <w:pStyle w:val="ListBullet"/>
            </w:pPr>
            <w:r w:rsidRPr="00050E14">
              <w:t>team leadership strategies</w:t>
            </w:r>
          </w:p>
        </w:tc>
      </w:tr>
    </w:tbl>
    <w:p w:rsidR="00000000" w:rsidRPr="00050E14" w:rsidP="00050E14">
      <w:pPr>
        <w:pStyle w:val="BodyText"/>
      </w:pPr>
    </w:p>
    <w:p w:rsidR="00000000" w:rsidRPr="00050E14" w:rsidP="00050E14">
      <w:pPr>
        <w:pStyle w:val="AllowPageBreak"/>
      </w:pPr>
    </w:p>
    <w:p w:rsidR="00000000" w:rsidRPr="00050E14" w:rsidP="00050E14">
      <w:pPr>
        <w:pStyle w:val="Heading1"/>
      </w:pPr>
      <w:bookmarkStart w:id="10" w:name="O_619530"/>
      <w:bookmarkEnd w:id="10"/>
      <w:r w:rsidRPr="00050E14">
        <w:t>Evidence Guide</w:t>
      </w:r>
    </w:p>
    <w:tbl>
      <w:tblPr>
        <w:tblW w:w="0" w:type="auto"/>
        <w:tblLayout w:type="fixed"/>
        <w:tblCellMar>
          <w:left w:w="62" w:type="dxa"/>
          <w:right w:w="62" w:type="dxa"/>
        </w:tblCellMar>
        <w:tblLook w:val="0000"/>
      </w:tblPr>
      <w:tblGrid>
        <w:gridCol w:w="2631"/>
        <w:gridCol w:w="6503"/>
      </w:tblGrid>
      <w:tr w:rsidTr="00050E14">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The evidence guide provides advice on assessment and must be read in conjunction with the performance criteria, required skills and knowledge, range statement and the Assessment Guidelines for the Training Package.</w:t>
            </w:r>
          </w:p>
        </w:tc>
      </w:tr>
      <w:tr w:rsidTr="00050E1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rPr>
                <w:rStyle w:val="SpecialBold"/>
              </w:rPr>
              <w:t>Overview of assessment</w:t>
            </w:r>
          </w:p>
        </w:tc>
        <w:tc>
          <w:tcPr>
            <w:tcW w:w="6503"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This unit of com</w:t>
            </w:r>
            <w:r w:rsidRPr="00050E14">
              <w:t xml:space="preserve">petency could be assessed by reviewing the planning of demolition activities to minimise environmental and public health and safety impacts, and observing the supervision of the implementation of planned strategies in the workplace. </w:t>
            </w:r>
          </w:p>
        </w:tc>
      </w:tr>
      <w:tr w:rsidTr="00050E1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rPr>
                <w:rStyle w:val="SpecialBold"/>
              </w:rPr>
              <w:t xml:space="preserve">Critical aspects for </w:t>
            </w:r>
            <w:r w:rsidRPr="00050E14">
              <w:rPr>
                <w:rStyle w:val="SpecialBold"/>
              </w:rPr>
              <w:t>assessment and evidence required to demonstrate competency in this unit</w:t>
            </w:r>
          </w:p>
        </w:tc>
        <w:tc>
          <w:tcPr>
            <w:tcW w:w="6503" w:type="dxa"/>
            <w:tcBorders>
              <w:top w:val="nil"/>
              <w:left w:val="nil"/>
              <w:bottom w:val="nil"/>
              <w:right w:val="nil"/>
            </w:tcBorders>
            <w:tcMar>
              <w:top w:w="0" w:type="dxa"/>
              <w:left w:w="62" w:type="dxa"/>
              <w:bottom w:w="0" w:type="dxa"/>
              <w:right w:w="62" w:type="dxa"/>
            </w:tcMar>
          </w:tcPr>
          <w:p w:rsidR="00000000" w:rsidRPr="00050E14" w:rsidP="00050E14">
            <w:pPr>
              <w:pStyle w:val="BodyText"/>
            </w:pPr>
            <w:r w:rsidRPr="00050E14">
              <w:t>A person should demonstrate the ability to plan and supervise the implementation of strategies to minimise environmental and public health and safety impacts on two different large dem</w:t>
            </w:r>
            <w:r w:rsidRPr="00050E14">
              <w:t>olition projects, one of which must involve structures or installations above 15 metres. The evidence shall demonstrate:</w:t>
            </w:r>
          </w:p>
          <w:p w:rsidR="00000000" w:rsidRPr="00050E14" w:rsidP="00050E14">
            <w:pPr>
              <w:pStyle w:val="ListBullet"/>
            </w:pPr>
            <w:r w:rsidRPr="00050E14">
              <w:t>analysing potential impacts of demolition activities on the environment and on public health and safety</w:t>
            </w:r>
          </w:p>
          <w:p w:rsidR="00000000" w:rsidRPr="00050E14" w:rsidP="00050E14">
            <w:pPr>
              <w:pStyle w:val="ListBullet"/>
            </w:pPr>
            <w:r w:rsidRPr="00050E14">
              <w:t>interpreting and applying legislation, regulations, codes and standards relating to protecting the environment and public health and safety</w:t>
            </w:r>
          </w:p>
          <w:p w:rsidR="00000000" w:rsidRPr="00050E14" w:rsidP="00050E14">
            <w:pPr>
              <w:pStyle w:val="ListBullet"/>
            </w:pPr>
            <w:r w:rsidRPr="00050E14">
              <w:t xml:space="preserve">researching and developing strategies to minimise impacts of demolition activities on the environment and on public </w:t>
            </w:r>
            <w:r w:rsidRPr="00050E14">
              <w:t>health and safety</w:t>
            </w:r>
          </w:p>
          <w:p w:rsidR="00000000" w:rsidP="00050E14">
            <w:pPr>
              <w:pStyle w:val="ListBullet"/>
              <w:rPr>
                <w:lang w:val="en-NZ"/>
              </w:rPr>
            </w:pPr>
            <w:r w:rsidRPr="00050E14">
              <w:t>monitoring demolition activities to ensure effective implementation of planned strategies.</w:t>
            </w:r>
          </w:p>
        </w:tc>
      </w:tr>
      <w:tr w:rsidTr="00050E1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rPr>
                <w:rStyle w:val="SpecialBold"/>
              </w:rPr>
              <w:t>Context of and specific resources for assessment</w:t>
            </w:r>
          </w:p>
        </w:tc>
        <w:tc>
          <w:tcPr>
            <w:tcW w:w="6503" w:type="dxa"/>
            <w:tcBorders>
              <w:top w:val="nil"/>
              <w:left w:val="nil"/>
              <w:bottom w:val="nil"/>
              <w:right w:val="nil"/>
            </w:tcBorders>
            <w:tcMar>
              <w:top w:w="0" w:type="dxa"/>
              <w:left w:w="62" w:type="dxa"/>
              <w:bottom w:w="0" w:type="dxa"/>
              <w:right w:w="62" w:type="dxa"/>
            </w:tcMar>
          </w:tcPr>
          <w:p w:rsidR="00000000" w:rsidRPr="00050E14" w:rsidP="00050E14">
            <w:pPr>
              <w:pStyle w:val="BodyText"/>
            </w:pPr>
            <w:r w:rsidRPr="00050E14">
              <w:t>Assessment of this unit:</w:t>
            </w:r>
          </w:p>
          <w:p w:rsidR="00000000" w:rsidRPr="00050E14" w:rsidP="00050E14">
            <w:pPr>
              <w:pStyle w:val="ListBullet"/>
            </w:pPr>
            <w:r w:rsidRPr="00050E14">
              <w:t>must be in the context of the work environment</w:t>
            </w:r>
          </w:p>
          <w:p w:rsidR="00000000" w:rsidRPr="00050E14" w:rsidP="00050E14">
            <w:pPr>
              <w:pStyle w:val="ListBullet"/>
            </w:pPr>
            <w:r w:rsidRPr="00050E14">
              <w:t>must meet relevant compl</w:t>
            </w:r>
            <w:r w:rsidRPr="00050E14">
              <w:t>iance requirements.</w:t>
            </w:r>
          </w:p>
          <w:p w:rsidR="00000000" w:rsidRPr="00050E14" w:rsidP="00050E14">
            <w:pPr>
              <w:pStyle w:val="BodyText"/>
            </w:pPr>
            <w:r w:rsidRPr="00050E14">
              <w:t>Resource implications for assessment include:</w:t>
            </w:r>
          </w:p>
          <w:p w:rsidR="00000000" w:rsidRPr="00050E14" w:rsidP="00050E14">
            <w:pPr>
              <w:pStyle w:val="ListBullet"/>
            </w:pPr>
            <w:r w:rsidRPr="00050E14">
              <w:t xml:space="preserve">an induction procedure </w:t>
            </w:r>
          </w:p>
          <w:p w:rsidR="00000000" w:rsidRPr="00050E14" w:rsidP="00050E14">
            <w:pPr>
              <w:pStyle w:val="ListBullet"/>
            </w:pPr>
            <w:r w:rsidRPr="00050E14">
              <w:t>realistic tasks covering the mandatory task requirements</w:t>
            </w:r>
          </w:p>
          <w:p w:rsidR="00000000" w:rsidRPr="00050E14" w:rsidP="00050E14">
            <w:pPr>
              <w:pStyle w:val="ListBullet"/>
            </w:pPr>
            <w:r w:rsidRPr="00050E14">
              <w:t>support materials appropriate to activity, including:</w:t>
            </w:r>
          </w:p>
          <w:p w:rsidR="00000000" w:rsidRPr="00050E14" w:rsidP="00050E14">
            <w:pPr>
              <w:pStyle w:val="ListBullet2"/>
            </w:pPr>
            <w:r w:rsidRPr="00050E14">
              <w:t>access to industry information relating to legislatio</w:t>
            </w:r>
            <w:r w:rsidRPr="00050E14">
              <w:t>n, regulations, codes and standards</w:t>
            </w:r>
          </w:p>
          <w:p w:rsidR="00000000" w:rsidRPr="00050E14" w:rsidP="00050E14">
            <w:pPr>
              <w:pStyle w:val="ListBullet2"/>
            </w:pPr>
            <w:r w:rsidRPr="00050E14">
              <w:t>contractual information and work specifications</w:t>
            </w:r>
          </w:p>
          <w:p w:rsidR="00000000" w:rsidP="00050E14">
            <w:pPr>
              <w:pStyle w:val="ListBullet"/>
              <w:rPr>
                <w:lang w:val="en-NZ"/>
              </w:rPr>
            </w:pPr>
            <w:r w:rsidRPr="00050E14">
              <w:t>human resources and plant, tools and equipment appropriate to the tasks.</w:t>
            </w:r>
          </w:p>
        </w:tc>
      </w:tr>
      <w:tr w:rsidTr="00050E1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rPr>
                <w:rStyle w:val="SpecialBold"/>
              </w:rPr>
              <w:t>Method of assessment</w:t>
            </w:r>
          </w:p>
        </w:tc>
        <w:tc>
          <w:tcPr>
            <w:tcW w:w="6503" w:type="dxa"/>
            <w:tcBorders>
              <w:top w:val="nil"/>
              <w:left w:val="nil"/>
              <w:bottom w:val="nil"/>
              <w:right w:val="nil"/>
            </w:tcBorders>
            <w:tcMar>
              <w:top w:w="0" w:type="dxa"/>
              <w:left w:w="62" w:type="dxa"/>
              <w:bottom w:w="0" w:type="dxa"/>
              <w:right w:w="62" w:type="dxa"/>
            </w:tcMar>
          </w:tcPr>
          <w:p w:rsidR="00000000" w:rsidRPr="00050E14" w:rsidP="00050E14">
            <w:pPr>
              <w:pStyle w:val="BodyText"/>
            </w:pPr>
            <w:r w:rsidRPr="00050E14">
              <w:t>Assessment for this unit must verify the practical application of the required skills and knowledge, using a combination of the following methods:</w:t>
            </w:r>
          </w:p>
          <w:p w:rsidR="00000000" w:rsidRPr="00050E14" w:rsidP="00050E14">
            <w:pPr>
              <w:pStyle w:val="ListBullet"/>
            </w:pPr>
            <w:r w:rsidRPr="00050E14">
              <w:t>direct observation of tasks in real work conditions</w:t>
            </w:r>
          </w:p>
          <w:p w:rsidR="00000000" w:rsidRPr="00050E14" w:rsidP="00050E14">
            <w:pPr>
              <w:pStyle w:val="ListBullet"/>
            </w:pPr>
            <w:r w:rsidRPr="00050E14">
              <w:t>questioning to confirm the ability to consistently ident</w:t>
            </w:r>
            <w:r w:rsidRPr="00050E14">
              <w:t>ify and correctly interpret the essential underpinning knowledge required for practical application</w:t>
            </w:r>
          </w:p>
          <w:p w:rsidR="00000000" w:rsidP="00050E14">
            <w:pPr>
              <w:pStyle w:val="ListBullet"/>
              <w:rPr>
                <w:lang w:val="en-NZ"/>
              </w:rPr>
            </w:pPr>
            <w:r w:rsidRPr="00050E14">
              <w:t>review of relevant authenticated documentation from third parties, such as existing managers or specialist training staff.</w:t>
            </w:r>
          </w:p>
        </w:tc>
      </w:tr>
      <w:tr w:rsidTr="00050E1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rPr>
                <w:rStyle w:val="SpecialBold"/>
              </w:rPr>
              <w:t>Guidance information for assessment</w:t>
            </w:r>
          </w:p>
        </w:tc>
        <w:tc>
          <w:tcPr>
            <w:tcW w:w="6503" w:type="dxa"/>
            <w:tcBorders>
              <w:top w:val="nil"/>
              <w:left w:val="nil"/>
              <w:bottom w:val="nil"/>
              <w:right w:val="nil"/>
            </w:tcBorders>
            <w:tcMar>
              <w:top w:w="0" w:type="dxa"/>
              <w:left w:w="62" w:type="dxa"/>
              <w:bottom w:w="0" w:type="dxa"/>
              <w:right w:w="62" w:type="dxa"/>
            </w:tcMar>
          </w:tcPr>
          <w:p w:rsidR="00000000" w:rsidRPr="00050E14" w:rsidP="00050E14">
            <w:pPr>
              <w:pStyle w:val="BodyText"/>
            </w:pPr>
            <w:r w:rsidRPr="00050E14">
              <w:t>This unit could be assessed on its own or in combination with other units relevant to the job function.</w:t>
            </w:r>
          </w:p>
          <w:p w:rsidR="00000000" w:rsidRPr="00050E14" w:rsidP="00050E14">
            <w:pPr>
              <w:pStyle w:val="BodyText"/>
            </w:pPr>
            <w:r w:rsidRPr="00050E14">
              <w:t xml:space="preserve">Reasonable adjustments for people with disabilities must be made to assessment processes where required. This could </w:t>
            </w:r>
            <w:r w:rsidRPr="00050E14">
              <w:t>include access to modified equipment and other physical resources, and the provision of appropriate assessment support.</w:t>
            </w:r>
          </w:p>
          <w:p w:rsidR="00000000" w:rsidRPr="00050E14" w:rsidP="00050E14">
            <w:pPr>
              <w:pStyle w:val="BodyText"/>
            </w:pPr>
            <w:r w:rsidRPr="00050E14">
              <w:t>Assessment processes and techniques should, as far as is practical, take into account the language, literacy and numeracy capacity of th</w:t>
            </w:r>
            <w:r w:rsidRPr="00050E14">
              <w:t>e candidate in relation to the competency being assessed.</w:t>
            </w:r>
          </w:p>
        </w:tc>
      </w:tr>
    </w:tbl>
    <w:p w:rsidR="00426442" w:rsidP="00050E14">
      <w:pPr>
        <w:pStyle w:val="BodyText"/>
      </w:pPr>
    </w:p>
    <w:p w:rsidR="00426442" w:rsidP="00050E14">
      <w:pPr>
        <w:pStyle w:val="BodyText"/>
      </w:pPr>
    </w:p>
    <w:p w:rsidR="00000000" w:rsidRPr="00050E14" w:rsidP="00050E14">
      <w:pPr>
        <w:pStyle w:val="Heading1"/>
      </w:pPr>
      <w:bookmarkStart w:id="11" w:name="O_619531"/>
      <w:bookmarkEnd w:id="11"/>
      <w:r w:rsidRPr="00050E14">
        <w:t>Range Statement</w:t>
      </w:r>
    </w:p>
    <w:tbl>
      <w:tblPr>
        <w:tblW w:w="0" w:type="auto"/>
        <w:tblLayout w:type="fixed"/>
        <w:tblCellMar>
          <w:left w:w="62" w:type="dxa"/>
          <w:right w:w="62" w:type="dxa"/>
        </w:tblCellMar>
        <w:tblLook w:val="0000"/>
      </w:tblPr>
      <w:tblGrid>
        <w:gridCol w:w="2640"/>
        <w:gridCol w:w="6494"/>
      </w:tblGrid>
      <w:tr w:rsidTr="00050E14">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t xml:space="preserve">The range statement relates to the unit of competency as a whole. It allows for different work environments and situations that may affect performance. </w:t>
            </w:r>
            <w:r w:rsidRPr="00050E14">
              <w:rPr>
                <w:rStyle w:val="BoldandItalics"/>
              </w:rPr>
              <w:t>Bold itali</w:t>
            </w:r>
            <w:r w:rsidRPr="00050E14">
              <w:rPr>
                <w:rStyle w:val="BoldandItalics"/>
              </w:rPr>
              <w:t>cised</w:t>
            </w:r>
            <w:r w:rsidRPr="00050E14">
              <w:t xml:space="preserve"> wording, if used in the performance criteria, is detailed below. Essential operating conditions that may be present with training and assessment (depending on the work situation, needs of the candidate, accessibility of the item, and local industry a</w:t>
            </w:r>
            <w:r w:rsidRPr="00050E14">
              <w:t>nd regional contexts) may also be included.</w:t>
            </w:r>
          </w:p>
        </w:tc>
      </w:tr>
      <w:tr w:rsidTr="00050E1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rPr>
                <w:rStyle w:val="BoldandItalics"/>
              </w:rPr>
              <w:t>Impacts on the environment</w:t>
            </w:r>
            <w:r w:rsidRPr="00050E14">
              <w:t xml:space="preserve"> must include:</w:t>
            </w:r>
          </w:p>
        </w:tc>
        <w:tc>
          <w:tcPr>
            <w:tcW w:w="6494" w:type="dxa"/>
            <w:tcBorders>
              <w:top w:val="nil"/>
              <w:left w:val="nil"/>
              <w:bottom w:val="nil"/>
              <w:right w:val="nil"/>
            </w:tcBorders>
            <w:tcMar>
              <w:top w:w="0" w:type="dxa"/>
              <w:left w:w="62" w:type="dxa"/>
              <w:bottom w:w="0" w:type="dxa"/>
              <w:right w:w="62" w:type="dxa"/>
            </w:tcMar>
          </w:tcPr>
          <w:p w:rsidR="00000000" w:rsidRPr="00050E14" w:rsidP="00050E14">
            <w:pPr>
              <w:pStyle w:val="ListBullet"/>
            </w:pPr>
            <w:r w:rsidRPr="00050E14">
              <w:t>dust</w:t>
            </w:r>
          </w:p>
          <w:p w:rsidR="00000000" w:rsidRPr="00050E14" w:rsidP="00050E14">
            <w:pPr>
              <w:pStyle w:val="ListBullet"/>
            </w:pPr>
            <w:r w:rsidRPr="00050E14">
              <w:t>energy use</w:t>
            </w:r>
          </w:p>
          <w:p w:rsidR="00000000" w:rsidRPr="00050E14" w:rsidP="00050E14">
            <w:pPr>
              <w:pStyle w:val="ListBullet"/>
            </w:pPr>
            <w:r w:rsidRPr="00050E14">
              <w:t>excavation</w:t>
            </w:r>
          </w:p>
          <w:p w:rsidR="00000000" w:rsidRPr="00050E14" w:rsidP="00050E14">
            <w:pPr>
              <w:pStyle w:val="ListBullet"/>
            </w:pPr>
            <w:r w:rsidRPr="00050E14">
              <w:t>hazardous material</w:t>
            </w:r>
          </w:p>
          <w:p w:rsidR="00000000" w:rsidRPr="00050E14" w:rsidP="00050E14">
            <w:pPr>
              <w:pStyle w:val="ListBullet"/>
            </w:pPr>
            <w:r w:rsidRPr="00050E14">
              <w:t>material disposal</w:t>
            </w:r>
          </w:p>
          <w:p w:rsidR="00000000" w:rsidRPr="00050E14" w:rsidP="00050E14">
            <w:pPr>
              <w:pStyle w:val="ListBullet"/>
            </w:pPr>
            <w:r w:rsidRPr="00050E14">
              <w:t>sediment</w:t>
            </w:r>
          </w:p>
          <w:p w:rsidR="00000000" w:rsidRPr="00050E14" w:rsidP="00050E14">
            <w:pPr>
              <w:pStyle w:val="ListBullet"/>
            </w:pPr>
            <w:r w:rsidRPr="00050E14">
              <w:t>storage</w:t>
            </w:r>
          </w:p>
          <w:p w:rsidR="00000000" w:rsidRPr="00050E14" w:rsidP="00050E14">
            <w:pPr>
              <w:pStyle w:val="ListBullet"/>
            </w:pPr>
            <w:r w:rsidRPr="00050E14">
              <w:t>stormwater quality</w:t>
            </w:r>
          </w:p>
          <w:p w:rsidR="00000000" w:rsidP="00050E14">
            <w:pPr>
              <w:pStyle w:val="ListBullet"/>
              <w:rPr>
                <w:lang w:val="en-NZ"/>
              </w:rPr>
            </w:pPr>
            <w:r w:rsidRPr="00050E14">
              <w:t>water use.</w:t>
            </w:r>
          </w:p>
        </w:tc>
      </w:tr>
      <w:tr w:rsidTr="00050E1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50E14">
            <w:pPr>
              <w:pStyle w:val="BodyText"/>
              <w:rPr>
                <w:lang w:val="en-NZ"/>
              </w:rPr>
            </w:pPr>
            <w:r w:rsidRPr="00050E14">
              <w:rPr>
                <w:rStyle w:val="BoldandItalics"/>
              </w:rPr>
              <w:t>Impacts on public health and safety</w:t>
            </w:r>
            <w:r w:rsidRPr="00050E14">
              <w:t xml:space="preserve"> must include:</w:t>
            </w:r>
          </w:p>
        </w:tc>
        <w:tc>
          <w:tcPr>
            <w:tcW w:w="6494" w:type="dxa"/>
            <w:tcBorders>
              <w:top w:val="nil"/>
              <w:left w:val="nil"/>
              <w:bottom w:val="nil"/>
              <w:right w:val="nil"/>
            </w:tcBorders>
            <w:tcMar>
              <w:top w:w="0" w:type="dxa"/>
              <w:left w:w="62" w:type="dxa"/>
              <w:bottom w:w="0" w:type="dxa"/>
              <w:right w:w="62" w:type="dxa"/>
            </w:tcMar>
          </w:tcPr>
          <w:p w:rsidR="00000000" w:rsidRPr="00050E14" w:rsidP="00050E14">
            <w:pPr>
              <w:pStyle w:val="ListBullet"/>
            </w:pPr>
            <w:r w:rsidRPr="00050E14">
              <w:t>air pollution relating to:</w:t>
            </w:r>
          </w:p>
          <w:p w:rsidR="00000000" w:rsidRPr="00050E14" w:rsidP="00050E14">
            <w:pPr>
              <w:pStyle w:val="ListBullet2"/>
            </w:pPr>
            <w:r w:rsidRPr="00050E14">
              <w:t>dust</w:t>
            </w:r>
          </w:p>
          <w:p w:rsidR="00000000" w:rsidRPr="00050E14" w:rsidP="00050E14">
            <w:pPr>
              <w:pStyle w:val="ListBullet2"/>
            </w:pPr>
            <w:r w:rsidRPr="00050E14">
              <w:t xml:space="preserve">fumes </w:t>
            </w:r>
          </w:p>
          <w:p w:rsidR="00000000" w:rsidRPr="00050E14" w:rsidP="00050E14">
            <w:pPr>
              <w:pStyle w:val="ListBullet2"/>
            </w:pPr>
            <w:r w:rsidRPr="00050E14">
              <w:t>smell</w:t>
            </w:r>
          </w:p>
          <w:p w:rsidR="00000000" w:rsidRPr="00050E14" w:rsidP="00050E14">
            <w:pPr>
              <w:pStyle w:val="ListBullet"/>
            </w:pPr>
            <w:r w:rsidRPr="00050E14">
              <w:t>change or damage to public infrastructure</w:t>
            </w:r>
          </w:p>
          <w:p w:rsidR="00000000" w:rsidRPr="00050E14" w:rsidP="00050E14">
            <w:pPr>
              <w:pStyle w:val="ListBullet"/>
            </w:pPr>
            <w:r w:rsidRPr="00050E14">
              <w:t>hours of work</w:t>
            </w:r>
          </w:p>
          <w:p w:rsidR="00000000" w:rsidRPr="00050E14" w:rsidP="00050E14">
            <w:pPr>
              <w:pStyle w:val="ListBullet"/>
            </w:pPr>
            <w:r w:rsidRPr="00050E14">
              <w:t>noise</w:t>
            </w:r>
          </w:p>
          <w:p w:rsidR="00000000" w:rsidRPr="00050E14" w:rsidP="00050E14">
            <w:pPr>
              <w:pStyle w:val="ListBullet"/>
            </w:pPr>
            <w:r w:rsidRPr="00050E14">
              <w:t>vehicle movements</w:t>
            </w:r>
          </w:p>
          <w:p w:rsidR="00000000" w:rsidRPr="00050E14" w:rsidP="00050E14">
            <w:pPr>
              <w:pStyle w:val="ListBullet"/>
            </w:pPr>
            <w:r w:rsidRPr="00050E14">
              <w:t>vibration</w:t>
            </w:r>
          </w:p>
          <w:p w:rsidR="00000000" w:rsidRPr="00050E14" w:rsidP="00050E14">
            <w:pPr>
              <w:pStyle w:val="ListBullet"/>
            </w:pPr>
            <w:r w:rsidRPr="00050E14">
              <w:t>volume of traffic.</w:t>
            </w:r>
          </w:p>
        </w:tc>
      </w:tr>
    </w:tbl>
    <w:p w:rsidR="00426442" w:rsidP="00050E14">
      <w:pPr>
        <w:pStyle w:val="BodyText"/>
      </w:pPr>
    </w:p>
    <w:p w:rsidR="00426442" w:rsidP="00050E14">
      <w:pPr>
        <w:pStyle w:val="BodyText"/>
      </w:pPr>
    </w:p>
    <w:p w:rsidR="00000000" w:rsidRPr="00050E14" w:rsidP="00050E14">
      <w:pPr>
        <w:pStyle w:val="Heading1"/>
      </w:pPr>
      <w:bookmarkStart w:id="12" w:name="O_619532"/>
      <w:bookmarkEnd w:id="12"/>
      <w:r w:rsidRPr="00050E14">
        <w:t>Unit Sector(s)</w:t>
      </w:r>
    </w:p>
    <w:p w:rsidR="00000000" w:rsidRPr="00050E14" w:rsidP="00050E14">
      <w:pPr>
        <w:pStyle w:val="BodyText"/>
      </w:pPr>
      <w:r w:rsidRPr="00050E14">
        <w:t>Demolition</w:t>
      </w:r>
    </w:p>
    <w:p w:rsidR="00000000" w:rsidRPr="00050E14" w:rsidP="00050E14">
      <w:pPr>
        <w:pStyle w:val="AllowPageBreak"/>
      </w:pPr>
    </w:p>
    <w:p w:rsidR="00000000" w:rsidRPr="00050E14" w:rsidP="00050E14">
      <w:pPr>
        <w:pStyle w:val="Heading1"/>
      </w:pPr>
      <w:bookmarkStart w:id="13" w:name="O_619533"/>
      <w:bookmarkEnd w:id="13"/>
      <w:r w:rsidRPr="00050E14">
        <w:t>Custom Content Section</w:t>
      </w:r>
    </w:p>
    <w:p w:rsidR="00000000" w:rsidRPr="00050E14" w:rsidP="00050E14">
      <w:pPr>
        <w:pStyle w:val="BodyText"/>
      </w:pPr>
      <w:r w:rsidRPr="00050E14">
        <w:t>Not applicable.</w:t>
      </w:r>
    </w:p>
    <w:p w:rsidR="00000000" w:rsidRPr="00050E14" w:rsidP="00050E14"/>
    <w:sectPr w:rsidSect="00050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14" w:rsidRPr="00426442" w:rsidP="00426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42" w:rsidP="00050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6442" w:rsidP="00050E1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6442" w:rsidP="00050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14" w:rsidRPr="00426442" w:rsidP="004264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42" w:rsidRPr="002D2AF8" w:rsidP="00050E14">
    <w:pPr>
      <w:pStyle w:val="Header"/>
      <w:framePr w:wrap="around"/>
    </w:pPr>
    <w:r>
      <w:fldChar w:fldCharType="begin"/>
    </w:r>
    <w:r>
      <w:instrText xml:space="preserve"> TITLE   \* MERGEFORMAT </w:instrText>
    </w:r>
    <w:r>
      <w:fldChar w:fldCharType="separate"/>
    </w:r>
    <w:r>
      <w:t>CPCCDE4002A Plan and supervise demolition work to minimise environmental and public health and safety impact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426442" w:rsidP="00050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65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CF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100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E14"/>
    <w:pPr>
      <w:spacing w:before="360" w:after="60"/>
      <w:outlineLvl w:val="0"/>
    </w:pPr>
    <w:rPr>
      <w:sz w:val="32"/>
    </w:rPr>
  </w:style>
  <w:style w:type="paragraph" w:styleId="Heading2">
    <w:name w:val="heading 2"/>
    <w:basedOn w:val="HeadingBase"/>
    <w:next w:val="BodyText"/>
    <w:link w:val="Heading2Char"/>
    <w:qFormat/>
    <w:rsid w:val="00050E14"/>
    <w:pPr>
      <w:keepLines/>
      <w:spacing w:before="240" w:after="120"/>
      <w:outlineLvl w:val="1"/>
    </w:pPr>
    <w:rPr>
      <w:sz w:val="28"/>
      <w:szCs w:val="40"/>
    </w:rPr>
  </w:style>
  <w:style w:type="paragraph" w:styleId="Heading3">
    <w:name w:val="heading 3"/>
    <w:basedOn w:val="HeadingBase"/>
    <w:next w:val="BodyText"/>
    <w:link w:val="Heading3Char"/>
    <w:qFormat/>
    <w:rsid w:val="00050E14"/>
    <w:pPr>
      <w:spacing w:before="180" w:after="120"/>
      <w:outlineLvl w:val="2"/>
    </w:pPr>
    <w:rPr>
      <w:spacing w:val="-10"/>
      <w:kern w:val="32"/>
    </w:rPr>
  </w:style>
  <w:style w:type="paragraph" w:styleId="Heading4">
    <w:name w:val="heading 4"/>
    <w:basedOn w:val="HeadingBase"/>
    <w:next w:val="BodyText"/>
    <w:link w:val="Heading4Char"/>
    <w:qFormat/>
    <w:rsid w:val="00050E14"/>
    <w:pPr>
      <w:spacing w:before="160" w:after="120"/>
      <w:outlineLvl w:val="3"/>
    </w:pPr>
    <w:rPr>
      <w:sz w:val="22"/>
    </w:rPr>
  </w:style>
  <w:style w:type="paragraph" w:styleId="Heading5">
    <w:name w:val="heading 5"/>
    <w:basedOn w:val="HeadingBase"/>
    <w:next w:val="Normal"/>
    <w:link w:val="Heading5Char"/>
    <w:qFormat/>
    <w:rsid w:val="00050E14"/>
    <w:pPr>
      <w:spacing w:before="80"/>
      <w:outlineLvl w:val="4"/>
    </w:pPr>
    <w:rPr>
      <w:color w:val="918585"/>
      <w:sz w:val="20"/>
    </w:rPr>
  </w:style>
  <w:style w:type="paragraph" w:styleId="Heading6">
    <w:name w:val="heading 6"/>
    <w:basedOn w:val="HeadingBase"/>
    <w:next w:val="Normal"/>
    <w:link w:val="Heading6Char"/>
    <w:qFormat/>
    <w:rsid w:val="00050E14"/>
    <w:pPr>
      <w:spacing w:before="60"/>
      <w:outlineLvl w:val="5"/>
    </w:pPr>
    <w:rPr>
      <w:color w:val="918585"/>
      <w:sz w:val="20"/>
    </w:rPr>
  </w:style>
  <w:style w:type="paragraph" w:styleId="Heading7">
    <w:name w:val="heading 7"/>
    <w:basedOn w:val="Normal"/>
    <w:next w:val="Normal"/>
    <w:link w:val="Heading7Char"/>
    <w:qFormat/>
    <w:rsid w:val="00050E14"/>
    <w:pPr>
      <w:ind w:left="720"/>
      <w:outlineLvl w:val="6"/>
    </w:pPr>
    <w:rPr>
      <w:i/>
    </w:rPr>
  </w:style>
  <w:style w:type="paragraph" w:styleId="Heading8">
    <w:name w:val="heading 8"/>
    <w:basedOn w:val="Normal"/>
    <w:next w:val="Normal"/>
    <w:link w:val="Heading8Char"/>
    <w:qFormat/>
    <w:rsid w:val="00050E14"/>
    <w:pPr>
      <w:ind w:left="720"/>
      <w:outlineLvl w:val="7"/>
    </w:pPr>
    <w:rPr>
      <w:i/>
    </w:rPr>
  </w:style>
  <w:style w:type="paragraph" w:styleId="Heading9">
    <w:name w:val="heading 9"/>
    <w:basedOn w:val="Normal"/>
    <w:next w:val="Normal"/>
    <w:link w:val="Heading9Char"/>
    <w:qFormat/>
    <w:rsid w:val="00050E14"/>
    <w:pPr>
      <w:ind w:left="720"/>
      <w:outlineLvl w:val="8"/>
    </w:pPr>
    <w:rPr>
      <w:i/>
    </w:rPr>
  </w:style>
  <w:style w:type="character" w:default="1" w:styleId="DefaultParagraphFont">
    <w:name w:val="Default Paragraph Font"/>
    <w:uiPriority w:val="1"/>
    <w:unhideWhenUsed/>
    <w:rsid w:val="00050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E14"/>
  </w:style>
  <w:style w:type="character" w:customStyle="1" w:styleId="Heading1Char">
    <w:name w:val="Heading 1 Char"/>
    <w:basedOn w:val="DefaultParagraphFont"/>
    <w:link w:val="Heading1"/>
    <w:rsid w:val="00050E14"/>
    <w:rPr>
      <w:rFonts w:ascii="Times New Roman" w:eastAsia="Times New Roman" w:hAnsi="Times New Roman" w:cs="Times New Roman"/>
      <w:b/>
      <w:sz w:val="32"/>
      <w:szCs w:val="20"/>
      <w:lang w:eastAsia="en-US"/>
    </w:rPr>
  </w:style>
  <w:style w:type="paragraph" w:styleId="BodyText">
    <w:name w:val="Body Text"/>
    <w:basedOn w:val="Normal"/>
    <w:link w:val="BodyTextChar"/>
    <w:rsid w:val="00050E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E14"/>
    <w:rPr>
      <w:rFonts w:ascii="Times New Roman" w:eastAsia="Times New Roman" w:hAnsi="Times New Roman" w:cs="Times New Roman"/>
      <w:sz w:val="24"/>
      <w:lang w:eastAsia="en-US"/>
    </w:rPr>
  </w:style>
  <w:style w:type="paragraph" w:styleId="ListBullet">
    <w:name w:val="List Bullet"/>
    <w:basedOn w:val="List"/>
    <w:rsid w:val="00050E14"/>
    <w:pPr>
      <w:numPr>
        <w:numId w:val="13"/>
      </w:numPr>
      <w:tabs>
        <w:tab w:val="clear" w:pos="340"/>
      </w:tabs>
      <w:spacing w:before="40" w:after="40"/>
    </w:pPr>
  </w:style>
  <w:style w:type="character" w:customStyle="1" w:styleId="SpecialBold">
    <w:name w:val="Special Bold"/>
    <w:basedOn w:val="DefaultParagraphFont"/>
    <w:rsid w:val="00050E14"/>
    <w:rPr>
      <w:b/>
      <w:spacing w:val="0"/>
    </w:rPr>
  </w:style>
  <w:style w:type="paragraph" w:styleId="ListBullet2">
    <w:name w:val="List Bullet 2"/>
    <w:basedOn w:val="List2"/>
    <w:rsid w:val="00050E14"/>
    <w:pPr>
      <w:numPr>
        <w:numId w:val="14"/>
      </w:numPr>
      <w:tabs>
        <w:tab w:val="clear" w:pos="680"/>
      </w:tabs>
    </w:pPr>
  </w:style>
  <w:style w:type="paragraph" w:customStyle="1" w:styleId="SuperHeading">
    <w:name w:val="SuperHeading"/>
    <w:basedOn w:val="Normal"/>
    <w:rsid w:val="00050E14"/>
    <w:pPr>
      <w:spacing w:before="240" w:after="120"/>
      <w:outlineLvl w:val="0"/>
    </w:pPr>
    <w:rPr>
      <w:rFonts w:ascii="Times New Roman" w:hAnsi="Times New Roman"/>
      <w:b/>
      <w:sz w:val="32"/>
    </w:rPr>
  </w:style>
  <w:style w:type="paragraph" w:customStyle="1" w:styleId="AllowPageBreak">
    <w:name w:val="AllowPageBreak"/>
    <w:rsid w:val="00050E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E14"/>
    <w:rPr>
      <w:b/>
      <w:i/>
      <w:u w:val="none"/>
    </w:rPr>
  </w:style>
  <w:style w:type="character" w:customStyle="1" w:styleId="Heading2Char">
    <w:name w:val="Heading 2 Char"/>
    <w:basedOn w:val="DefaultParagraphFont"/>
    <w:link w:val="Heading2"/>
    <w:rsid w:val="00050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E14"/>
    <w:rPr>
      <w:rFonts w:ascii="Courier New" w:eastAsia="Times New Roman" w:hAnsi="Courier New" w:cs="Times New Roman"/>
      <w:i/>
      <w:szCs w:val="20"/>
      <w:lang w:eastAsia="en-US"/>
    </w:rPr>
  </w:style>
  <w:style w:type="paragraph" w:customStyle="1" w:styleId="HeadingBase">
    <w:name w:val="Heading Base"/>
    <w:rsid w:val="00050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E14"/>
    <w:pPr>
      <w:tabs>
        <w:tab w:val="right" w:leader="dot" w:pos="9072"/>
      </w:tabs>
      <w:ind w:left="567"/>
    </w:pPr>
    <w:rPr>
      <w:szCs w:val="22"/>
    </w:rPr>
  </w:style>
  <w:style w:type="paragraph" w:customStyle="1" w:styleId="TOCBase">
    <w:name w:val="TOC Base"/>
    <w:rsid w:val="00050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E14"/>
    <w:pPr>
      <w:tabs>
        <w:tab w:val="right" w:leader="dot" w:pos="9072"/>
      </w:tabs>
      <w:spacing w:before="40" w:after="40"/>
      <w:ind w:left="284"/>
    </w:pPr>
    <w:rPr>
      <w:rFonts w:ascii="Times New Roman" w:hAnsi="Times New Roman"/>
    </w:rPr>
  </w:style>
  <w:style w:type="paragraph" w:styleId="TOC1">
    <w:name w:val="toc 1"/>
    <w:basedOn w:val="TOCBase"/>
    <w:next w:val="Normal"/>
    <w:rsid w:val="00050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E14"/>
    <w:rPr>
      <w:rFonts w:ascii="Times New Roman" w:eastAsia="Times New Roman" w:hAnsi="Times New Roman" w:cs="Times New Roman"/>
      <w:sz w:val="16"/>
      <w:lang w:eastAsia="en-US"/>
    </w:rPr>
  </w:style>
  <w:style w:type="paragraph" w:styleId="Title">
    <w:name w:val="Title"/>
    <w:basedOn w:val="HeadingBase"/>
    <w:link w:val="TitleChar"/>
    <w:qFormat/>
    <w:rsid w:val="00050E14"/>
    <w:pPr>
      <w:spacing w:before="5040"/>
      <w:jc w:val="center"/>
    </w:pPr>
    <w:rPr>
      <w:sz w:val="48"/>
      <w:szCs w:val="72"/>
      <w:lang w:val="en-US"/>
    </w:rPr>
  </w:style>
  <w:style w:type="character" w:customStyle="1" w:styleId="TitleChar">
    <w:name w:val="Title Char"/>
    <w:basedOn w:val="DefaultParagraphFont"/>
    <w:link w:val="Title"/>
    <w:rsid w:val="00050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E14"/>
    <w:pPr>
      <w:tabs>
        <w:tab w:val="left" w:pos="3600"/>
        <w:tab w:val="left" w:pos="3958"/>
      </w:tabs>
    </w:pPr>
  </w:style>
  <w:style w:type="paragraph" w:styleId="List">
    <w:name w:val="List"/>
    <w:basedOn w:val="BodyText"/>
    <w:next w:val="BodyText"/>
    <w:rsid w:val="00050E14"/>
    <w:pPr>
      <w:tabs>
        <w:tab w:val="left" w:pos="340"/>
      </w:tabs>
      <w:spacing w:before="60" w:after="60"/>
      <w:ind w:left="340" w:hanging="340"/>
    </w:pPr>
  </w:style>
  <w:style w:type="paragraph" w:customStyle="1" w:styleId="Note">
    <w:name w:val="Note"/>
    <w:basedOn w:val="BodyText"/>
    <w:rsid w:val="00050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E14"/>
    <w:pPr>
      <w:framePr w:wrap="auto" w:hAnchor="text" w:y="6049"/>
    </w:pPr>
    <w:rPr>
      <w:color w:val="000000"/>
      <w:sz w:val="40"/>
    </w:rPr>
  </w:style>
  <w:style w:type="paragraph" w:customStyle="1" w:styleId="TOCTitle">
    <w:name w:val="TOCTitle"/>
    <w:basedOn w:val="Heading1"/>
    <w:rsid w:val="00050E14"/>
    <w:pPr>
      <w:spacing w:after="240"/>
      <w:jc w:val="center"/>
      <w:outlineLvl w:val="9"/>
    </w:pPr>
    <w:rPr>
      <w:caps/>
    </w:rPr>
  </w:style>
  <w:style w:type="paragraph" w:customStyle="1" w:styleId="Version">
    <w:name w:val="Version"/>
    <w:rsid w:val="00050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E14"/>
    <w:pPr>
      <w:keepNext w:val="0"/>
      <w:tabs>
        <w:tab w:val="right" w:pos="4176"/>
      </w:tabs>
      <w:ind w:left="198" w:hanging="198"/>
    </w:pPr>
    <w:rPr>
      <w:rFonts w:ascii="Garamond" w:hAnsi="Garamond"/>
    </w:rPr>
  </w:style>
  <w:style w:type="paragraph" w:styleId="IndexHeading">
    <w:name w:val="index heading"/>
    <w:basedOn w:val="Normal"/>
    <w:next w:val="Index1"/>
    <w:semiHidden/>
    <w:rsid w:val="00050E14"/>
    <w:pPr>
      <w:spacing w:before="120" w:after="120"/>
    </w:pPr>
    <w:rPr>
      <w:rFonts w:ascii="Arial" w:hAnsi="Arial"/>
      <w:b/>
      <w:color w:val="918585"/>
      <w:sz w:val="24"/>
    </w:rPr>
  </w:style>
  <w:style w:type="paragraph" w:styleId="Header">
    <w:name w:val="header"/>
    <w:basedOn w:val="Normal"/>
    <w:link w:val="HeaderChar"/>
    <w:rsid w:val="00050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E14"/>
    <w:rPr>
      <w:rFonts w:ascii="Times New Roman" w:eastAsia="Times New Roman" w:hAnsi="Times New Roman" w:cs="Times New Roman"/>
      <w:sz w:val="16"/>
      <w:szCs w:val="20"/>
      <w:lang w:val="en-GB" w:eastAsia="en-US"/>
    </w:rPr>
  </w:style>
  <w:style w:type="paragraph" w:customStyle="1" w:styleId="Chapter">
    <w:name w:val="Chapter"/>
    <w:basedOn w:val="Normal"/>
    <w:rsid w:val="00050E14"/>
    <w:pPr>
      <w:spacing w:before="240"/>
    </w:pPr>
    <w:rPr>
      <w:rFonts w:ascii="Times New Roman" w:hAnsi="Times New Roman"/>
      <w:smallCaps/>
      <w:spacing w:val="80"/>
      <w:sz w:val="28"/>
    </w:rPr>
  </w:style>
  <w:style w:type="paragraph" w:customStyle="1" w:styleId="InChapter">
    <w:name w:val="InChapter"/>
    <w:basedOn w:val="Heading3"/>
    <w:rsid w:val="00050E14"/>
    <w:pPr>
      <w:spacing w:after="240"/>
      <w:outlineLvl w:val="9"/>
    </w:pPr>
    <w:rPr>
      <w:noProof/>
    </w:rPr>
  </w:style>
  <w:style w:type="paragraph" w:styleId="Index2">
    <w:name w:val="index 2"/>
    <w:basedOn w:val="Normal"/>
    <w:next w:val="Normal"/>
    <w:semiHidden/>
    <w:rsid w:val="00050E14"/>
    <w:pPr>
      <w:tabs>
        <w:tab w:val="right" w:pos="4176"/>
      </w:tabs>
      <w:ind w:left="568" w:hanging="284"/>
    </w:pPr>
    <w:rPr>
      <w:rFonts w:ascii="Garamond" w:hAnsi="Garamond"/>
    </w:rPr>
  </w:style>
  <w:style w:type="paragraph" w:customStyle="1" w:styleId="Byline">
    <w:name w:val="Byline"/>
    <w:rsid w:val="00050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E14"/>
    <w:pPr>
      <w:tabs>
        <w:tab w:val="clear" w:pos="3600"/>
        <w:tab w:val="clear" w:pos="3958"/>
      </w:tabs>
      <w:jc w:val="right"/>
    </w:pPr>
  </w:style>
  <w:style w:type="character" w:styleId="Emphasis">
    <w:name w:val="Emphasis"/>
    <w:basedOn w:val="DefaultParagraphFont"/>
    <w:qFormat/>
    <w:rsid w:val="00050E14"/>
    <w:rPr>
      <w:i/>
    </w:rPr>
  </w:style>
  <w:style w:type="paragraph" w:styleId="Caption">
    <w:name w:val="caption"/>
    <w:basedOn w:val="BodyText"/>
    <w:next w:val="Normal"/>
    <w:qFormat/>
    <w:rsid w:val="00050E14"/>
    <w:pPr>
      <w:framePr w:w="2268" w:hSpace="181" w:vSpace="181" w:wrap="around" w:vAnchor="text" w:hAnchor="page" w:x="1135" w:y="285" w:anchorLock="1"/>
    </w:pPr>
    <w:rPr>
      <w:i/>
    </w:rPr>
  </w:style>
  <w:style w:type="paragraph" w:customStyle="1" w:styleId="MiniTOCTitle">
    <w:name w:val="MiniTOCTitle"/>
    <w:basedOn w:val="Heading4"/>
    <w:rsid w:val="00050E14"/>
    <w:pPr>
      <w:spacing w:before="240"/>
      <w:outlineLvl w:val="9"/>
    </w:pPr>
    <w:rPr>
      <w:noProof/>
      <w:sz w:val="24"/>
    </w:rPr>
  </w:style>
  <w:style w:type="paragraph" w:customStyle="1" w:styleId="MiniTOCItem">
    <w:name w:val="MiniTOCItem"/>
    <w:basedOn w:val="ListBullet"/>
    <w:rsid w:val="00050E14"/>
    <w:pPr>
      <w:numPr>
        <w:numId w:val="0"/>
      </w:numPr>
      <w:tabs>
        <w:tab w:val="right" w:leader="dot" w:pos="6521"/>
      </w:tabs>
      <w:spacing w:before="0" w:after="0"/>
    </w:pPr>
  </w:style>
  <w:style w:type="paragraph" w:customStyle="1" w:styleId="TOFTitle">
    <w:name w:val="TOFTitle"/>
    <w:basedOn w:val="TOCTitle"/>
    <w:rsid w:val="00050E14"/>
  </w:style>
  <w:style w:type="paragraph" w:styleId="TableofFigures">
    <w:name w:val="table of figures"/>
    <w:basedOn w:val="Normal"/>
    <w:next w:val="Normal"/>
    <w:semiHidden/>
    <w:rsid w:val="00050E14"/>
    <w:pPr>
      <w:tabs>
        <w:tab w:val="right" w:leader="dot" w:pos="9072"/>
      </w:tabs>
      <w:ind w:left="970" w:hanging="403"/>
    </w:pPr>
    <w:rPr>
      <w:rFonts w:ascii="Times New Roman" w:hAnsi="Times New Roman"/>
      <w:b/>
    </w:rPr>
  </w:style>
  <w:style w:type="paragraph" w:styleId="ListNumber">
    <w:name w:val="List Number"/>
    <w:basedOn w:val="List"/>
    <w:rsid w:val="00050E14"/>
    <w:pPr>
      <w:numPr>
        <w:numId w:val="11"/>
      </w:numPr>
    </w:pPr>
  </w:style>
  <w:style w:type="character" w:customStyle="1" w:styleId="WingdingSymbols">
    <w:name w:val="Wingding Symbols"/>
    <w:rsid w:val="00050E14"/>
    <w:rPr>
      <w:rFonts w:ascii="Wingdings" w:hAnsi="Wingdings"/>
    </w:rPr>
  </w:style>
  <w:style w:type="paragraph" w:customStyle="1" w:styleId="TableHeading">
    <w:name w:val="Table Heading"/>
    <w:basedOn w:val="HeadingBase"/>
    <w:rsid w:val="00050E14"/>
    <w:pPr>
      <w:keepLines/>
      <w:pBdr>
        <w:bottom w:val="single" w:sz="6" w:space="1" w:color="918585"/>
      </w:pBdr>
      <w:spacing w:before="240"/>
    </w:pPr>
  </w:style>
  <w:style w:type="character" w:customStyle="1" w:styleId="HotSpot">
    <w:name w:val="HotSpot"/>
    <w:rsid w:val="00050E14"/>
    <w:rPr>
      <w:color w:val="0033CC"/>
      <w:u w:val="none"/>
    </w:rPr>
  </w:style>
  <w:style w:type="paragraph" w:customStyle="1" w:styleId="BodyTextRight">
    <w:name w:val="Body Text Right"/>
    <w:basedOn w:val="BodyText"/>
    <w:rsid w:val="00050E14"/>
    <w:pPr>
      <w:spacing w:before="0" w:after="0"/>
      <w:jc w:val="right"/>
    </w:pPr>
  </w:style>
  <w:style w:type="paragraph" w:styleId="Index3">
    <w:name w:val="index 3"/>
    <w:basedOn w:val="ListNumber2"/>
    <w:next w:val="Normal"/>
    <w:semiHidden/>
    <w:rsid w:val="00050E14"/>
    <w:pPr>
      <w:numPr>
        <w:numId w:val="0"/>
      </w:numPr>
      <w:tabs>
        <w:tab w:val="right" w:leader="dot" w:pos="4176"/>
      </w:tabs>
    </w:pPr>
  </w:style>
  <w:style w:type="paragraph" w:styleId="ListNumber2">
    <w:name w:val="List Number 2"/>
    <w:basedOn w:val="List2"/>
    <w:rsid w:val="00050E14"/>
    <w:pPr>
      <w:numPr>
        <w:numId w:val="10"/>
      </w:numPr>
      <w:tabs>
        <w:tab w:val="clear" w:pos="1060"/>
      </w:tabs>
    </w:pPr>
  </w:style>
  <w:style w:type="paragraph" w:customStyle="1" w:styleId="MarginNote">
    <w:name w:val="Margin Note"/>
    <w:basedOn w:val="BodyText"/>
    <w:rsid w:val="00050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E14"/>
    <w:rPr>
      <w:sz w:val="32"/>
    </w:rPr>
  </w:style>
  <w:style w:type="paragraph" w:customStyle="1" w:styleId="HeadingProcedure">
    <w:name w:val="Heading Procedure"/>
    <w:basedOn w:val="HeadingBase"/>
    <w:next w:val="Normal"/>
    <w:rsid w:val="00050E14"/>
    <w:pPr>
      <w:tabs>
        <w:tab w:val="left" w:pos="0"/>
      </w:tabs>
      <w:spacing w:before="120" w:after="60"/>
    </w:pPr>
    <w:rPr>
      <w:i/>
      <w:color w:val="918585"/>
      <w:sz w:val="22"/>
    </w:rPr>
  </w:style>
  <w:style w:type="paragraph" w:customStyle="1" w:styleId="TableBodyText">
    <w:name w:val="Table Body Text"/>
    <w:basedOn w:val="BodyText"/>
    <w:rsid w:val="00050E14"/>
    <w:pPr>
      <w:spacing w:before="60" w:after="60"/>
    </w:pPr>
  </w:style>
  <w:style w:type="paragraph" w:styleId="ListContinue">
    <w:name w:val="List Continue"/>
    <w:basedOn w:val="List"/>
    <w:rsid w:val="00050E14"/>
    <w:pPr>
      <w:ind w:firstLine="0"/>
    </w:pPr>
  </w:style>
  <w:style w:type="paragraph" w:customStyle="1" w:styleId="ListNote">
    <w:name w:val="List Note"/>
    <w:basedOn w:val="List"/>
    <w:rsid w:val="00050E14"/>
    <w:pPr>
      <w:pBdr>
        <w:top w:val="single" w:sz="6" w:space="2" w:color="918585"/>
        <w:bottom w:val="single" w:sz="6" w:space="2" w:color="918585"/>
      </w:pBdr>
      <w:tabs>
        <w:tab w:val="left" w:pos="1021"/>
      </w:tabs>
      <w:ind w:firstLine="0"/>
    </w:pPr>
  </w:style>
  <w:style w:type="paragraph" w:customStyle="1" w:styleId="Warning">
    <w:name w:val="Warning"/>
    <w:basedOn w:val="BodyText"/>
    <w:rsid w:val="00050E14"/>
    <w:pPr>
      <w:shd w:val="clear" w:color="auto" w:fill="D9D9D9"/>
      <w:tabs>
        <w:tab w:val="left" w:pos="992"/>
      </w:tabs>
      <w:ind w:left="119" w:right="119"/>
    </w:pPr>
    <w:rPr>
      <w:sz w:val="20"/>
    </w:rPr>
  </w:style>
  <w:style w:type="paragraph" w:customStyle="1" w:styleId="MarginIcons">
    <w:name w:val="Margin Icons"/>
    <w:basedOn w:val="BodyText"/>
    <w:rsid w:val="00050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E14"/>
    <w:rPr>
      <w:rFonts w:ascii="Courier New" w:hAnsi="Courier New"/>
    </w:rPr>
  </w:style>
  <w:style w:type="paragraph" w:customStyle="1" w:styleId="NoteBullet">
    <w:name w:val="Note Bullet"/>
    <w:basedOn w:val="Note"/>
    <w:rsid w:val="00050E14"/>
    <w:pPr>
      <w:tabs>
        <w:tab w:val="clear" w:pos="680"/>
      </w:tabs>
      <w:spacing w:before="60" w:after="60"/>
    </w:pPr>
  </w:style>
  <w:style w:type="paragraph" w:customStyle="1" w:styleId="SubHeading2">
    <w:name w:val="SubHeading2"/>
    <w:basedOn w:val="HeadingBase"/>
    <w:rsid w:val="00050E14"/>
    <w:pPr>
      <w:spacing w:before="240" w:after="60"/>
    </w:pPr>
    <w:rPr>
      <w:sz w:val="20"/>
    </w:rPr>
  </w:style>
  <w:style w:type="paragraph" w:customStyle="1" w:styleId="SubHeading1">
    <w:name w:val="SubHeading1"/>
    <w:basedOn w:val="HeadingBase"/>
    <w:rsid w:val="00050E14"/>
    <w:pPr>
      <w:spacing w:before="240" w:after="60"/>
    </w:pPr>
    <w:rPr>
      <w:color w:val="918585"/>
      <w:sz w:val="22"/>
    </w:rPr>
  </w:style>
  <w:style w:type="paragraph" w:customStyle="1" w:styleId="SideHeading">
    <w:name w:val="Side Heading"/>
    <w:basedOn w:val="HeadingBase"/>
    <w:rsid w:val="00050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E14"/>
    <w:pPr>
      <w:numPr>
        <w:numId w:val="12"/>
      </w:numPr>
    </w:pPr>
  </w:style>
  <w:style w:type="paragraph" w:styleId="PlainText">
    <w:name w:val="Plain Text"/>
    <w:basedOn w:val="Normal"/>
    <w:link w:val="PlainTextChar"/>
    <w:rsid w:val="00050E14"/>
    <w:rPr>
      <w:sz w:val="20"/>
    </w:rPr>
  </w:style>
  <w:style w:type="character" w:customStyle="1" w:styleId="PlainTextChar">
    <w:name w:val="Plain Text Char"/>
    <w:basedOn w:val="DefaultParagraphFont"/>
    <w:link w:val="PlainText"/>
    <w:rsid w:val="00050E14"/>
    <w:rPr>
      <w:rFonts w:ascii="Courier New" w:eastAsia="Times New Roman" w:hAnsi="Courier New" w:cs="Times New Roman"/>
      <w:sz w:val="20"/>
      <w:szCs w:val="20"/>
      <w:lang w:eastAsia="en-US"/>
    </w:rPr>
  </w:style>
  <w:style w:type="character" w:customStyle="1" w:styleId="MenuOption">
    <w:name w:val="Menu Option"/>
    <w:basedOn w:val="DefaultParagraphFont"/>
    <w:rsid w:val="00050E14"/>
    <w:rPr>
      <w:b/>
      <w:smallCaps/>
    </w:rPr>
  </w:style>
  <w:style w:type="paragraph" w:customStyle="1" w:styleId="TableListNumber">
    <w:name w:val="Table List Number"/>
    <w:basedOn w:val="ListNumber"/>
    <w:rsid w:val="00050E14"/>
    <w:pPr>
      <w:numPr>
        <w:numId w:val="0"/>
      </w:numPr>
    </w:pPr>
  </w:style>
  <w:style w:type="paragraph" w:styleId="TOC4">
    <w:name w:val="toc 4"/>
    <w:basedOn w:val="TOCBase"/>
    <w:next w:val="Normal"/>
    <w:semiHidden/>
    <w:rsid w:val="00050E14"/>
    <w:pPr>
      <w:tabs>
        <w:tab w:val="right" w:leader="dot" w:pos="9071"/>
      </w:tabs>
      <w:ind w:left="1701"/>
    </w:pPr>
  </w:style>
  <w:style w:type="paragraph" w:customStyle="1" w:styleId="ListAlpha">
    <w:name w:val="List Alpha"/>
    <w:basedOn w:val="List"/>
    <w:rsid w:val="00050E14"/>
    <w:pPr>
      <w:numPr>
        <w:numId w:val="9"/>
      </w:numPr>
    </w:pPr>
  </w:style>
  <w:style w:type="paragraph" w:customStyle="1" w:styleId="ListAlpha2">
    <w:name w:val="List Alpha 2"/>
    <w:basedOn w:val="List2"/>
    <w:rsid w:val="00050E14"/>
    <w:pPr>
      <w:numPr>
        <w:numId w:val="8"/>
      </w:numPr>
    </w:pPr>
  </w:style>
  <w:style w:type="paragraph" w:styleId="List2">
    <w:name w:val="List 2"/>
    <w:basedOn w:val="BodyText"/>
    <w:rsid w:val="00050E14"/>
    <w:pPr>
      <w:tabs>
        <w:tab w:val="left" w:pos="680"/>
      </w:tabs>
      <w:spacing w:before="60" w:after="60"/>
      <w:ind w:left="680" w:hanging="340"/>
    </w:pPr>
  </w:style>
  <w:style w:type="paragraph" w:styleId="List3">
    <w:name w:val="List 3"/>
    <w:basedOn w:val="BodyText"/>
    <w:rsid w:val="00050E14"/>
    <w:pPr>
      <w:tabs>
        <w:tab w:val="left" w:pos="1021"/>
      </w:tabs>
      <w:spacing w:before="60" w:after="60"/>
      <w:ind w:left="1020" w:hanging="340"/>
    </w:pPr>
  </w:style>
  <w:style w:type="paragraph" w:styleId="List4">
    <w:name w:val="List 4"/>
    <w:basedOn w:val="BodyText"/>
    <w:rsid w:val="00050E14"/>
    <w:pPr>
      <w:tabs>
        <w:tab w:val="left" w:pos="1361"/>
      </w:tabs>
      <w:spacing w:before="60" w:after="60"/>
      <w:ind w:left="1361" w:hanging="340"/>
    </w:pPr>
  </w:style>
  <w:style w:type="paragraph" w:styleId="List5">
    <w:name w:val="List 5"/>
    <w:basedOn w:val="BodyText"/>
    <w:rsid w:val="00050E14"/>
    <w:pPr>
      <w:tabs>
        <w:tab w:val="left" w:pos="1701"/>
      </w:tabs>
      <w:spacing w:before="60" w:after="60"/>
      <w:ind w:left="1701" w:hanging="340"/>
    </w:pPr>
  </w:style>
  <w:style w:type="paragraph" w:styleId="ListBullet3">
    <w:name w:val="List Bullet 3"/>
    <w:basedOn w:val="List3"/>
    <w:rsid w:val="00050E14"/>
    <w:pPr>
      <w:numPr>
        <w:numId w:val="15"/>
      </w:numPr>
      <w:tabs>
        <w:tab w:val="clear" w:pos="1021"/>
      </w:tabs>
      <w:ind w:left="1037" w:hanging="357"/>
    </w:pPr>
  </w:style>
  <w:style w:type="paragraph" w:styleId="ListBullet4">
    <w:name w:val="List Bullet 4"/>
    <w:basedOn w:val="List4"/>
    <w:rsid w:val="00050E14"/>
    <w:pPr>
      <w:numPr>
        <w:numId w:val="3"/>
      </w:numPr>
    </w:pPr>
  </w:style>
  <w:style w:type="paragraph" w:styleId="ListBullet5">
    <w:name w:val="List Bullet 5"/>
    <w:basedOn w:val="List5"/>
    <w:rsid w:val="00050E14"/>
    <w:pPr>
      <w:numPr>
        <w:numId w:val="4"/>
      </w:numPr>
    </w:pPr>
  </w:style>
  <w:style w:type="paragraph" w:styleId="ListContinue2">
    <w:name w:val="List Continue 2"/>
    <w:basedOn w:val="List2"/>
    <w:rsid w:val="00050E14"/>
    <w:pPr>
      <w:ind w:firstLine="0"/>
    </w:pPr>
  </w:style>
  <w:style w:type="paragraph" w:styleId="ListContinue3">
    <w:name w:val="List Continue 3"/>
    <w:basedOn w:val="List3"/>
    <w:rsid w:val="00050E14"/>
    <w:pPr>
      <w:ind w:left="1021" w:firstLine="0"/>
    </w:pPr>
  </w:style>
  <w:style w:type="paragraph" w:styleId="ListContinue4">
    <w:name w:val="List Continue 4"/>
    <w:basedOn w:val="List4"/>
    <w:rsid w:val="00050E14"/>
    <w:pPr>
      <w:ind w:firstLine="0"/>
    </w:pPr>
  </w:style>
  <w:style w:type="paragraph" w:styleId="ListContinue5">
    <w:name w:val="List Continue 5"/>
    <w:basedOn w:val="List5"/>
    <w:rsid w:val="00050E14"/>
    <w:pPr>
      <w:ind w:firstLine="0"/>
    </w:pPr>
  </w:style>
  <w:style w:type="paragraph" w:styleId="ListNumber3">
    <w:name w:val="List Number 3"/>
    <w:basedOn w:val="List3"/>
    <w:rsid w:val="00050E14"/>
    <w:pPr>
      <w:numPr>
        <w:numId w:val="5"/>
      </w:numPr>
    </w:pPr>
  </w:style>
  <w:style w:type="paragraph" w:styleId="ListNumber4">
    <w:name w:val="List Number 4"/>
    <w:basedOn w:val="List4"/>
    <w:rsid w:val="00050E14"/>
    <w:pPr>
      <w:numPr>
        <w:numId w:val="6"/>
      </w:numPr>
    </w:pPr>
  </w:style>
  <w:style w:type="paragraph" w:styleId="ListNumber5">
    <w:name w:val="List Number 5"/>
    <w:basedOn w:val="List5"/>
    <w:rsid w:val="00050E14"/>
    <w:pPr>
      <w:numPr>
        <w:numId w:val="7"/>
      </w:numPr>
    </w:pPr>
  </w:style>
  <w:style w:type="paragraph" w:styleId="BlockText">
    <w:name w:val="Block Text"/>
    <w:basedOn w:val="Normal"/>
    <w:rsid w:val="00050E14"/>
    <w:pPr>
      <w:spacing w:after="120"/>
      <w:ind w:left="1440" w:right="1440"/>
    </w:pPr>
  </w:style>
  <w:style w:type="character" w:customStyle="1" w:styleId="Subscript">
    <w:name w:val="Subscript"/>
    <w:basedOn w:val="DefaultParagraphFont"/>
    <w:rsid w:val="00050E14"/>
    <w:rPr>
      <w:sz w:val="16"/>
      <w:vertAlign w:val="subscript"/>
    </w:rPr>
  </w:style>
  <w:style w:type="character" w:customStyle="1" w:styleId="Superscript">
    <w:name w:val="Superscript"/>
    <w:basedOn w:val="DefaultParagraphFont"/>
    <w:rsid w:val="00050E14"/>
    <w:rPr>
      <w:sz w:val="16"/>
      <w:vertAlign w:val="superscript"/>
    </w:rPr>
  </w:style>
  <w:style w:type="character" w:customStyle="1" w:styleId="Symbols">
    <w:name w:val="Symbols"/>
    <w:basedOn w:val="DefaultParagraphFont"/>
    <w:rsid w:val="00050E14"/>
    <w:rPr>
      <w:rFonts w:ascii="Symbol" w:hAnsi="Symbol"/>
    </w:rPr>
  </w:style>
  <w:style w:type="character" w:customStyle="1" w:styleId="MenuOptions">
    <w:name w:val="Menu Options"/>
    <w:basedOn w:val="DefaultParagraphFont"/>
    <w:rsid w:val="00050E14"/>
    <w:rPr>
      <w:rFonts w:ascii="Arial Narrow" w:hAnsi="Arial Narrow"/>
      <w:smallCaps/>
    </w:rPr>
  </w:style>
  <w:style w:type="character" w:customStyle="1" w:styleId="Buttons">
    <w:name w:val="Buttons"/>
    <w:basedOn w:val="DefaultParagraphFont"/>
    <w:rsid w:val="00050E14"/>
    <w:rPr>
      <w:b/>
    </w:rPr>
  </w:style>
  <w:style w:type="character" w:customStyle="1" w:styleId="Underlined">
    <w:name w:val="Underlined"/>
    <w:basedOn w:val="DefaultParagraphFont"/>
    <w:rsid w:val="00050E14"/>
    <w:rPr>
      <w:u w:val="single"/>
    </w:rPr>
  </w:style>
  <w:style w:type="paragraph" w:customStyle="1" w:styleId="TableBodyTextRight">
    <w:name w:val="Table Body Text Right"/>
    <w:basedOn w:val="TableBodyText"/>
    <w:rsid w:val="00050E14"/>
    <w:pPr>
      <w:widowControl w:val="0"/>
      <w:autoSpaceDE w:val="0"/>
      <w:autoSpaceDN w:val="0"/>
      <w:adjustRightInd w:val="0"/>
      <w:jc w:val="right"/>
    </w:pPr>
    <w:rPr>
      <w:rFonts w:cs="Arial"/>
      <w:szCs w:val="18"/>
    </w:rPr>
  </w:style>
  <w:style w:type="paragraph" w:customStyle="1" w:styleId="CopyrightText">
    <w:name w:val="Copyright Text"/>
    <w:basedOn w:val="BodyText"/>
    <w:rsid w:val="00050E14"/>
    <w:rPr>
      <w:sz w:val="18"/>
    </w:rPr>
  </w:style>
  <w:style w:type="paragraph" w:customStyle="1" w:styleId="BodySmallRight">
    <w:name w:val="Body Small Right"/>
    <w:basedOn w:val="BodyTextRight"/>
    <w:rsid w:val="00050E14"/>
    <w:rPr>
      <w:sz w:val="18"/>
      <w:szCs w:val="18"/>
    </w:rPr>
  </w:style>
  <w:style w:type="paragraph" w:customStyle="1" w:styleId="MarginEdition">
    <w:name w:val="Margin Edition"/>
    <w:basedOn w:val="MarginNote"/>
    <w:rsid w:val="00050E14"/>
    <w:pPr>
      <w:spacing w:before="0" w:after="0"/>
    </w:pPr>
    <w:rPr>
      <w:rFonts w:ascii="Times New Roman" w:hAnsi="Times New Roman"/>
      <w:color w:val="999999"/>
    </w:rPr>
  </w:style>
  <w:style w:type="paragraph" w:customStyle="1" w:styleId="Spacer">
    <w:name w:val="Spacer"/>
    <w:basedOn w:val="Normal"/>
    <w:rsid w:val="00050E14"/>
    <w:rPr>
      <w:sz w:val="2"/>
      <w:szCs w:val="2"/>
    </w:rPr>
  </w:style>
  <w:style w:type="character" w:customStyle="1" w:styleId="Small">
    <w:name w:val="Small"/>
    <w:basedOn w:val="DefaultParagraphFont"/>
    <w:rsid w:val="00050E14"/>
    <w:rPr>
      <w:sz w:val="16"/>
    </w:rPr>
  </w:style>
  <w:style w:type="paragraph" w:customStyle="1" w:styleId="WideTable">
    <w:name w:val="Wide Table"/>
    <w:basedOn w:val="Normal"/>
    <w:rsid w:val="00050E14"/>
    <w:pPr>
      <w:ind w:left="-1418"/>
    </w:pPr>
    <w:rPr>
      <w:sz w:val="2"/>
      <w:szCs w:val="2"/>
    </w:rPr>
  </w:style>
  <w:style w:type="character" w:styleId="PageNumber">
    <w:name w:val="page number"/>
    <w:basedOn w:val="DefaultParagraphFont"/>
    <w:rsid w:val="00050E14"/>
  </w:style>
  <w:style w:type="paragraph" w:styleId="Quote">
    <w:name w:val="Quote"/>
    <w:basedOn w:val="Heading1"/>
    <w:link w:val="QuoteChar"/>
    <w:qFormat/>
    <w:rsid w:val="00050E14"/>
    <w:rPr>
      <w:b w:val="0"/>
      <w:sz w:val="72"/>
      <w:szCs w:val="72"/>
      <w:lang w:val="en-NZ"/>
    </w:rPr>
  </w:style>
  <w:style w:type="character" w:customStyle="1" w:styleId="QuoteChar">
    <w:name w:val="Quote Char"/>
    <w:basedOn w:val="DefaultParagraphFont"/>
    <w:link w:val="Quote"/>
    <w:rsid w:val="00050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E14"/>
    <w:pPr>
      <w:pageBreakBefore/>
    </w:pPr>
  </w:style>
  <w:style w:type="paragraph" w:customStyle="1" w:styleId="Border">
    <w:name w:val="Border"/>
    <w:basedOn w:val="Normal"/>
    <w:qFormat/>
    <w:rsid w:val="00050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E14"/>
    <w:rPr>
      <w:b/>
      <w:bCs/>
      <w:i/>
      <w:iCs/>
      <w:color w:val="auto"/>
    </w:rPr>
  </w:style>
  <w:style w:type="paragraph" w:styleId="IntenseQuote">
    <w:name w:val="Intense Quote"/>
    <w:basedOn w:val="Normal"/>
    <w:next w:val="Normal"/>
    <w:link w:val="IntenseQuoteChar"/>
    <w:uiPriority w:val="30"/>
    <w:qFormat/>
    <w:rsid w:val="00050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E14"/>
    <w:rPr>
      <w:smallCaps/>
      <w:color w:val="auto"/>
      <w:u w:val="single"/>
    </w:rPr>
  </w:style>
  <w:style w:type="character" w:styleId="IntenseReference">
    <w:name w:val="Intense Reference"/>
    <w:basedOn w:val="DefaultParagraphFont"/>
    <w:uiPriority w:val="32"/>
    <w:qFormat/>
    <w:rsid w:val="00050E14"/>
    <w:rPr>
      <w:b/>
      <w:bCs/>
      <w:smallCaps/>
      <w:color w:val="auto"/>
      <w:spacing w:val="5"/>
      <w:u w:val="single"/>
    </w:rPr>
  </w:style>
  <w:style w:type="paragraph" w:customStyle="1" w:styleId="2ColumnHeading">
    <w:name w:val="2Column Heading"/>
    <w:basedOn w:val="BodyText"/>
    <w:qFormat/>
    <w:rsid w:val="00050E14"/>
    <w:pPr>
      <w:spacing w:after="60"/>
      <w:ind w:left="-2268"/>
    </w:pPr>
    <w:rPr>
      <w:b/>
    </w:rPr>
  </w:style>
  <w:style w:type="paragraph" w:customStyle="1" w:styleId="Heading1TOC">
    <w:name w:val="Heading1 TOC"/>
    <w:basedOn w:val="Normal"/>
    <w:qFormat/>
    <w:rsid w:val="00050E14"/>
    <w:pPr>
      <w:spacing w:before="240" w:after="120"/>
    </w:pPr>
    <w:rPr>
      <w:rFonts w:ascii="Times New Roman" w:hAnsi="Times New Roman"/>
      <w:b/>
      <w:sz w:val="32"/>
    </w:rPr>
  </w:style>
  <w:style w:type="paragraph" w:customStyle="1" w:styleId="Heading2TOC">
    <w:name w:val="Heading2 TOC"/>
    <w:basedOn w:val="Normal"/>
    <w:qFormat/>
    <w:rsid w:val="00050E14"/>
    <w:pPr>
      <w:spacing w:before="240" w:after="60"/>
    </w:pPr>
    <w:rPr>
      <w:rFonts w:ascii="Times New Roman" w:hAnsi="Times New Roman"/>
      <w:b/>
      <w:sz w:val="28"/>
    </w:rPr>
  </w:style>
  <w:style w:type="character" w:customStyle="1" w:styleId="Underline">
    <w:name w:val="Underline"/>
    <w:basedOn w:val="DefaultParagraphFont"/>
    <w:qFormat/>
    <w:rsid w:val="00050E14"/>
    <w:rPr>
      <w:u w:val="single"/>
    </w:rPr>
  </w:style>
  <w:style w:type="paragraph" w:styleId="BalloonText">
    <w:name w:val="Balloon Text"/>
    <w:basedOn w:val="Normal"/>
    <w:link w:val="BalloonTextChar"/>
    <w:rsid w:val="00050E14"/>
    <w:rPr>
      <w:rFonts w:ascii="Tahoma" w:hAnsi="Tahoma" w:cs="Tahoma"/>
      <w:sz w:val="16"/>
      <w:szCs w:val="16"/>
    </w:rPr>
  </w:style>
  <w:style w:type="character" w:customStyle="1" w:styleId="BalloonTextChar">
    <w:name w:val="Balloon Text Char"/>
    <w:basedOn w:val="DefaultParagraphFont"/>
    <w:link w:val="BalloonText"/>
    <w:rsid w:val="00050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E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E14"/>
    <w:rPr>
      <w:b/>
      <w:color w:val="660033"/>
      <w:spacing w:val="0"/>
    </w:rPr>
  </w:style>
  <w:style w:type="paragraph" w:customStyle="1" w:styleId="Nameditemlist">
    <w:name w:val="Named item list"/>
    <w:basedOn w:val="BodyText"/>
    <w:qFormat/>
    <w:rsid w:val="00050E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1283</Words>
  <Characters>7991</Characters>
  <Application>Microsoft Office Word</Application>
  <DocSecurity>0</DocSecurity>
  <Lines>288</Lines>
  <Paragraphs>139</Paragraphs>
  <ScaleCrop>false</ScaleCrop>
  <Company>Author-it Software Corporation Ltd.</Company>
  <LinksUpToDate>false</LinksUpToDate>
  <CharactersWithSpaces>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CPCCDE4002A Plan and supervise demolition work to minimise environmental and public health and safety impact</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2014-01-17T12:28:18Z</dcterms:created>
  <dcterms:modified xsi:type="dcterms:W3CDTF">2014-01-16T02:40:00Z</dcterms:modified>
</cp:coreProperties>
</file>