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4B54" w:rsidP="00DB4B54">
      <w:pPr>
        <w:pStyle w:val="Title"/>
      </w:pPr>
      <w:r>
        <w:fldChar w:fldCharType="begin"/>
      </w:r>
      <w:r>
        <w:instrText xml:space="preserve"> TITLE   \* MERGEFORMAT </w:instrText>
      </w:r>
      <w:r>
        <w:fldChar w:fldCharType="separate"/>
      </w:r>
      <w:r>
        <w:t>CPCCCO3023A Cure concrete</w:t>
      </w:r>
      <w:r>
        <w:fldChar w:fldCharType="end"/>
      </w:r>
    </w:p>
    <w:p w:rsidR="00DB4B54" w:rsidP="00DB4B54">
      <w:pPr>
        <w:pStyle w:val="Version"/>
        <w:sectPr w:rsidSect="00CB7C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7C4C" w:rsidP="00CB7C4C">
      <w:pPr>
        <w:pStyle w:val="SuperHeading"/>
      </w:pPr>
      <w:r w:rsidRPr="00CB7C4C">
        <w:t>CPCCCO3023A Cure concrete</w:t>
      </w:r>
    </w:p>
    <w:p w:rsidR="00000000" w:rsidRPr="00CB7C4C" w:rsidP="00CB7C4C">
      <w:pPr>
        <w:pStyle w:val="Heading1"/>
      </w:pPr>
      <w:bookmarkStart w:id="1" w:name="O_269548"/>
      <w:bookmarkEnd w:id="1"/>
      <w:r w:rsidRPr="00CB7C4C">
        <w:t>Modification History</w:t>
      </w:r>
    </w:p>
    <w:p w:rsidR="00000000" w:rsidRPr="00CB7C4C" w:rsidP="00CB7C4C">
      <w:pPr>
        <w:pStyle w:val="BodyText"/>
      </w:pPr>
      <w:r w:rsidRPr="00CB7C4C">
        <w:t>Not Applicable</w:t>
      </w:r>
    </w:p>
    <w:p w:rsidR="00000000" w:rsidRPr="00CB7C4C" w:rsidP="00CB7C4C">
      <w:pPr>
        <w:pStyle w:val="AllowPageBreak"/>
      </w:pPr>
    </w:p>
    <w:p w:rsidR="00000000" w:rsidRPr="00CB7C4C" w:rsidP="00CB7C4C">
      <w:pPr>
        <w:pStyle w:val="Heading1"/>
      </w:pPr>
      <w:bookmarkStart w:id="2" w:name="O_197696"/>
      <w:bookmarkEnd w:id="2"/>
      <w:r w:rsidRPr="00CB7C4C">
        <w:t>Unit Descriptor</w:t>
      </w:r>
    </w:p>
    <w:tbl>
      <w:tblPr>
        <w:tblW w:w="0" w:type="auto"/>
        <w:tblLayout w:type="fixed"/>
        <w:tblCellMar>
          <w:left w:w="62" w:type="dxa"/>
          <w:right w:w="62" w:type="dxa"/>
        </w:tblCellMar>
        <w:tblLook w:val="0000"/>
      </w:tblPr>
      <w:tblGrid>
        <w:gridCol w:w="2626"/>
        <w:gridCol w:w="5896"/>
      </w:tblGrid>
      <w:tr w:rsidTr="00DB4B54">
        <w:tblPrEx>
          <w:tblW w:w="0" w:type="auto"/>
          <w:tblLayout w:type="fixed"/>
          <w:tblCellMar>
            <w:left w:w="62" w:type="dxa"/>
            <w:right w:w="62" w:type="dxa"/>
          </w:tblCellMar>
          <w:tblLook w:val="0000"/>
        </w:tblPrEx>
        <w:trPr>
          <w:tblHeader/>
        </w:trPr>
        <w:tc>
          <w:tcPr>
            <w:tcW w:w="2626"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Unit descriptor</w:t>
            </w:r>
          </w:p>
        </w:tc>
        <w:tc>
          <w:tcPr>
            <w:tcW w:w="5896"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This unit of competency specifies the outcomes required to carry out the initial curing process to a nominated poured concret</w:t>
            </w:r>
            <w:r w:rsidRPr="00CB7C4C">
              <w:t>e section to control the moisture evaporation from finished concrete.</w:t>
            </w:r>
          </w:p>
          <w:p w:rsidR="00000000" w:rsidRPr="00CB7C4C" w:rsidP="00CB7C4C">
            <w:pPr>
              <w:pStyle w:val="BodyText"/>
            </w:pPr>
            <w:r w:rsidRPr="00CB7C4C">
              <w:t>The unit includes using curing agents and curing techniques in accordance with engineering specifications.</w:t>
            </w:r>
          </w:p>
        </w:tc>
      </w:tr>
    </w:tbl>
    <w:p w:rsidR="00DB4B54" w:rsidP="00CB7C4C">
      <w:pPr>
        <w:pStyle w:val="BodyText"/>
      </w:pPr>
    </w:p>
    <w:p w:rsidR="00DB4B54" w:rsidP="00CB7C4C">
      <w:pPr>
        <w:pStyle w:val="BodyText"/>
      </w:pPr>
    </w:p>
    <w:p w:rsidR="00000000" w:rsidRPr="00CB7C4C" w:rsidP="00CB7C4C">
      <w:pPr>
        <w:pStyle w:val="Heading1"/>
      </w:pPr>
      <w:bookmarkStart w:id="3" w:name="O_197700"/>
      <w:bookmarkEnd w:id="3"/>
      <w:r w:rsidRPr="00CB7C4C">
        <w:t>Application of the Unit</w:t>
      </w:r>
    </w:p>
    <w:tbl>
      <w:tblPr>
        <w:tblW w:w="0" w:type="auto"/>
        <w:tblLayout w:type="fixed"/>
        <w:tblCellMar>
          <w:left w:w="62" w:type="dxa"/>
          <w:right w:w="62" w:type="dxa"/>
        </w:tblCellMar>
        <w:tblLook w:val="0000"/>
      </w:tblPr>
      <w:tblGrid>
        <w:gridCol w:w="2694"/>
        <w:gridCol w:w="5828"/>
      </w:tblGrid>
      <w:tr w:rsidTr="00DB4B54">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Application of the unit</w:t>
            </w:r>
          </w:p>
        </w:tc>
        <w:tc>
          <w:tcPr>
            <w:tcW w:w="5828"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 xml:space="preserve">This unit of competency supports the attainment of the understanding and skills to cure concrete, which may include working with others and as a member of a team. </w:t>
            </w:r>
          </w:p>
        </w:tc>
      </w:tr>
    </w:tbl>
    <w:p w:rsidR="00DB4B54" w:rsidP="00CB7C4C">
      <w:pPr>
        <w:pStyle w:val="BodyText"/>
      </w:pPr>
    </w:p>
    <w:p w:rsidR="00DB4B54" w:rsidP="00CB7C4C">
      <w:pPr>
        <w:pStyle w:val="BodyText"/>
      </w:pPr>
    </w:p>
    <w:p w:rsidR="00000000" w:rsidRPr="00CB7C4C" w:rsidP="00CB7C4C">
      <w:pPr>
        <w:pStyle w:val="Heading1"/>
      </w:pPr>
      <w:bookmarkStart w:id="4" w:name="O_277808"/>
      <w:bookmarkEnd w:id="4"/>
      <w:r w:rsidRPr="00CB7C4C">
        <w:t>Licensing/Regulatory Information</w:t>
      </w:r>
    </w:p>
    <w:p w:rsidR="00000000" w:rsidRPr="00CB7C4C" w:rsidP="00CB7C4C">
      <w:pPr>
        <w:pStyle w:val="BodyText"/>
      </w:pPr>
      <w:r w:rsidRPr="00CB7C4C">
        <w:t>Not Applicable</w:t>
      </w:r>
    </w:p>
    <w:p w:rsidR="00000000" w:rsidRPr="00CB7C4C" w:rsidP="00CB7C4C">
      <w:pPr>
        <w:pStyle w:val="AllowPageBreak"/>
      </w:pPr>
    </w:p>
    <w:p w:rsidR="00000000" w:rsidRPr="00CB7C4C" w:rsidP="00CB7C4C">
      <w:pPr>
        <w:pStyle w:val="Heading1"/>
      </w:pPr>
      <w:bookmarkStart w:id="5" w:name="O_197698"/>
      <w:bookmarkEnd w:id="5"/>
      <w:r w:rsidRPr="00CB7C4C">
        <w:t>Pre-Requisites</w:t>
      </w:r>
    </w:p>
    <w:tbl>
      <w:tblPr>
        <w:tblW w:w="0" w:type="auto"/>
        <w:tblLayout w:type="fixed"/>
        <w:tblCellMar>
          <w:left w:w="62" w:type="dxa"/>
          <w:right w:w="62" w:type="dxa"/>
        </w:tblCellMar>
        <w:tblLook w:val="0000"/>
      </w:tblPr>
      <w:tblGrid>
        <w:gridCol w:w="2590"/>
        <w:gridCol w:w="2737"/>
        <w:gridCol w:w="3195"/>
      </w:tblGrid>
      <w:tr w:rsidTr="00DB4B54">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Prerequisite units</w:t>
            </w:r>
          </w:p>
        </w:tc>
        <w:tc>
          <w:tcPr>
            <w:tcW w:w="5932" w:type="dxa"/>
            <w:gridSpan w:val="2"/>
            <w:tcBorders>
              <w:top w:val="nil"/>
              <w:left w:val="nil"/>
              <w:bottom w:val="nil"/>
              <w:right w:val="nil"/>
            </w:tcBorders>
            <w:tcMar>
              <w:top w:w="0" w:type="dxa"/>
              <w:left w:w="62" w:type="dxa"/>
              <w:bottom w:w="0" w:type="dxa"/>
              <w:right w:w="62" w:type="dxa"/>
            </w:tcMar>
          </w:tcPr>
          <w:p w:rsidR="00000000" w:rsidP="00CB7C4C">
            <w:pPr>
              <w:pStyle w:val="BodyText"/>
              <w:rPr>
                <w:lang w:val="en-NZ"/>
              </w:rPr>
            </w:pPr>
          </w:p>
        </w:tc>
      </w:tr>
      <w:tr w:rsidTr="00DB4B5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t>CPCCOHS2001A</w:t>
            </w:r>
          </w:p>
        </w:tc>
        <w:tc>
          <w:tcPr>
            <w:tcW w:w="3195"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t>Apply OHS requirements, policies and procedures in the construction industry</w:t>
            </w:r>
          </w:p>
        </w:tc>
      </w:tr>
      <w:tr w:rsidTr="00DB4B5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95" w:type="dxa"/>
            <w:tcBorders>
              <w:top w:val="nil"/>
              <w:left w:val="nil"/>
              <w:bottom w:val="nil"/>
              <w:right w:val="nil"/>
            </w:tcBorders>
            <w:tcMar>
              <w:top w:w="0" w:type="dxa"/>
              <w:left w:w="62" w:type="dxa"/>
              <w:bottom w:w="0" w:type="dxa"/>
              <w:right w:w="62" w:type="dxa"/>
            </w:tcMar>
          </w:tcPr>
          <w:p w:rsidR="00000000" w:rsidRPr="00CB7C4C" w:rsidP="00CB7C4C">
            <w:pPr>
              <w:pStyle w:val="BodyText"/>
            </w:pPr>
          </w:p>
        </w:tc>
      </w:tr>
    </w:tbl>
    <w:p w:rsidR="00DB4B54" w:rsidP="00CB7C4C">
      <w:pPr>
        <w:pStyle w:val="BodyText"/>
      </w:pPr>
    </w:p>
    <w:p w:rsidR="00DB4B54" w:rsidP="00CB7C4C">
      <w:pPr>
        <w:pStyle w:val="BodyText"/>
      </w:pPr>
    </w:p>
    <w:p w:rsidR="00000000" w:rsidRPr="00CB7C4C" w:rsidP="00CB7C4C">
      <w:pPr>
        <w:pStyle w:val="Heading1"/>
      </w:pPr>
      <w:bookmarkStart w:id="6" w:name="O_197697"/>
      <w:bookmarkEnd w:id="6"/>
      <w:r w:rsidRPr="00CB7C4C">
        <w:t>Employability Skills Information</w:t>
      </w:r>
    </w:p>
    <w:tbl>
      <w:tblPr>
        <w:tblW w:w="0" w:type="auto"/>
        <w:tblLayout w:type="fixed"/>
        <w:tblCellMar>
          <w:left w:w="62" w:type="dxa"/>
          <w:right w:w="62" w:type="dxa"/>
        </w:tblCellMar>
        <w:tblLook w:val="0000"/>
      </w:tblPr>
      <w:tblGrid>
        <w:gridCol w:w="2729"/>
        <w:gridCol w:w="5793"/>
      </w:tblGrid>
      <w:tr w:rsidTr="00DB4B5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This unit contains employability skills.</w:t>
            </w:r>
          </w:p>
        </w:tc>
      </w:tr>
    </w:tbl>
    <w:p w:rsidR="00DB4B54" w:rsidP="00CB7C4C">
      <w:pPr>
        <w:pStyle w:val="BodyText"/>
      </w:pPr>
    </w:p>
    <w:p w:rsidR="00DB4B54" w:rsidP="00CB7C4C">
      <w:pPr>
        <w:pStyle w:val="BodyText"/>
      </w:pPr>
    </w:p>
    <w:p w:rsidR="00000000" w:rsidRPr="00CB7C4C" w:rsidP="00CB7C4C">
      <w:pPr>
        <w:pStyle w:val="Heading1"/>
      </w:pPr>
      <w:bookmarkStart w:id="7" w:name="O_287594"/>
      <w:bookmarkEnd w:id="7"/>
      <w:r w:rsidRPr="00CB7C4C">
        <w:t>Elements and Performance Criteria Pre-Content</w:t>
      </w:r>
    </w:p>
    <w:tbl>
      <w:tblPr>
        <w:tblW w:w="0" w:type="auto"/>
        <w:tblLayout w:type="fixed"/>
        <w:tblCellMar>
          <w:left w:w="62" w:type="dxa"/>
          <w:right w:w="62" w:type="dxa"/>
        </w:tblCellMar>
        <w:tblLook w:val="0000"/>
      </w:tblPr>
      <w:tblGrid>
        <w:gridCol w:w="2567"/>
        <w:gridCol w:w="5955"/>
      </w:tblGrid>
      <w:tr w:rsidTr="00DB4B54">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B7C4C">
            <w:pPr>
              <w:pStyle w:val="BodyText"/>
              <w:rPr>
                <w:lang w:val="en-NZ"/>
              </w:rPr>
            </w:pPr>
            <w:r w:rsidRPr="00CB7C4C">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B7C4C" w:rsidP="00CB7C4C">
            <w:pPr>
              <w:pStyle w:val="BodyText"/>
            </w:pPr>
            <w:r w:rsidRPr="00CB7C4C">
              <w:t>Performance criteria describe the performance needed to demonstrate achievement of the element. Where bold italicised text is us</w:t>
            </w:r>
            <w:r w:rsidRPr="00CB7C4C">
              <w:t>ed, further information is detailed in the required skills and knowledge section and the range statement. Assessment of performance is to be consistent with the evidence guide.</w:t>
            </w:r>
          </w:p>
        </w:tc>
      </w:tr>
    </w:tbl>
    <w:p w:rsidR="00000000" w:rsidRPr="00CB7C4C" w:rsidP="00CB7C4C">
      <w:pPr>
        <w:pStyle w:val="BodyText"/>
      </w:pPr>
    </w:p>
    <w:p w:rsidR="00000000" w:rsidRPr="00CB7C4C" w:rsidP="00CB7C4C">
      <w:pPr>
        <w:pStyle w:val="AllowPageBreak"/>
      </w:pPr>
    </w:p>
    <w:p w:rsidR="00000000" w:rsidRPr="00CB7C4C" w:rsidP="00CB7C4C">
      <w:pPr>
        <w:pStyle w:val="Heading1"/>
      </w:pPr>
      <w:bookmarkStart w:id="8" w:name="O_234261"/>
      <w:bookmarkEnd w:id="8"/>
      <w:r w:rsidRPr="00CB7C4C">
        <w:t>Elements and Performance Criteria</w:t>
      </w:r>
    </w:p>
    <w:tbl>
      <w:tblPr>
        <w:tblW w:w="0" w:type="auto"/>
        <w:tblLayout w:type="fixed"/>
        <w:tblCellMar>
          <w:left w:w="62" w:type="dxa"/>
          <w:right w:w="62" w:type="dxa"/>
        </w:tblCellMar>
        <w:tblLook w:val="0000"/>
      </w:tblPr>
      <w:tblGrid>
        <w:gridCol w:w="2567"/>
        <w:gridCol w:w="5955"/>
      </w:tblGrid>
      <w:tr w:rsidTr="00DB4B54">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B7C4C" w:rsidP="00CB7C4C">
            <w:pPr>
              <w:pStyle w:val="BodyText"/>
            </w:pPr>
            <w:r w:rsidRPr="00CB7C4C">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B7C4C">
            <w:pPr>
              <w:pStyle w:val="BodyText"/>
              <w:rPr>
                <w:lang w:val="en-NZ"/>
              </w:rPr>
            </w:pPr>
            <w:r w:rsidRPr="00CB7C4C">
              <w:rPr>
                <w:rStyle w:val="SpecialBold"/>
              </w:rPr>
              <w:t>PE</w:t>
            </w:r>
            <w:r w:rsidRPr="00CB7C4C">
              <w:rPr>
                <w:rStyle w:val="SpecialBold"/>
              </w:rPr>
              <w:t>RFORMANCE CRITERIA</w:t>
            </w:r>
          </w:p>
        </w:tc>
      </w:tr>
      <w:tr w:rsidTr="00DB4B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B7C4C">
            <w:pPr>
              <w:pStyle w:val="List"/>
              <w:rPr>
                <w:lang w:val="en-NZ"/>
              </w:rPr>
            </w:pPr>
            <w:r w:rsidRPr="00CB7C4C">
              <w:t>1.</w:t>
            </w:r>
            <w:r w:rsidRPr="00CB7C4C">
              <w:tab/>
              <w:t>Plan and prepare.</w:t>
            </w:r>
          </w:p>
        </w:tc>
        <w:tc>
          <w:tcPr>
            <w:tcW w:w="5955" w:type="dxa"/>
            <w:tcBorders>
              <w:top w:val="nil"/>
              <w:left w:val="nil"/>
              <w:bottom w:val="nil"/>
              <w:right w:val="nil"/>
            </w:tcBorders>
            <w:tcMar>
              <w:top w:w="0" w:type="dxa"/>
              <w:left w:w="62" w:type="dxa"/>
              <w:bottom w:w="0" w:type="dxa"/>
              <w:right w:w="62" w:type="dxa"/>
            </w:tcMar>
          </w:tcPr>
          <w:p w:rsidR="00000000" w:rsidRPr="00CB7C4C" w:rsidP="00CB7C4C">
            <w:pPr>
              <w:pStyle w:val="List2"/>
            </w:pPr>
            <w:r w:rsidRPr="00CB7C4C">
              <w:t>1.1.</w:t>
            </w:r>
            <w:r w:rsidRPr="00CB7C4C">
              <w:tab/>
              <w:t xml:space="preserve">Work instructions and operational details are obtained using relevant </w:t>
            </w:r>
            <w:r w:rsidRPr="00CB7C4C">
              <w:rPr>
                <w:rStyle w:val="BoldandItalics"/>
              </w:rPr>
              <w:t>information</w:t>
            </w:r>
            <w:r w:rsidRPr="00CB7C4C">
              <w:t xml:space="preserve">, confirmed and applied for </w:t>
            </w:r>
            <w:r w:rsidRPr="00CB7C4C">
              <w:rPr>
                <w:rStyle w:val="BoldandItalics"/>
              </w:rPr>
              <w:t>planning and preparation</w:t>
            </w:r>
            <w:r w:rsidRPr="00CB7C4C">
              <w:t xml:space="preserve"> purposes. </w:t>
            </w:r>
          </w:p>
          <w:p w:rsidR="00000000" w:rsidRPr="00CB7C4C" w:rsidP="00CB7C4C">
            <w:pPr>
              <w:pStyle w:val="List2"/>
            </w:pPr>
            <w:r w:rsidRPr="00CB7C4C">
              <w:t>1.2.</w:t>
            </w:r>
            <w:r w:rsidRPr="00CB7C4C">
              <w:tab/>
            </w:r>
            <w:r w:rsidRPr="00CB7C4C">
              <w:rPr>
                <w:rStyle w:val="BoldandItalics"/>
              </w:rPr>
              <w:t>Safety</w:t>
            </w:r>
            <w:r w:rsidRPr="00CB7C4C">
              <w:t xml:space="preserve"> (</w:t>
            </w:r>
            <w:r w:rsidRPr="00CB7C4C">
              <w:rPr>
                <w:rStyle w:val="BoldandItalics"/>
              </w:rPr>
              <w:t>OHS</w:t>
            </w:r>
            <w:r w:rsidRPr="00CB7C4C">
              <w:t>) requirements are followed in accordance with sa</w:t>
            </w:r>
            <w:r w:rsidRPr="00CB7C4C">
              <w:t xml:space="preserve">fety plans and policies. </w:t>
            </w:r>
          </w:p>
          <w:p w:rsidR="00000000" w:rsidRPr="00CB7C4C" w:rsidP="00CB7C4C">
            <w:pPr>
              <w:pStyle w:val="List2"/>
            </w:pPr>
            <w:r w:rsidRPr="00CB7C4C">
              <w:t>1.3.</w:t>
            </w:r>
            <w:r w:rsidRPr="00CB7C4C">
              <w:tab/>
              <w:t>Signage and barricade requirements are identified and implemented.</w:t>
            </w:r>
          </w:p>
          <w:p w:rsidR="00000000" w:rsidRPr="00CB7C4C" w:rsidP="00CB7C4C">
            <w:pPr>
              <w:pStyle w:val="List2"/>
            </w:pPr>
            <w:r w:rsidRPr="00CB7C4C">
              <w:t>1.4.</w:t>
            </w:r>
            <w:r w:rsidRPr="00CB7C4C">
              <w:tab/>
            </w:r>
            <w:r w:rsidRPr="00CB7C4C">
              <w:rPr>
                <w:rStyle w:val="BoldandItalics"/>
              </w:rPr>
              <w:t>Tools and equipment</w:t>
            </w:r>
            <w:r w:rsidRPr="00CB7C4C">
              <w:t xml:space="preserve"> selected to carry out tasks are consistent with the requirements of the job, checked for serviceability and any faults are rectified </w:t>
            </w:r>
            <w:r w:rsidRPr="00CB7C4C">
              <w:t xml:space="preserve">or reported prior to commencement. </w:t>
            </w:r>
          </w:p>
          <w:p w:rsidR="00000000" w:rsidRPr="00CB7C4C" w:rsidP="00CB7C4C">
            <w:pPr>
              <w:pStyle w:val="List2"/>
            </w:pPr>
            <w:r w:rsidRPr="00CB7C4C">
              <w:t>1.5.</w:t>
            </w:r>
            <w:r w:rsidRPr="00CB7C4C">
              <w:tab/>
              <w:t xml:space="preserve">Materials quantity requirements are calculated in accordance with plans, specifications and </w:t>
            </w:r>
            <w:r w:rsidRPr="00CB7C4C">
              <w:rPr>
                <w:rStyle w:val="BoldandItalics"/>
              </w:rPr>
              <w:t>quality requirements</w:t>
            </w:r>
            <w:r w:rsidRPr="00CB7C4C">
              <w:t xml:space="preserve">. </w:t>
            </w:r>
          </w:p>
          <w:p w:rsidR="00000000" w:rsidRPr="00CB7C4C" w:rsidP="00CB7C4C">
            <w:pPr>
              <w:pStyle w:val="List2"/>
            </w:pPr>
            <w:r w:rsidRPr="00CB7C4C">
              <w:t>1.6.</w:t>
            </w:r>
            <w:r w:rsidRPr="00CB7C4C">
              <w:tab/>
            </w:r>
            <w:r w:rsidRPr="00CB7C4C">
              <w:rPr>
                <w:rStyle w:val="BoldandItalics"/>
              </w:rPr>
              <w:t>Materials</w:t>
            </w:r>
            <w:r w:rsidRPr="00CB7C4C">
              <w:t xml:space="preserve"> appropriate to the work application are identified, obtained, prepared, safely handle</w:t>
            </w:r>
            <w:r w:rsidRPr="00CB7C4C">
              <w:t xml:space="preserve">d and located ready for use. </w:t>
            </w:r>
          </w:p>
          <w:p w:rsidR="00000000" w:rsidP="00CB7C4C">
            <w:pPr>
              <w:pStyle w:val="List2"/>
              <w:rPr>
                <w:lang w:val="en-NZ"/>
              </w:rPr>
            </w:pPr>
            <w:r w:rsidRPr="00CB7C4C">
              <w:t>1.7.</w:t>
            </w:r>
            <w:r w:rsidRPr="00CB7C4C">
              <w:tab/>
            </w:r>
            <w:r w:rsidRPr="00CB7C4C">
              <w:rPr>
                <w:rStyle w:val="BoldandItalics"/>
              </w:rPr>
              <w:t>Environmental requirements</w:t>
            </w:r>
            <w:r w:rsidRPr="00CB7C4C">
              <w:t xml:space="preserve"> are identified for the project in accordance with environmental plans and regulatory obligations and applied. </w:t>
            </w:r>
          </w:p>
        </w:tc>
      </w:tr>
      <w:tr w:rsidTr="00DB4B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B7C4C">
            <w:pPr>
              <w:pStyle w:val="List"/>
              <w:rPr>
                <w:lang w:val="en-NZ"/>
              </w:rPr>
            </w:pPr>
            <w:r w:rsidRPr="00CB7C4C">
              <w:t>2.</w:t>
            </w:r>
            <w:r w:rsidRPr="00CB7C4C">
              <w:tab/>
              <w:t>Cure concrete.</w:t>
            </w:r>
          </w:p>
        </w:tc>
        <w:tc>
          <w:tcPr>
            <w:tcW w:w="5955" w:type="dxa"/>
            <w:tcBorders>
              <w:top w:val="nil"/>
              <w:left w:val="nil"/>
              <w:bottom w:val="nil"/>
              <w:right w:val="nil"/>
            </w:tcBorders>
            <w:tcMar>
              <w:top w:w="0" w:type="dxa"/>
              <w:left w:w="62" w:type="dxa"/>
              <w:bottom w:w="0" w:type="dxa"/>
              <w:right w:w="62" w:type="dxa"/>
            </w:tcMar>
          </w:tcPr>
          <w:p w:rsidR="00000000" w:rsidRPr="00CB7C4C" w:rsidP="00CB7C4C">
            <w:pPr>
              <w:pStyle w:val="List2"/>
            </w:pPr>
            <w:r w:rsidRPr="00CB7C4C">
              <w:t>2.1.</w:t>
            </w:r>
            <w:r w:rsidRPr="00CB7C4C">
              <w:tab/>
            </w:r>
            <w:r w:rsidRPr="00CB7C4C">
              <w:rPr>
                <w:rStyle w:val="BoldandItalics"/>
              </w:rPr>
              <w:t>Concrete</w:t>
            </w:r>
            <w:r w:rsidRPr="00CB7C4C">
              <w:t xml:space="preserve"> is cured to project specifications. </w:t>
            </w:r>
          </w:p>
          <w:p w:rsidR="00000000" w:rsidRPr="00CB7C4C" w:rsidP="00CB7C4C">
            <w:pPr>
              <w:pStyle w:val="List2"/>
            </w:pPr>
            <w:r w:rsidRPr="00CB7C4C">
              <w:t>2.2.</w:t>
            </w:r>
            <w:r w:rsidRPr="00CB7C4C">
              <w:tab/>
            </w:r>
            <w:r w:rsidRPr="00CB7C4C">
              <w:rPr>
                <w:rStyle w:val="BoldandItalics"/>
              </w:rPr>
              <w:t>Run</w:t>
            </w:r>
            <w:r w:rsidRPr="00CB7C4C">
              <w:t>-</w:t>
            </w:r>
            <w:r w:rsidRPr="00CB7C4C">
              <w:rPr>
                <w:rStyle w:val="BoldandItalics"/>
              </w:rPr>
              <w:t>off devices</w:t>
            </w:r>
            <w:r w:rsidRPr="00CB7C4C">
              <w:t xml:space="preserve"> are installed and maintained. </w:t>
            </w:r>
          </w:p>
          <w:p w:rsidR="00000000" w:rsidRPr="00CB7C4C" w:rsidP="00CB7C4C">
            <w:pPr>
              <w:pStyle w:val="List2"/>
            </w:pPr>
            <w:r w:rsidRPr="00CB7C4C">
              <w:t>2.3.</w:t>
            </w:r>
            <w:r w:rsidRPr="00CB7C4C">
              <w:tab/>
            </w:r>
            <w:r w:rsidRPr="00CB7C4C">
              <w:rPr>
                <w:rStyle w:val="BoldandItalics"/>
              </w:rPr>
              <w:t>Curing compound</w:t>
            </w:r>
            <w:r w:rsidRPr="00CB7C4C">
              <w:t xml:space="preserve"> and </w:t>
            </w:r>
            <w:r w:rsidRPr="00CB7C4C">
              <w:rPr>
                <w:rStyle w:val="BoldandItalics"/>
              </w:rPr>
              <w:t>curing technique</w:t>
            </w:r>
            <w:r w:rsidRPr="00CB7C4C">
              <w:t>/</w:t>
            </w:r>
            <w:r w:rsidRPr="00CB7C4C">
              <w:rPr>
                <w:rStyle w:val="BoldandItalics"/>
              </w:rPr>
              <w:t>method</w:t>
            </w:r>
            <w:r w:rsidRPr="00CB7C4C">
              <w:t xml:space="preserve"> are applied and maintained on concrete surface to project specifications. </w:t>
            </w:r>
          </w:p>
          <w:p w:rsidR="00000000" w:rsidP="00CB7C4C">
            <w:pPr>
              <w:pStyle w:val="List2"/>
              <w:rPr>
                <w:lang w:val="en-NZ"/>
              </w:rPr>
            </w:pPr>
            <w:r w:rsidRPr="00CB7C4C">
              <w:t>2.4.</w:t>
            </w:r>
            <w:r w:rsidRPr="00CB7C4C">
              <w:tab/>
            </w:r>
            <w:r w:rsidRPr="00CB7C4C">
              <w:rPr>
                <w:rStyle w:val="BoldandItalics"/>
              </w:rPr>
              <w:t>Concrete is protected</w:t>
            </w:r>
            <w:r w:rsidRPr="00CB7C4C">
              <w:t xml:space="preserve"> during curing process by isolating and/or barricading the area</w:t>
            </w:r>
            <w:r w:rsidRPr="00CB7C4C">
              <w:t xml:space="preserve">. </w:t>
            </w:r>
          </w:p>
        </w:tc>
      </w:tr>
      <w:tr w:rsidTr="00DB4B54">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B7C4C">
            <w:pPr>
              <w:pStyle w:val="List"/>
              <w:rPr>
                <w:lang w:val="en-NZ"/>
              </w:rPr>
            </w:pPr>
            <w:r w:rsidRPr="00CB7C4C">
              <w:t>3.</w:t>
            </w:r>
            <w:r w:rsidRPr="00CB7C4C">
              <w:tab/>
              <w:t>Clean up.</w:t>
            </w:r>
          </w:p>
        </w:tc>
        <w:tc>
          <w:tcPr>
            <w:tcW w:w="5955" w:type="dxa"/>
            <w:tcBorders>
              <w:top w:val="nil"/>
              <w:left w:val="nil"/>
              <w:bottom w:val="nil"/>
              <w:right w:val="nil"/>
            </w:tcBorders>
            <w:tcMar>
              <w:top w:w="0" w:type="dxa"/>
              <w:left w:w="62" w:type="dxa"/>
              <w:bottom w:w="0" w:type="dxa"/>
              <w:right w:w="62" w:type="dxa"/>
            </w:tcMar>
          </w:tcPr>
          <w:p w:rsidR="00000000" w:rsidRPr="00CB7C4C" w:rsidP="00CB7C4C">
            <w:pPr>
              <w:pStyle w:val="List2"/>
            </w:pPr>
            <w:r w:rsidRPr="00CB7C4C">
              <w:t>3.1.</w:t>
            </w:r>
            <w:r w:rsidRPr="00CB7C4C">
              <w:tab/>
              <w:t>Work area is cleared and materials disposed of, reused or recycled in accordance with legislation, regulations, codes of practice and job specification.</w:t>
            </w:r>
          </w:p>
          <w:p w:rsidR="00000000" w:rsidRPr="00CB7C4C" w:rsidP="00CB7C4C">
            <w:pPr>
              <w:pStyle w:val="List2"/>
            </w:pPr>
            <w:r w:rsidRPr="00CB7C4C">
              <w:t>3.2.</w:t>
            </w:r>
            <w:r w:rsidRPr="00CB7C4C">
              <w:tab/>
              <w:t>Tools and equipment are cleaned, checked, maintained and stored in accordanc</w:t>
            </w:r>
            <w:r w:rsidRPr="00CB7C4C">
              <w:t>e with manufacturer recommendations and standard work practices.</w:t>
            </w:r>
          </w:p>
        </w:tc>
      </w:tr>
    </w:tbl>
    <w:p w:rsidR="00DB4B54" w:rsidP="00CB7C4C">
      <w:pPr>
        <w:pStyle w:val="BodyText"/>
      </w:pPr>
    </w:p>
    <w:p w:rsidR="00DB4B54" w:rsidP="00CB7C4C">
      <w:pPr>
        <w:pStyle w:val="BodyText"/>
      </w:pPr>
    </w:p>
    <w:p w:rsidR="00000000" w:rsidRPr="00CB7C4C" w:rsidP="00CB7C4C">
      <w:pPr>
        <w:pStyle w:val="Heading1"/>
      </w:pPr>
      <w:bookmarkStart w:id="9" w:name="O_258211"/>
      <w:bookmarkEnd w:id="9"/>
      <w:r w:rsidRPr="00CB7C4C">
        <w:t>Required Skills and Knowledge</w:t>
      </w:r>
    </w:p>
    <w:tbl>
      <w:tblPr>
        <w:tblW w:w="0" w:type="auto"/>
        <w:tblLayout w:type="fixed"/>
        <w:tblCellMar>
          <w:left w:w="62" w:type="dxa"/>
          <w:right w:w="62" w:type="dxa"/>
        </w:tblCellMar>
        <w:tblLook w:val="0000"/>
      </w:tblPr>
      <w:tblGrid>
        <w:gridCol w:w="8522"/>
      </w:tblGrid>
      <w:tr w:rsidTr="00DB4B5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REQUIRED SKILLS AND KNOWLEDGE</w:t>
            </w:r>
          </w:p>
        </w:tc>
      </w:tr>
      <w:tr w:rsidTr="00DB4B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t>This section describes the skills and knowledge required for this unit.</w:t>
            </w:r>
          </w:p>
        </w:tc>
      </w:tr>
      <w:tr w:rsidTr="00DB4B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Required skills</w:t>
            </w:r>
          </w:p>
        </w:tc>
      </w:tr>
      <w:tr w:rsidTr="00DB4B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Required skills for this unit are:</w:t>
            </w:r>
          </w:p>
          <w:p w:rsidR="00000000" w:rsidRPr="00CB7C4C" w:rsidP="00CB7C4C">
            <w:pPr>
              <w:pStyle w:val="ListBullet"/>
            </w:pPr>
            <w:r w:rsidRPr="00CB7C4C">
              <w:t>communication skills to:</w:t>
            </w:r>
          </w:p>
          <w:p w:rsidR="00000000" w:rsidRPr="00CB7C4C" w:rsidP="00CB7C4C">
            <w:pPr>
              <w:pStyle w:val="ListBullet2"/>
            </w:pPr>
            <w:r w:rsidRPr="00CB7C4C">
              <w:t>determine requirements</w:t>
            </w:r>
          </w:p>
          <w:p w:rsidR="00000000" w:rsidRPr="00CB7C4C" w:rsidP="00CB7C4C">
            <w:pPr>
              <w:pStyle w:val="ListBullet2"/>
            </w:pPr>
            <w:r w:rsidRPr="00CB7C4C">
              <w:t>enable clear and direct communication, using questioning to identify and confirm requirements, share information, listen and understand</w:t>
            </w:r>
          </w:p>
          <w:p w:rsidR="00000000" w:rsidRPr="00CB7C4C" w:rsidP="00CB7C4C">
            <w:pPr>
              <w:pStyle w:val="ListBullet2"/>
            </w:pPr>
            <w:r w:rsidRPr="00CB7C4C">
              <w:t>follow instructions</w:t>
            </w:r>
          </w:p>
          <w:p w:rsidR="00000000" w:rsidRPr="00CB7C4C" w:rsidP="00CB7C4C">
            <w:pPr>
              <w:pStyle w:val="ListBullet2"/>
            </w:pPr>
            <w:r w:rsidRPr="00CB7C4C">
              <w:t>read and interp</w:t>
            </w:r>
            <w:r w:rsidRPr="00CB7C4C">
              <w:t>ret:</w:t>
            </w:r>
          </w:p>
          <w:p w:rsidR="00000000" w:rsidRPr="00CB7C4C" w:rsidP="00CB7C4C">
            <w:pPr>
              <w:pStyle w:val="ListBullet3"/>
            </w:pPr>
            <w:r w:rsidRPr="00CB7C4C">
              <w:t>documentation from a variety of sources</w:t>
            </w:r>
          </w:p>
          <w:p w:rsidR="00000000" w:rsidRPr="00CB7C4C" w:rsidP="00CB7C4C">
            <w:pPr>
              <w:pStyle w:val="ListBullet3"/>
            </w:pPr>
            <w:r w:rsidRPr="00CB7C4C">
              <w:t>drawings and specifications</w:t>
            </w:r>
          </w:p>
          <w:p w:rsidR="00000000" w:rsidRPr="00CB7C4C" w:rsidP="00CB7C4C">
            <w:pPr>
              <w:pStyle w:val="ListBullet2"/>
            </w:pPr>
            <w:r w:rsidRPr="00CB7C4C">
              <w:t>report faults</w:t>
            </w:r>
          </w:p>
          <w:p w:rsidR="00000000" w:rsidRPr="00CB7C4C" w:rsidP="00CB7C4C">
            <w:pPr>
              <w:pStyle w:val="ListBullet2"/>
            </w:pPr>
            <w:r w:rsidRPr="00CB7C4C">
              <w:t>use language and concepts appropriate to cultural differences</w:t>
            </w:r>
          </w:p>
          <w:p w:rsidR="00000000" w:rsidRPr="00CB7C4C" w:rsidP="00CB7C4C">
            <w:pPr>
              <w:pStyle w:val="ListBullet2"/>
            </w:pPr>
            <w:r w:rsidRPr="00CB7C4C">
              <w:t>use and interpret non-verbal communication, such as hand signals</w:t>
            </w:r>
          </w:p>
          <w:p w:rsidR="00000000" w:rsidRPr="00CB7C4C" w:rsidP="00CB7C4C">
            <w:pPr>
              <w:pStyle w:val="ListBullet"/>
            </w:pPr>
            <w:r w:rsidRPr="00CB7C4C">
              <w:t>evaluating own actions and making judgments about performance and necessary improvements</w:t>
            </w:r>
          </w:p>
          <w:p w:rsidR="00000000" w:rsidRPr="00CB7C4C" w:rsidP="00CB7C4C">
            <w:pPr>
              <w:pStyle w:val="ListBullet"/>
            </w:pPr>
            <w:r w:rsidRPr="00CB7C4C">
              <w:t>identifying and accurately reporting to appropriate personnel any faults in tools, equipment or materials</w:t>
            </w:r>
          </w:p>
          <w:p w:rsidR="00000000" w:rsidRPr="00CB7C4C" w:rsidP="00CB7C4C">
            <w:pPr>
              <w:pStyle w:val="ListBullet"/>
            </w:pPr>
            <w:r w:rsidRPr="00CB7C4C">
              <w:t>organisational skills, including the ability to plan and set out work</w:t>
            </w:r>
          </w:p>
          <w:p w:rsidR="00000000" w:rsidRPr="00CB7C4C" w:rsidP="00CB7C4C">
            <w:pPr>
              <w:pStyle w:val="ListBullet"/>
            </w:pPr>
            <w:r w:rsidRPr="00CB7C4C">
              <w:t>recognising procedures, following instructions, responding to change and contributing to workplace responsibilities, such as current work site environmental and sustainability frameworks</w:t>
            </w:r>
            <w:r w:rsidRPr="00CB7C4C">
              <w:t xml:space="preserve"> or management systems</w:t>
            </w:r>
          </w:p>
          <w:p w:rsidR="00000000" w:rsidRPr="00CB7C4C" w:rsidP="00CB7C4C">
            <w:pPr>
              <w:pStyle w:val="ListBullet"/>
            </w:pPr>
            <w:r w:rsidRPr="00CB7C4C">
              <w:t>teamwork skills to coordinate own work with others to action tasks and relate to people from a range of cultural and ethnic backgrounds and with varying physical and mental abilities</w:t>
            </w:r>
          </w:p>
          <w:p w:rsidR="00000000" w:rsidRPr="00CB7C4C" w:rsidP="00CB7C4C">
            <w:pPr>
              <w:pStyle w:val="ListBullet"/>
            </w:pPr>
            <w:r w:rsidRPr="00CB7C4C">
              <w:t>technological skills to:</w:t>
            </w:r>
          </w:p>
          <w:p w:rsidR="00000000" w:rsidRPr="00CB7C4C" w:rsidP="00CB7C4C">
            <w:pPr>
              <w:pStyle w:val="ListBullet2"/>
            </w:pPr>
            <w:r w:rsidRPr="00CB7C4C">
              <w:t>use a range of mobile te</w:t>
            </w:r>
            <w:r w:rsidRPr="00CB7C4C">
              <w:t>chnology, such as two-way radio and mobile phones</w:t>
            </w:r>
          </w:p>
          <w:p w:rsidR="00000000" w:rsidP="00CB7C4C">
            <w:pPr>
              <w:pStyle w:val="ListBullet2"/>
              <w:rPr>
                <w:lang w:val="en-NZ"/>
              </w:rPr>
            </w:pPr>
            <w:r w:rsidRPr="00CB7C4C">
              <w:t>voice and hand signals to access and understand site-specific instructions.</w:t>
            </w:r>
          </w:p>
        </w:tc>
      </w:tr>
      <w:tr w:rsidTr="00DB4B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Required knowledge</w:t>
            </w:r>
          </w:p>
        </w:tc>
      </w:tr>
      <w:tr w:rsidTr="00DB4B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Required knowledge for this unit is:</w:t>
            </w:r>
          </w:p>
          <w:p w:rsidR="00000000" w:rsidRPr="00CB7C4C" w:rsidP="00CB7C4C">
            <w:pPr>
              <w:pStyle w:val="ListBullet"/>
            </w:pPr>
            <w:r w:rsidRPr="00CB7C4C">
              <w:t>concrete curing materials and techniques</w:t>
            </w:r>
          </w:p>
          <w:p w:rsidR="00000000" w:rsidRPr="00CB7C4C" w:rsidP="00CB7C4C">
            <w:pPr>
              <w:pStyle w:val="ListBullet"/>
            </w:pPr>
            <w:r w:rsidRPr="00CB7C4C">
              <w:t>curing duration and effect on ultimate strength</w:t>
            </w:r>
          </w:p>
          <w:p w:rsidR="00000000" w:rsidRPr="00CB7C4C" w:rsidP="00CB7C4C">
            <w:pPr>
              <w:pStyle w:val="ListBullet"/>
            </w:pPr>
            <w:r w:rsidRPr="00CB7C4C">
              <w:t>general construction terminology</w:t>
            </w:r>
          </w:p>
          <w:p w:rsidR="00000000" w:rsidRPr="00CB7C4C" w:rsidP="00CB7C4C">
            <w:pPr>
              <w:pStyle w:val="ListBullet"/>
            </w:pPr>
            <w:r w:rsidRPr="00CB7C4C">
              <w:t>job safety analysis (JSA) and safe work method statements</w:t>
            </w:r>
          </w:p>
          <w:p w:rsidR="00000000" w:rsidRPr="00CB7C4C" w:rsidP="00CB7C4C">
            <w:pPr>
              <w:pStyle w:val="ListBullet"/>
            </w:pPr>
            <w:r w:rsidRPr="00CB7C4C">
              <w:t>material safety data sheets (MSDS)</w:t>
            </w:r>
          </w:p>
          <w:p w:rsidR="00000000" w:rsidRPr="00CB7C4C" w:rsidP="00CB7C4C">
            <w:pPr>
              <w:pStyle w:val="ListBullet"/>
            </w:pPr>
            <w:r w:rsidRPr="00CB7C4C">
              <w:t>materials storage and environmentally friendly waste management</w:t>
            </w:r>
          </w:p>
          <w:p w:rsidR="00000000" w:rsidRPr="00CB7C4C" w:rsidP="00CB7C4C">
            <w:pPr>
              <w:pStyle w:val="ListBullet"/>
            </w:pPr>
            <w:r w:rsidRPr="00CB7C4C">
              <w:t>plans, drawings an</w:t>
            </w:r>
            <w:r w:rsidRPr="00CB7C4C">
              <w:t>d specifications</w:t>
            </w:r>
          </w:p>
          <w:p w:rsidR="00000000" w:rsidRPr="00CB7C4C" w:rsidP="00CB7C4C">
            <w:pPr>
              <w:pStyle w:val="ListBullet"/>
            </w:pPr>
            <w:r w:rsidRPr="00CB7C4C">
              <w:t>processes for the calculation of material requirements</w:t>
            </w:r>
          </w:p>
          <w:p w:rsidR="00000000" w:rsidRPr="00CB7C4C" w:rsidP="00CB7C4C">
            <w:pPr>
              <w:pStyle w:val="ListBullet"/>
            </w:pPr>
            <w:r w:rsidRPr="00CB7C4C">
              <w:t>quality requirements</w:t>
            </w:r>
          </w:p>
          <w:p w:rsidR="00000000" w:rsidRPr="00CB7C4C" w:rsidP="00CB7C4C">
            <w:pPr>
              <w:pStyle w:val="ListBullet"/>
            </w:pPr>
            <w:r w:rsidRPr="00CB7C4C">
              <w:t>tools and equipment types, characteristics, uses and limitations</w:t>
            </w:r>
          </w:p>
          <w:p w:rsidR="00000000" w:rsidRPr="00CB7C4C" w:rsidP="00CB7C4C">
            <w:pPr>
              <w:pStyle w:val="ListBullet"/>
            </w:pPr>
            <w:r w:rsidRPr="00CB7C4C">
              <w:t>workplace and equipment safety requirements.</w:t>
            </w:r>
          </w:p>
        </w:tc>
      </w:tr>
    </w:tbl>
    <w:p w:rsidR="00DB4B54" w:rsidP="00CB7C4C">
      <w:pPr>
        <w:pStyle w:val="BodyText"/>
      </w:pPr>
    </w:p>
    <w:p w:rsidR="00DB4B54" w:rsidP="00CB7C4C">
      <w:pPr>
        <w:pStyle w:val="BodyText"/>
      </w:pPr>
    </w:p>
    <w:p w:rsidR="00000000" w:rsidRPr="00CB7C4C" w:rsidP="00CB7C4C">
      <w:pPr>
        <w:pStyle w:val="AllowPageBreak"/>
      </w:pPr>
    </w:p>
    <w:p w:rsidR="00000000" w:rsidRPr="00CB7C4C" w:rsidP="00CB7C4C">
      <w:pPr>
        <w:pStyle w:val="Heading1"/>
      </w:pPr>
      <w:bookmarkStart w:id="10" w:name="O_242245"/>
      <w:bookmarkEnd w:id="10"/>
      <w:r w:rsidRPr="00CB7C4C">
        <w:t>Evidence Guide</w:t>
      </w:r>
    </w:p>
    <w:tbl>
      <w:tblPr>
        <w:tblW w:w="0" w:type="auto"/>
        <w:tblLayout w:type="fixed"/>
        <w:tblCellMar>
          <w:left w:w="62" w:type="dxa"/>
          <w:right w:w="62" w:type="dxa"/>
        </w:tblCellMar>
        <w:tblLook w:val="0000"/>
      </w:tblPr>
      <w:tblGrid>
        <w:gridCol w:w="3489"/>
        <w:gridCol w:w="5033"/>
      </w:tblGrid>
      <w:tr w:rsidTr="00DB4B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B7C4C">
            <w:pPr>
              <w:pStyle w:val="BodyText"/>
              <w:rPr>
                <w:lang w:val="en-NZ"/>
              </w:rPr>
            </w:pPr>
            <w:r w:rsidRPr="00CB7C4C">
              <w:rPr>
                <w:rStyle w:val="SpecialBold"/>
              </w:rPr>
              <w:t>EVIDENCE GUIDE</w:t>
            </w:r>
          </w:p>
        </w:tc>
      </w:tr>
      <w:tr w:rsidTr="00DB4B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B7C4C">
            <w:pPr>
              <w:pStyle w:val="BodyText"/>
              <w:rPr>
                <w:lang w:val="en-NZ"/>
              </w:rPr>
            </w:pPr>
            <w:r w:rsidRPr="00CB7C4C">
              <w:t>The evidence guide provides advice on assessment and must be read in conjunction with the performance criteria, required skills and knowledge, range statement and the Assessment Guidelines for the Training Package.</w:t>
            </w:r>
          </w:p>
        </w:tc>
      </w:tr>
      <w:tr w:rsidTr="00DB4B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Overview of assessment</w:t>
            </w:r>
          </w:p>
        </w:tc>
        <w:tc>
          <w:tcPr>
            <w:tcW w:w="5033"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t>This unit of competency could be assessed in the workplace or a close simulation of the workplace environment, provided that simulated or project-based assessment techniques fully replicate construction workplace conditions, materials, activities, respons</w:t>
            </w:r>
            <w:r w:rsidRPr="00CB7C4C">
              <w:t xml:space="preserve">ibilities and procedures. </w:t>
            </w:r>
          </w:p>
        </w:tc>
      </w:tr>
      <w:tr w:rsidTr="00DB4B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Critical aspects for assessment and evidence required to demonstrate competency in this unit</w:t>
            </w:r>
          </w:p>
        </w:tc>
        <w:tc>
          <w:tcPr>
            <w:tcW w:w="5033"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A person who demonstrates competency in this unit must be able to provide evidence of the ability to:</w:t>
            </w:r>
          </w:p>
          <w:p w:rsidR="00000000" w:rsidRPr="00CB7C4C" w:rsidP="00CB7C4C">
            <w:pPr>
              <w:pStyle w:val="ListBullet"/>
            </w:pPr>
            <w:r w:rsidRPr="00CB7C4C">
              <w:t>locate, interpret and apply relevant information, standards and specifications</w:t>
            </w:r>
          </w:p>
          <w:p w:rsidR="00000000" w:rsidRPr="00CB7C4C" w:rsidP="00CB7C4C">
            <w:pPr>
              <w:pStyle w:val="ListBullet"/>
            </w:pPr>
            <w:r w:rsidRPr="00CB7C4C">
              <w:t>comply with site safety plan and OHS legislation, regulations and codes of practice applicable to workplace operations</w:t>
            </w:r>
          </w:p>
          <w:p w:rsidR="00000000" w:rsidRPr="00CB7C4C" w:rsidP="00CB7C4C">
            <w:pPr>
              <w:pStyle w:val="ListBullet"/>
            </w:pPr>
            <w:r w:rsidRPr="00CB7C4C">
              <w:t>comply with organisational policies and procedures includi</w:t>
            </w:r>
            <w:r w:rsidRPr="00CB7C4C">
              <w:t>ng quality requirements</w:t>
            </w:r>
          </w:p>
          <w:p w:rsidR="00000000" w:rsidRPr="00CB7C4C" w:rsidP="00CB7C4C">
            <w:pPr>
              <w:pStyle w:val="ListBullet"/>
            </w:pPr>
            <w:r w:rsidRPr="00CB7C4C">
              <w:t>safely and effectively operate and use tools, plant and equipment</w:t>
            </w:r>
          </w:p>
          <w:p w:rsidR="00000000" w:rsidRPr="00CB7C4C" w:rsidP="00CB7C4C">
            <w:pPr>
              <w:pStyle w:val="ListBullet"/>
            </w:pPr>
            <w:r w:rsidRPr="00CB7C4C">
              <w:t>communicate and work effectively and safely with others</w:t>
            </w:r>
          </w:p>
          <w:p w:rsidR="00000000" w:rsidP="00CB7C4C">
            <w:pPr>
              <w:pStyle w:val="ListBullet"/>
              <w:rPr>
                <w:lang w:val="en-NZ"/>
              </w:rPr>
            </w:pPr>
            <w:r w:rsidRPr="00CB7C4C">
              <w:t xml:space="preserve">apply a curing compound/method to projects of a minimum of 100 square metres of concrete according to project </w:t>
            </w:r>
            <w:r w:rsidRPr="00CB7C4C">
              <w:t>specifications, using at least two of the compounds/methods specified in the range statement.</w:t>
            </w:r>
          </w:p>
        </w:tc>
      </w:tr>
      <w:tr w:rsidTr="00DB4B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Context of and specific resources for assessment</w:t>
            </w:r>
          </w:p>
        </w:tc>
        <w:tc>
          <w:tcPr>
            <w:tcW w:w="5033"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This competency is to be assessed using standard and authorised work practices, safety requirements and environm</w:t>
            </w:r>
            <w:r w:rsidRPr="00CB7C4C">
              <w:t>ental constraints.</w:t>
            </w:r>
          </w:p>
          <w:p w:rsidR="00000000" w:rsidRPr="00CB7C4C" w:rsidP="00CB7C4C">
            <w:pPr>
              <w:pStyle w:val="BodyText"/>
            </w:pPr>
            <w:r w:rsidRPr="00CB7C4C">
              <w:t>Assessment of essential underpinning knowledge will usually be conducted in an off-site context.</w:t>
            </w:r>
          </w:p>
          <w:p w:rsidR="00000000" w:rsidRPr="00CB7C4C" w:rsidP="00CB7C4C">
            <w:pPr>
              <w:pStyle w:val="BodyText"/>
            </w:pPr>
            <w:r w:rsidRPr="00CB7C4C">
              <w:t>Assessment is to comply with relevant regulatory or Australian standards' requirements.</w:t>
            </w:r>
          </w:p>
          <w:p w:rsidR="00000000" w:rsidRPr="00CB7C4C" w:rsidP="00CB7C4C">
            <w:pPr>
              <w:pStyle w:val="BodyText"/>
            </w:pPr>
            <w:r w:rsidRPr="00CB7C4C">
              <w:t>Resource implications for assessment include:</w:t>
            </w:r>
          </w:p>
          <w:p w:rsidR="00000000" w:rsidRPr="00CB7C4C" w:rsidP="00CB7C4C">
            <w:pPr>
              <w:pStyle w:val="ListBullet"/>
            </w:pPr>
            <w:r w:rsidRPr="00CB7C4C">
              <w:t>an in</w:t>
            </w:r>
            <w:r w:rsidRPr="00CB7C4C">
              <w:t>duction procedure and requirement</w:t>
            </w:r>
          </w:p>
          <w:p w:rsidR="00000000" w:rsidRPr="00CB7C4C" w:rsidP="00CB7C4C">
            <w:pPr>
              <w:pStyle w:val="ListBullet"/>
            </w:pPr>
            <w:r w:rsidRPr="00CB7C4C">
              <w:t>realistic tasks or simulated tasks covering the mandatory task requirements</w:t>
            </w:r>
          </w:p>
          <w:p w:rsidR="00000000" w:rsidRPr="00CB7C4C" w:rsidP="00CB7C4C">
            <w:pPr>
              <w:pStyle w:val="ListBullet"/>
            </w:pPr>
            <w:r w:rsidRPr="00CB7C4C">
              <w:t>relevant specifications and work instructions</w:t>
            </w:r>
          </w:p>
          <w:p w:rsidR="00000000" w:rsidRPr="00CB7C4C" w:rsidP="00CB7C4C">
            <w:pPr>
              <w:pStyle w:val="ListBullet"/>
            </w:pPr>
            <w:r w:rsidRPr="00CB7C4C">
              <w:t>tools and equipment appropriate to applying safe work practices</w:t>
            </w:r>
          </w:p>
          <w:p w:rsidR="00000000" w:rsidRPr="00CB7C4C" w:rsidP="00CB7C4C">
            <w:pPr>
              <w:pStyle w:val="ListBullet"/>
            </w:pPr>
            <w:r w:rsidRPr="00CB7C4C">
              <w:t>support materials appropriate to activity</w:t>
            </w:r>
          </w:p>
          <w:p w:rsidR="00000000" w:rsidRPr="00CB7C4C" w:rsidP="00CB7C4C">
            <w:pPr>
              <w:pStyle w:val="ListBullet"/>
            </w:pPr>
            <w:r w:rsidRPr="00CB7C4C">
              <w:t>workplace instructions relating to safe work practices and addressing hazards and emergencies</w:t>
            </w:r>
          </w:p>
          <w:p w:rsidR="00000000" w:rsidRPr="00CB7C4C" w:rsidP="00CB7C4C">
            <w:pPr>
              <w:pStyle w:val="ListBullet"/>
            </w:pPr>
            <w:r w:rsidRPr="00CB7C4C">
              <w:t>material safety data sheets</w:t>
            </w:r>
          </w:p>
          <w:p w:rsidR="00000000" w:rsidRPr="00CB7C4C" w:rsidP="00CB7C4C">
            <w:pPr>
              <w:pStyle w:val="ListBullet"/>
            </w:pPr>
            <w:r w:rsidRPr="00CB7C4C">
              <w:t>research resources, including industry related systems information.</w:t>
            </w:r>
          </w:p>
          <w:p w:rsidR="00000000" w:rsidP="00CB7C4C">
            <w:pPr>
              <w:pStyle w:val="BodyText"/>
              <w:rPr>
                <w:lang w:val="en-NZ"/>
              </w:rPr>
            </w:pPr>
            <w:r w:rsidRPr="00CB7C4C">
              <w:t>Reasonable adjustments f</w:t>
            </w:r>
            <w:r w:rsidRPr="00CB7C4C">
              <w:t xml:space="preserve">or people with disabilities must be made to assessment processes where required. This could include access to modified equipment and other physical resources, and the provision of appropriate assessment support. </w:t>
            </w:r>
          </w:p>
        </w:tc>
      </w:tr>
      <w:tr w:rsidTr="00DB4B54">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Method of assessment</w:t>
            </w:r>
          </w:p>
        </w:tc>
        <w:tc>
          <w:tcPr>
            <w:tcW w:w="5033"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Assessment methods mu</w:t>
            </w:r>
            <w:r w:rsidRPr="00CB7C4C">
              <w:t>st:</w:t>
            </w:r>
          </w:p>
          <w:p w:rsidR="00000000" w:rsidRPr="00CB7C4C" w:rsidP="00CB7C4C">
            <w:pPr>
              <w:pStyle w:val="ListBullet"/>
            </w:pPr>
            <w:r w:rsidRPr="00CB7C4C">
              <w:t>satisfy the endorsed Assessment Guidelines of the Construction, Plumbing and Services Training Package</w:t>
            </w:r>
          </w:p>
          <w:p w:rsidR="00000000" w:rsidRPr="00CB7C4C" w:rsidP="00CB7C4C">
            <w:pPr>
              <w:pStyle w:val="ListBullet"/>
            </w:pPr>
            <w:r w:rsidRPr="00CB7C4C">
              <w:t>include direct observation of tasks in real or simulated work conditions, with questioning to confirm the ability to consistently identify and corre</w:t>
            </w:r>
            <w:r w:rsidRPr="00CB7C4C">
              <w:t>ctly interpret the essential underpinning knowledge required for practical application</w:t>
            </w:r>
          </w:p>
          <w:p w:rsidR="00000000" w:rsidRPr="00CB7C4C" w:rsidP="00CB7C4C">
            <w:pPr>
              <w:pStyle w:val="ListBullet"/>
            </w:pPr>
            <w:r w:rsidRPr="00CB7C4C">
              <w:t>reinforce the integration of employability skills with workplace tasks and job roles</w:t>
            </w:r>
          </w:p>
          <w:p w:rsidR="00000000" w:rsidRPr="00CB7C4C" w:rsidP="00CB7C4C">
            <w:pPr>
              <w:pStyle w:val="ListBullet"/>
            </w:pPr>
            <w:r w:rsidRPr="00CB7C4C">
              <w:t>confirm that competency is verified and able to be transferred to other circumstance</w:t>
            </w:r>
            <w:r w:rsidRPr="00CB7C4C">
              <w:t>s and environments.</w:t>
            </w:r>
          </w:p>
          <w:p w:rsidR="00000000" w:rsidRPr="00CB7C4C" w:rsidP="00CB7C4C">
            <w:pPr>
              <w:pStyle w:val="BodyText"/>
            </w:pPr>
            <w:r w:rsidRPr="00CB7C4C">
              <w:t>Validity and sufficiency of evidence requires that:</w:t>
            </w:r>
          </w:p>
          <w:p w:rsidR="00000000" w:rsidRPr="00CB7C4C" w:rsidP="00CB7C4C">
            <w:pPr>
              <w:pStyle w:val="ListBullet"/>
            </w:pPr>
            <w:r w:rsidRPr="00CB7C4C">
              <w:t>competency will need to be demonstrated over a period of time reflecting the scope of the role and the practical requirements of the workplace</w:t>
            </w:r>
          </w:p>
          <w:p w:rsidR="00000000" w:rsidRPr="00CB7C4C" w:rsidP="00CB7C4C">
            <w:pPr>
              <w:pStyle w:val="ListBullet"/>
            </w:pPr>
            <w:r w:rsidRPr="00CB7C4C">
              <w:t>where the assessment is part of a structured learning experience the evidence collected must relate to a number of performances assessed at different points in time and separated by further learning and practice, with a decision on competency only taken at</w:t>
            </w:r>
            <w:r w:rsidRPr="00CB7C4C">
              <w:t xml:space="preserve"> the point when the assessor has complete confidence in the person's demonstrated ability and applied knowledge</w:t>
            </w:r>
          </w:p>
          <w:p w:rsidR="00000000" w:rsidRPr="00CB7C4C" w:rsidP="00CB7C4C">
            <w:pPr>
              <w:pStyle w:val="ListBullet"/>
            </w:pPr>
            <w:r w:rsidRPr="00CB7C4C">
              <w:t>all assessment that is part of a structured learning experience must include a combination of direct, indirect and supplementary evidence.</w:t>
            </w:r>
          </w:p>
          <w:p w:rsidR="00000000" w:rsidRPr="00CB7C4C" w:rsidP="00CB7C4C">
            <w:pPr>
              <w:pStyle w:val="BodyText"/>
            </w:pPr>
            <w:r w:rsidRPr="00CB7C4C">
              <w:t>Asses</w:t>
            </w:r>
            <w:r w:rsidRPr="00CB7C4C">
              <w:t>sment processes and techniques should as far as is practical take into account the language, literacy and numeracy capacity of the candidate in relation to the competency being assessed.</w:t>
            </w:r>
          </w:p>
          <w:p w:rsidR="00000000" w:rsidRPr="00CB7C4C" w:rsidP="00CB7C4C">
            <w:pPr>
              <w:pStyle w:val="BodyText"/>
            </w:pPr>
            <w:r w:rsidRPr="00CB7C4C">
              <w:t>Supplementary evidence of competency may be obtained from relevant au</w:t>
            </w:r>
            <w:r w:rsidRPr="00CB7C4C">
              <w:t xml:space="preserve">thenticated documentation from third parties, such as existing supervisors, team leaders or specialist training staff. </w:t>
            </w:r>
          </w:p>
        </w:tc>
      </w:tr>
    </w:tbl>
    <w:p w:rsidR="00DB4B54" w:rsidP="00CB7C4C">
      <w:pPr>
        <w:pStyle w:val="BodyText"/>
      </w:pPr>
    </w:p>
    <w:p w:rsidR="00DB4B54" w:rsidP="00CB7C4C">
      <w:pPr>
        <w:pStyle w:val="BodyText"/>
      </w:pPr>
    </w:p>
    <w:p w:rsidR="00000000" w:rsidRPr="00CB7C4C" w:rsidP="00CB7C4C">
      <w:pPr>
        <w:pStyle w:val="Heading1"/>
      </w:pPr>
      <w:bookmarkStart w:id="11" w:name="O_250228"/>
      <w:bookmarkEnd w:id="11"/>
      <w:r w:rsidRPr="00CB7C4C">
        <w:t>Range Statement</w:t>
      </w:r>
    </w:p>
    <w:tbl>
      <w:tblPr>
        <w:tblW w:w="0" w:type="auto"/>
        <w:tblLayout w:type="fixed"/>
        <w:tblCellMar>
          <w:left w:w="62" w:type="dxa"/>
          <w:right w:w="62" w:type="dxa"/>
        </w:tblCellMar>
        <w:tblLook w:val="0000"/>
      </w:tblPr>
      <w:tblGrid>
        <w:gridCol w:w="3548"/>
        <w:gridCol w:w="4974"/>
      </w:tblGrid>
      <w:tr w:rsidTr="00DB4B5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B7C4C">
            <w:pPr>
              <w:pStyle w:val="BodyText"/>
              <w:rPr>
                <w:lang w:val="en-NZ"/>
              </w:rPr>
            </w:pPr>
            <w:r w:rsidRPr="00CB7C4C">
              <w:rPr>
                <w:rStyle w:val="SpecialBold"/>
              </w:rPr>
              <w:t>RANGE STATEMENT</w:t>
            </w:r>
          </w:p>
        </w:tc>
      </w:tr>
      <w:tr w:rsidTr="00DB4B5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B7C4C">
            <w:pPr>
              <w:pStyle w:val="BodyText"/>
              <w:rPr>
                <w:lang w:val="en-NZ"/>
              </w:rPr>
            </w:pPr>
            <w:r w:rsidRPr="00CB7C4C">
              <w:t>The range statement relates to the unit of competency as a whole. It allows for different work environments and situations that may affect performance. Bold italicised wording, if used in the performance criteria, is detailed below. Essential operating con</w:t>
            </w:r>
            <w:r w:rsidRPr="00CB7C4C">
              <w:t>ditions that may be present with training and assessment (depending on the work situation, needs of the candidate, accessibility of the item, and local industry and regional contexts) may also be included.</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Information</w:t>
            </w:r>
            <w:r w:rsidRPr="00CB7C4C">
              <w:t xml:space="preserve"> includes: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diagrams or sketches</w:t>
            </w:r>
          </w:p>
          <w:p w:rsidR="00000000" w:rsidRPr="00CB7C4C" w:rsidP="00CB7C4C">
            <w:pPr>
              <w:pStyle w:val="ListBullet"/>
            </w:pPr>
            <w:r w:rsidRPr="00CB7C4C">
              <w:t>instructions issued by authorised organisational or external personnel</w:t>
            </w:r>
          </w:p>
          <w:p w:rsidR="00000000" w:rsidRPr="00CB7C4C" w:rsidP="00CB7C4C">
            <w:pPr>
              <w:pStyle w:val="ListBullet"/>
            </w:pPr>
            <w:r w:rsidRPr="00CB7C4C">
              <w:t>manufacturer specifications and instructions, where specified</w:t>
            </w:r>
          </w:p>
          <w:p w:rsidR="00000000" w:rsidRPr="00CB7C4C" w:rsidP="00CB7C4C">
            <w:pPr>
              <w:pStyle w:val="ListBullet"/>
            </w:pPr>
            <w:r w:rsidRPr="00CB7C4C">
              <w:t>MSDS</w:t>
            </w:r>
          </w:p>
          <w:p w:rsidR="00000000" w:rsidRPr="00CB7C4C" w:rsidP="00CB7C4C">
            <w:pPr>
              <w:pStyle w:val="ListBullet"/>
            </w:pPr>
            <w:r w:rsidRPr="00CB7C4C">
              <w:t>memos</w:t>
            </w:r>
          </w:p>
          <w:p w:rsidR="00000000" w:rsidRPr="00CB7C4C" w:rsidP="00CB7C4C">
            <w:pPr>
              <w:pStyle w:val="ListBullet"/>
            </w:pPr>
            <w:r w:rsidRPr="00CB7C4C">
              <w:t>regulatory and legislative requirements pertaining to curing concrete</w:t>
            </w:r>
          </w:p>
          <w:p w:rsidR="00000000" w:rsidRPr="00CB7C4C" w:rsidP="00CB7C4C">
            <w:pPr>
              <w:pStyle w:val="ListBullet"/>
            </w:pPr>
            <w:r w:rsidRPr="00CB7C4C">
              <w:t>relevant Australian standards</w:t>
            </w:r>
          </w:p>
          <w:p w:rsidR="00000000" w:rsidRPr="00CB7C4C" w:rsidP="00CB7C4C">
            <w:pPr>
              <w:pStyle w:val="ListBullet"/>
            </w:pPr>
            <w:r w:rsidRPr="00CB7C4C">
              <w:t>safe work pr</w:t>
            </w:r>
            <w:r w:rsidRPr="00CB7C4C">
              <w:t>ocedures relating to curing concrete</w:t>
            </w:r>
          </w:p>
          <w:p w:rsidR="00000000" w:rsidRPr="00CB7C4C" w:rsidP="00CB7C4C">
            <w:pPr>
              <w:pStyle w:val="ListBullet"/>
            </w:pPr>
            <w:r w:rsidRPr="00CB7C4C">
              <w:t>signage</w:t>
            </w:r>
          </w:p>
          <w:p w:rsidR="00000000" w:rsidRPr="00CB7C4C" w:rsidP="00CB7C4C">
            <w:pPr>
              <w:pStyle w:val="ListBullet"/>
            </w:pPr>
            <w:r w:rsidRPr="00CB7C4C">
              <w:t>verbal, written and graphical instructions</w:t>
            </w:r>
          </w:p>
          <w:p w:rsidR="00000000" w:rsidRPr="00CB7C4C" w:rsidP="00CB7C4C">
            <w:pPr>
              <w:pStyle w:val="ListBullet"/>
            </w:pPr>
            <w:r w:rsidRPr="00CB7C4C">
              <w:t>work bulletins</w:t>
            </w:r>
          </w:p>
          <w:p w:rsidR="00000000" w:rsidP="00CB7C4C">
            <w:pPr>
              <w:pStyle w:val="ListBullet"/>
              <w:rPr>
                <w:lang w:val="en-NZ"/>
              </w:rPr>
            </w:pPr>
            <w:r w:rsidRPr="00CB7C4C">
              <w:t>work schedules, plans and specifications.</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Planning and preparation</w:t>
            </w:r>
            <w:r w:rsidRPr="00CB7C4C">
              <w:t xml:space="preserve"> include: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assessment of conditions and hazards</w:t>
            </w:r>
          </w:p>
          <w:p w:rsidR="00000000" w:rsidRPr="00CB7C4C" w:rsidP="00CB7C4C">
            <w:pPr>
              <w:pStyle w:val="ListBullet"/>
            </w:pPr>
            <w:r w:rsidRPr="00CB7C4C">
              <w:t>determination of work requirements an</w:t>
            </w:r>
            <w:r w:rsidRPr="00CB7C4C">
              <w:t>d safety plans and policies</w:t>
            </w:r>
          </w:p>
          <w:p w:rsidR="00000000" w:rsidRPr="00CB7C4C" w:rsidP="00CB7C4C">
            <w:pPr>
              <w:pStyle w:val="ListBullet"/>
            </w:pPr>
            <w:r w:rsidRPr="00CB7C4C">
              <w:t>equipment defect identification</w:t>
            </w:r>
          </w:p>
          <w:p w:rsidR="00000000" w:rsidP="00CB7C4C">
            <w:pPr>
              <w:pStyle w:val="ListBullet"/>
              <w:rPr>
                <w:lang w:val="en-NZ"/>
              </w:rPr>
            </w:pPr>
            <w:r w:rsidRPr="00CB7C4C">
              <w:t>work site inspection.</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Safety</w:t>
            </w:r>
            <w:r w:rsidRPr="00CB7C4C">
              <w:t xml:space="preserve"> (</w:t>
            </w:r>
            <w:r w:rsidRPr="00CB7C4C">
              <w:rPr>
                <w:rStyle w:val="BoldandItalics"/>
              </w:rPr>
              <w:t>OHS</w:t>
            </w:r>
            <w:r w:rsidRPr="00CB7C4C">
              <w:t xml:space="preserve">) is to be in accordance with state and territory legislation and regulations and project safety plan and may include: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emergency procedures, including extinguishing fires, organisational first aid requirements and evacuation</w:t>
            </w:r>
          </w:p>
          <w:p w:rsidR="00000000" w:rsidRPr="00CB7C4C" w:rsidP="00CB7C4C">
            <w:pPr>
              <w:pStyle w:val="ListBullet"/>
            </w:pPr>
            <w:r w:rsidRPr="00CB7C4C">
              <w:t>handling activities that may require the assistance of others or the use of manual or mechanical lifting devices where size, weight or other issues, s</w:t>
            </w:r>
            <w:r w:rsidRPr="00CB7C4C">
              <w:t>uch as a disability are a factor</w:t>
            </w:r>
          </w:p>
          <w:p w:rsidR="00000000" w:rsidRPr="00CB7C4C" w:rsidP="00CB7C4C">
            <w:pPr>
              <w:pStyle w:val="ListBullet"/>
            </w:pPr>
            <w:r w:rsidRPr="00CB7C4C">
              <w:t>hazard control</w:t>
            </w:r>
          </w:p>
          <w:p w:rsidR="00000000" w:rsidRPr="00CB7C4C" w:rsidP="00CB7C4C">
            <w:pPr>
              <w:pStyle w:val="ListBullet"/>
            </w:pPr>
            <w:r w:rsidRPr="00CB7C4C">
              <w:t>hazardous materials and substances</w:t>
            </w:r>
          </w:p>
          <w:p w:rsidR="00000000" w:rsidRPr="00CB7C4C" w:rsidP="00CB7C4C">
            <w:pPr>
              <w:pStyle w:val="ListBullet"/>
            </w:pPr>
            <w:r w:rsidRPr="00CB7C4C">
              <w:t>organisational first aid</w:t>
            </w:r>
          </w:p>
          <w:p w:rsidR="00000000" w:rsidRPr="00CB7C4C" w:rsidP="00CB7C4C">
            <w:pPr>
              <w:pStyle w:val="ListBullet"/>
            </w:pPr>
            <w:r w:rsidRPr="00CB7C4C">
              <w:t>PPE prescribed under legislation, regulations and workplace policies and practices</w:t>
            </w:r>
          </w:p>
          <w:p w:rsidR="00000000" w:rsidRPr="00CB7C4C" w:rsidP="00CB7C4C">
            <w:pPr>
              <w:pStyle w:val="ListBullet"/>
            </w:pPr>
            <w:r w:rsidRPr="00CB7C4C">
              <w:t>safe operating procedures, including the conduct of operational r</w:t>
            </w:r>
            <w:r w:rsidRPr="00CB7C4C">
              <w:t>isk assessment and treatments associated with:</w:t>
            </w:r>
          </w:p>
          <w:p w:rsidR="00000000" w:rsidRPr="00CB7C4C" w:rsidP="00CB7C4C">
            <w:pPr>
              <w:pStyle w:val="ListBullet2"/>
            </w:pPr>
            <w:r w:rsidRPr="00CB7C4C">
              <w:t>earth leakage boxes</w:t>
            </w:r>
          </w:p>
          <w:p w:rsidR="00000000" w:rsidRPr="00CB7C4C" w:rsidP="00CB7C4C">
            <w:pPr>
              <w:pStyle w:val="ListBullet2"/>
            </w:pPr>
            <w:r w:rsidRPr="00CB7C4C">
              <w:t>lighting</w:t>
            </w:r>
          </w:p>
          <w:p w:rsidR="00000000" w:rsidRPr="00CB7C4C" w:rsidP="00CB7C4C">
            <w:pPr>
              <w:pStyle w:val="ListBullet2"/>
            </w:pPr>
            <w:r w:rsidRPr="00CB7C4C">
              <w:t>power cables, including overhead service trays, cables and conduits</w:t>
            </w:r>
          </w:p>
          <w:p w:rsidR="00000000" w:rsidRPr="00CB7C4C" w:rsidP="00CB7C4C">
            <w:pPr>
              <w:pStyle w:val="ListBullet2"/>
            </w:pPr>
            <w:r w:rsidRPr="00CB7C4C">
              <w:t>restricted access barriers</w:t>
            </w:r>
          </w:p>
          <w:p w:rsidR="00000000" w:rsidRPr="00CB7C4C" w:rsidP="00CB7C4C">
            <w:pPr>
              <w:pStyle w:val="ListBullet2"/>
            </w:pPr>
            <w:r w:rsidRPr="00CB7C4C">
              <w:t>surrounding structures</w:t>
            </w:r>
          </w:p>
          <w:p w:rsidR="00000000" w:rsidRPr="00CB7C4C" w:rsidP="00CB7C4C">
            <w:pPr>
              <w:pStyle w:val="ListBullet2"/>
            </w:pPr>
            <w:r w:rsidRPr="00CB7C4C">
              <w:t>traffic control</w:t>
            </w:r>
          </w:p>
          <w:p w:rsidR="00000000" w:rsidRPr="00CB7C4C" w:rsidP="00CB7C4C">
            <w:pPr>
              <w:pStyle w:val="ListBullet2"/>
            </w:pPr>
            <w:r w:rsidRPr="00CB7C4C">
              <w:t>trip hazards</w:t>
            </w:r>
          </w:p>
          <w:p w:rsidR="00000000" w:rsidRPr="00CB7C4C" w:rsidP="00CB7C4C">
            <w:pPr>
              <w:pStyle w:val="ListBullet2"/>
            </w:pPr>
            <w:r w:rsidRPr="00CB7C4C">
              <w:t>work site visitors and the public</w:t>
            </w:r>
          </w:p>
          <w:p w:rsidR="00000000" w:rsidRPr="00CB7C4C" w:rsidP="00CB7C4C">
            <w:pPr>
              <w:pStyle w:val="ListBullet2"/>
            </w:pPr>
            <w:r w:rsidRPr="00CB7C4C">
              <w:t>working at heights</w:t>
            </w:r>
          </w:p>
          <w:p w:rsidR="00000000" w:rsidRPr="00CB7C4C" w:rsidP="00CB7C4C">
            <w:pPr>
              <w:pStyle w:val="ListBullet2"/>
            </w:pPr>
            <w:r w:rsidRPr="00CB7C4C">
              <w:t>working in confined spaces</w:t>
            </w:r>
          </w:p>
          <w:p w:rsidR="00000000" w:rsidRPr="00CB7C4C" w:rsidP="00CB7C4C">
            <w:pPr>
              <w:pStyle w:val="ListBullet2"/>
            </w:pPr>
            <w:r w:rsidRPr="00CB7C4C">
              <w:t>working in proximity to others</w:t>
            </w:r>
          </w:p>
          <w:p w:rsidR="00000000" w:rsidRPr="00CB7C4C" w:rsidP="00CB7C4C">
            <w:pPr>
              <w:pStyle w:val="ListBullet"/>
            </w:pPr>
            <w:r w:rsidRPr="00CB7C4C">
              <w:t>use of firefighting equipment</w:t>
            </w:r>
          </w:p>
          <w:p w:rsidR="00000000" w:rsidRPr="00CB7C4C" w:rsidP="00CB7C4C">
            <w:pPr>
              <w:pStyle w:val="ListBullet"/>
            </w:pPr>
            <w:r w:rsidRPr="00CB7C4C">
              <w:t>use of tools and equipment</w:t>
            </w:r>
          </w:p>
          <w:p w:rsidR="00000000" w:rsidP="00CB7C4C">
            <w:pPr>
              <w:pStyle w:val="ListBullet"/>
              <w:rPr>
                <w:lang w:val="en-NZ"/>
              </w:rPr>
            </w:pPr>
            <w:r w:rsidRPr="00CB7C4C">
              <w:t>workplace environmental requirements and safety.</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Tools and equipment</w:t>
            </w:r>
            <w:r w:rsidRPr="00CB7C4C">
              <w:t xml:space="preserve"> include: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hoses and sprinklers</w:t>
            </w:r>
          </w:p>
          <w:p w:rsidR="00000000" w:rsidRPr="00CB7C4C" w:rsidP="00CB7C4C">
            <w:pPr>
              <w:pStyle w:val="ListBullet"/>
            </w:pPr>
            <w:r w:rsidRPr="00CB7C4C">
              <w:t>rollers</w:t>
            </w:r>
          </w:p>
          <w:p w:rsidR="00000000" w:rsidRPr="00CB7C4C" w:rsidP="00CB7C4C">
            <w:pPr>
              <w:pStyle w:val="ListBullet"/>
            </w:pPr>
            <w:r w:rsidRPr="00CB7C4C">
              <w:t>spray applicators</w:t>
            </w:r>
          </w:p>
          <w:p w:rsidR="00000000" w:rsidP="00CB7C4C">
            <w:pPr>
              <w:pStyle w:val="ListBullet"/>
              <w:rPr>
                <w:lang w:val="en-NZ"/>
              </w:rPr>
            </w:pPr>
            <w:r w:rsidRPr="00CB7C4C">
              <w:t>tarpaulins and covers.</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Quality requirements</w:t>
            </w:r>
            <w:r w:rsidRPr="00CB7C4C">
              <w:t xml:space="preserve"> include: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internal company quality policy and standards</w:t>
            </w:r>
          </w:p>
          <w:p w:rsidR="00000000" w:rsidRPr="00CB7C4C" w:rsidP="00CB7C4C">
            <w:pPr>
              <w:pStyle w:val="ListBullet"/>
            </w:pPr>
            <w:r w:rsidRPr="00CB7C4C">
              <w:t>manufacturer specifications where specified</w:t>
            </w:r>
          </w:p>
          <w:p w:rsidR="00000000" w:rsidRPr="00CB7C4C" w:rsidP="00CB7C4C">
            <w:pPr>
              <w:pStyle w:val="ListBullet"/>
            </w:pPr>
            <w:r w:rsidRPr="00CB7C4C">
              <w:t>relevant regulations, including Australian standards</w:t>
            </w:r>
          </w:p>
          <w:p w:rsidR="00000000" w:rsidP="00CB7C4C">
            <w:pPr>
              <w:pStyle w:val="ListBullet"/>
              <w:rPr>
                <w:lang w:val="en-NZ"/>
              </w:rPr>
            </w:pPr>
            <w:r w:rsidRPr="00CB7C4C">
              <w:t xml:space="preserve">workplace </w:t>
            </w:r>
            <w:r w:rsidRPr="00CB7C4C">
              <w:t>operations and procedures.</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Materials</w:t>
            </w:r>
            <w:r w:rsidRPr="00CB7C4C">
              <w:t xml:space="preserve"> include: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curing compounds</w:t>
            </w:r>
          </w:p>
          <w:p w:rsidR="00000000" w:rsidRPr="00CB7C4C" w:rsidP="00CB7C4C">
            <w:pPr>
              <w:pStyle w:val="ListBullet"/>
            </w:pPr>
            <w:r w:rsidRPr="00CB7C4C">
              <w:t>plastic film</w:t>
            </w:r>
          </w:p>
          <w:p w:rsidR="00000000" w:rsidRPr="00CB7C4C" w:rsidP="00CB7C4C">
            <w:pPr>
              <w:pStyle w:val="ListBullet"/>
            </w:pPr>
            <w:r w:rsidRPr="00CB7C4C">
              <w:t>steam</w:t>
            </w:r>
          </w:p>
          <w:p w:rsidR="00000000" w:rsidP="00CB7C4C">
            <w:pPr>
              <w:pStyle w:val="ListBullet"/>
              <w:rPr>
                <w:lang w:val="en-NZ"/>
              </w:rPr>
            </w:pPr>
            <w:r w:rsidRPr="00CB7C4C">
              <w:t>water.</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Environmental requirements</w:t>
            </w:r>
            <w:r w:rsidRPr="00CB7C4C">
              <w:t xml:space="preserve"> include: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clean-up management</w:t>
            </w:r>
          </w:p>
          <w:p w:rsidR="00000000" w:rsidRPr="00CB7C4C" w:rsidP="00CB7C4C">
            <w:pPr>
              <w:pStyle w:val="ListBullet"/>
            </w:pPr>
            <w:r w:rsidRPr="00CB7C4C">
              <w:t>dust and noise</w:t>
            </w:r>
          </w:p>
          <w:p w:rsidR="00000000" w:rsidRPr="00CB7C4C" w:rsidP="00CB7C4C">
            <w:pPr>
              <w:pStyle w:val="ListBullet"/>
            </w:pPr>
            <w:r w:rsidRPr="00CB7C4C">
              <w:t>stormwater management</w:t>
            </w:r>
          </w:p>
          <w:p w:rsidR="00000000" w:rsidRPr="00CB7C4C" w:rsidP="00CB7C4C">
            <w:pPr>
              <w:pStyle w:val="ListBullet"/>
            </w:pPr>
            <w:r w:rsidRPr="00CB7C4C">
              <w:t>vibration</w:t>
            </w:r>
          </w:p>
          <w:p w:rsidR="00000000" w:rsidP="00CB7C4C">
            <w:pPr>
              <w:pStyle w:val="ListBullet"/>
              <w:rPr>
                <w:lang w:val="en-NZ"/>
              </w:rPr>
            </w:pPr>
            <w:r w:rsidRPr="00CB7C4C">
              <w:t>waste management.</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t xml:space="preserve">Properties of </w:t>
            </w:r>
            <w:r w:rsidRPr="00CB7C4C">
              <w:rPr>
                <w:rStyle w:val="BoldandItalics"/>
              </w:rPr>
              <w:t>concrete</w:t>
            </w:r>
            <w:r w:rsidRPr="00CB7C4C">
              <w:t xml:space="preserve"> are improved by: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controlling moisture evaporation from finished concrete to minimise shrinkage, add to final strength and control cracking through curing process</w:t>
            </w:r>
          </w:p>
          <w:p w:rsidR="00000000" w:rsidP="00CB7C4C">
            <w:pPr>
              <w:pStyle w:val="ListBullet"/>
              <w:rPr>
                <w:lang w:val="en-NZ"/>
              </w:rPr>
            </w:pPr>
            <w:r w:rsidRPr="00CB7C4C">
              <w:t>retaining free mixing water within the concrete to ensure ongoing cement hydration to assis</w:t>
            </w:r>
            <w:r w:rsidRPr="00CB7C4C">
              <w:t>t in minimising dry shrinkage and to improve properties, such as potential compressive strength.</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Run</w:t>
            </w:r>
            <w:r w:rsidRPr="00CB7C4C">
              <w:t>-</w:t>
            </w:r>
            <w:r w:rsidRPr="00CB7C4C">
              <w:rPr>
                <w:rStyle w:val="BoldandItalics"/>
              </w:rPr>
              <w:t>off devices</w:t>
            </w:r>
            <w:r w:rsidRPr="00CB7C4C">
              <w:t xml:space="preserve"> include: </w:t>
            </w:r>
          </w:p>
        </w:tc>
        <w:tc>
          <w:tcPr>
            <w:tcW w:w="4974" w:type="dxa"/>
            <w:tcBorders>
              <w:top w:val="nil"/>
              <w:left w:val="nil"/>
              <w:bottom w:val="nil"/>
              <w:right w:val="nil"/>
            </w:tcBorders>
            <w:tcMar>
              <w:top w:w="0" w:type="dxa"/>
              <w:left w:w="62" w:type="dxa"/>
              <w:bottom w:w="0" w:type="dxa"/>
              <w:right w:w="62" w:type="dxa"/>
            </w:tcMar>
          </w:tcPr>
          <w:p w:rsidR="00000000" w:rsidP="00CB7C4C">
            <w:pPr>
              <w:pStyle w:val="ListBullet"/>
              <w:rPr>
                <w:lang w:val="en-NZ"/>
              </w:rPr>
            </w:pPr>
            <w:r w:rsidRPr="00CB7C4C">
              <w:t>preventative barriers to restrict curing agents from affecting environmental areas.</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Curing compounds</w:t>
            </w:r>
            <w:r w:rsidRPr="00CB7C4C">
              <w:t xml:space="preserve"> include: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chlorinated compounds</w:t>
            </w:r>
          </w:p>
          <w:p w:rsidR="00000000" w:rsidRPr="00CB7C4C" w:rsidP="00CB7C4C">
            <w:pPr>
              <w:pStyle w:val="ListBullet"/>
            </w:pPr>
            <w:r w:rsidRPr="00CB7C4C">
              <w:t>hydrocarbon compounds</w:t>
            </w:r>
          </w:p>
          <w:p w:rsidR="00000000" w:rsidRPr="00CB7C4C" w:rsidP="00CB7C4C">
            <w:pPr>
              <w:pStyle w:val="ListBullet"/>
            </w:pPr>
            <w:r w:rsidRPr="00CB7C4C">
              <w:t>polyvinyl alcohol (PVA) compounds</w:t>
            </w:r>
          </w:p>
          <w:p w:rsidR="00000000" w:rsidRPr="00CB7C4C" w:rsidP="00CB7C4C">
            <w:pPr>
              <w:pStyle w:val="ListBullet"/>
            </w:pPr>
            <w:r w:rsidRPr="00CB7C4C">
              <w:t>silicate compounds</w:t>
            </w:r>
          </w:p>
          <w:p w:rsidR="00000000" w:rsidRPr="00CB7C4C" w:rsidP="00CB7C4C">
            <w:pPr>
              <w:pStyle w:val="ListBullet"/>
            </w:pPr>
            <w:r w:rsidRPr="00CB7C4C">
              <w:t>solvent-based acrylic compounds</w:t>
            </w:r>
          </w:p>
          <w:p w:rsidR="00000000" w:rsidRPr="00CB7C4C" w:rsidP="00CB7C4C">
            <w:pPr>
              <w:pStyle w:val="ListBullet"/>
            </w:pPr>
            <w:r w:rsidRPr="00CB7C4C">
              <w:t>water</w:t>
            </w:r>
          </w:p>
          <w:p w:rsidR="00000000" w:rsidRPr="00CB7C4C" w:rsidP="00CB7C4C">
            <w:pPr>
              <w:pStyle w:val="ListBullet"/>
            </w:pPr>
            <w:r w:rsidRPr="00CB7C4C">
              <w:t>water-based acrylic compounds</w:t>
            </w:r>
          </w:p>
          <w:p w:rsidR="00000000" w:rsidP="00CB7C4C">
            <w:pPr>
              <w:pStyle w:val="ListBullet"/>
              <w:rPr>
                <w:lang w:val="en-NZ"/>
              </w:rPr>
            </w:pPr>
            <w:r w:rsidRPr="00CB7C4C">
              <w:t>wax-based compounds.</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Curing techniques</w:t>
            </w:r>
            <w:r w:rsidRPr="00CB7C4C">
              <w:t>/</w:t>
            </w:r>
            <w:r w:rsidRPr="00CB7C4C">
              <w:rPr>
                <w:rStyle w:val="BoldandItalics"/>
              </w:rPr>
              <w:t>methods</w:t>
            </w:r>
            <w:r w:rsidRPr="00CB7C4C">
              <w:t xml:space="preserve"> include: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curing compounds</w:t>
            </w:r>
          </w:p>
          <w:p w:rsidR="00000000" w:rsidRPr="00CB7C4C" w:rsidP="00CB7C4C">
            <w:pPr>
              <w:pStyle w:val="ListBullet"/>
            </w:pPr>
            <w:r w:rsidRPr="00CB7C4C">
              <w:t>fogging</w:t>
            </w:r>
          </w:p>
          <w:p w:rsidR="00000000" w:rsidRPr="00CB7C4C" w:rsidP="00CB7C4C">
            <w:pPr>
              <w:pStyle w:val="ListBullet"/>
            </w:pPr>
            <w:r w:rsidRPr="00CB7C4C">
              <w:t>hessian overlays</w:t>
            </w:r>
          </w:p>
          <w:p w:rsidR="00000000" w:rsidRPr="00CB7C4C" w:rsidP="00CB7C4C">
            <w:pPr>
              <w:pStyle w:val="ListBullet"/>
            </w:pPr>
            <w:r w:rsidRPr="00CB7C4C">
              <w:t>hosing</w:t>
            </w:r>
          </w:p>
          <w:p w:rsidR="00000000" w:rsidRPr="00CB7C4C" w:rsidP="00CB7C4C">
            <w:pPr>
              <w:pStyle w:val="ListBullet"/>
            </w:pPr>
            <w:r w:rsidRPr="00CB7C4C">
              <w:t>impervious plastic membranes</w:t>
            </w:r>
          </w:p>
          <w:p w:rsidR="00000000" w:rsidRPr="00CB7C4C" w:rsidP="00CB7C4C">
            <w:pPr>
              <w:pStyle w:val="ListBullet"/>
            </w:pPr>
            <w:r w:rsidRPr="00CB7C4C">
              <w:t>misting</w:t>
            </w:r>
          </w:p>
          <w:p w:rsidR="00000000" w:rsidRPr="00CB7C4C" w:rsidP="00CB7C4C">
            <w:pPr>
              <w:pStyle w:val="ListBullet"/>
            </w:pPr>
            <w:r w:rsidRPr="00CB7C4C">
              <w:t>ponding</w:t>
            </w:r>
          </w:p>
          <w:p w:rsidR="00000000" w:rsidRPr="00CB7C4C" w:rsidP="00CB7C4C">
            <w:pPr>
              <w:pStyle w:val="ListBullet"/>
            </w:pPr>
            <w:r w:rsidRPr="00CB7C4C">
              <w:t>sprinklers</w:t>
            </w:r>
          </w:p>
          <w:p w:rsidR="00000000" w:rsidP="00CB7C4C">
            <w:pPr>
              <w:pStyle w:val="ListBullet"/>
              <w:rPr>
                <w:lang w:val="en-NZ"/>
              </w:rPr>
            </w:pPr>
            <w:r w:rsidRPr="00CB7C4C">
              <w:t>steam.</w:t>
            </w:r>
          </w:p>
        </w:tc>
      </w:tr>
      <w:tr w:rsidTr="00DB4B54">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BoldandItalics"/>
              </w:rPr>
              <w:t>Protect concrete</w:t>
            </w:r>
            <w:r w:rsidRPr="00CB7C4C">
              <w:t xml:space="preserve"> includes: </w:t>
            </w:r>
          </w:p>
        </w:tc>
        <w:tc>
          <w:tcPr>
            <w:tcW w:w="4974" w:type="dxa"/>
            <w:tcBorders>
              <w:top w:val="nil"/>
              <w:left w:val="nil"/>
              <w:bottom w:val="nil"/>
              <w:right w:val="nil"/>
            </w:tcBorders>
            <w:tcMar>
              <w:top w:w="0" w:type="dxa"/>
              <w:left w:w="62" w:type="dxa"/>
              <w:bottom w:w="0" w:type="dxa"/>
              <w:right w:w="62" w:type="dxa"/>
            </w:tcMar>
          </w:tcPr>
          <w:p w:rsidR="00000000" w:rsidRPr="00CB7C4C" w:rsidP="00CB7C4C">
            <w:pPr>
              <w:pStyle w:val="ListBullet"/>
            </w:pPr>
            <w:r w:rsidRPr="00CB7C4C">
              <w:t>using plastic membrane.</w:t>
            </w:r>
          </w:p>
        </w:tc>
      </w:tr>
    </w:tbl>
    <w:p w:rsidR="00DB4B54" w:rsidP="00CB7C4C">
      <w:pPr>
        <w:pStyle w:val="BodyText"/>
      </w:pPr>
    </w:p>
    <w:p w:rsidR="00DB4B54" w:rsidP="00CB7C4C">
      <w:pPr>
        <w:pStyle w:val="BodyText"/>
      </w:pPr>
    </w:p>
    <w:p w:rsidR="00000000" w:rsidRPr="00CB7C4C" w:rsidP="00CB7C4C">
      <w:pPr>
        <w:pStyle w:val="Heading1"/>
      </w:pPr>
      <w:bookmarkStart w:id="12" w:name="O_197702"/>
      <w:bookmarkEnd w:id="12"/>
      <w:r w:rsidRPr="00CB7C4C">
        <w:t>Unit Sector(s)</w:t>
      </w:r>
    </w:p>
    <w:tbl>
      <w:tblPr>
        <w:tblW w:w="0" w:type="auto"/>
        <w:tblLayout w:type="fixed"/>
        <w:tblCellMar>
          <w:left w:w="62" w:type="dxa"/>
          <w:right w:w="62" w:type="dxa"/>
        </w:tblCellMar>
        <w:tblLook w:val="0000"/>
      </w:tblPr>
      <w:tblGrid>
        <w:gridCol w:w="2590"/>
        <w:gridCol w:w="5932"/>
      </w:tblGrid>
      <w:tr w:rsidTr="00DB4B54">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CB7C4C" w:rsidP="00CB7C4C">
            <w:pPr>
              <w:pStyle w:val="BodyText"/>
            </w:pPr>
            <w:r w:rsidRPr="00CB7C4C">
              <w:t>Construction</w:t>
            </w:r>
          </w:p>
        </w:tc>
      </w:tr>
    </w:tbl>
    <w:p w:rsidR="00DB4B54" w:rsidP="00CB7C4C">
      <w:pPr>
        <w:pStyle w:val="BodyText"/>
      </w:pPr>
    </w:p>
    <w:p w:rsidR="00DB4B54" w:rsidP="00CB7C4C">
      <w:pPr>
        <w:pStyle w:val="BodyText"/>
      </w:pPr>
    </w:p>
    <w:p w:rsidR="00000000" w:rsidRPr="00CB7C4C" w:rsidP="00CB7C4C">
      <w:pPr>
        <w:pStyle w:val="Heading1"/>
      </w:pPr>
      <w:bookmarkStart w:id="13" w:name="O_197699"/>
      <w:bookmarkEnd w:id="13"/>
      <w:r w:rsidRPr="00CB7C4C">
        <w:t>Co-requisite units</w:t>
      </w:r>
    </w:p>
    <w:tbl>
      <w:tblPr>
        <w:tblW w:w="0" w:type="auto"/>
        <w:tblLayout w:type="fixed"/>
        <w:tblCellMar>
          <w:left w:w="62" w:type="dxa"/>
          <w:right w:w="62" w:type="dxa"/>
        </w:tblCellMar>
        <w:tblLook w:val="0000"/>
      </w:tblPr>
      <w:tblGrid>
        <w:gridCol w:w="2605"/>
        <w:gridCol w:w="1669"/>
        <w:gridCol w:w="4248"/>
      </w:tblGrid>
      <w:tr w:rsidTr="00DB4B54">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t>Nil</w:t>
            </w:r>
          </w:p>
        </w:tc>
      </w:tr>
      <w:tr w:rsidTr="00DB4B54">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p>
        </w:tc>
      </w:tr>
      <w:tr w:rsidTr="00DB4B54">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8" w:type="dxa"/>
            <w:tcBorders>
              <w:top w:val="nil"/>
              <w:left w:val="nil"/>
              <w:bottom w:val="nil"/>
              <w:right w:val="nil"/>
            </w:tcBorders>
            <w:tcMar>
              <w:top w:w="0" w:type="dxa"/>
              <w:left w:w="62" w:type="dxa"/>
              <w:bottom w:w="0" w:type="dxa"/>
              <w:right w:w="62" w:type="dxa"/>
            </w:tcMar>
          </w:tcPr>
          <w:p w:rsidR="00000000" w:rsidRPr="00CB7C4C" w:rsidP="00CB7C4C">
            <w:pPr>
              <w:pStyle w:val="BodyText"/>
            </w:pPr>
          </w:p>
        </w:tc>
      </w:tr>
    </w:tbl>
    <w:p w:rsidR="00DB4B54" w:rsidP="00CB7C4C">
      <w:pPr>
        <w:pStyle w:val="BodyText"/>
      </w:pPr>
    </w:p>
    <w:p w:rsidR="00DB4B54" w:rsidP="00CB7C4C">
      <w:pPr>
        <w:pStyle w:val="BodyText"/>
      </w:pPr>
    </w:p>
    <w:p w:rsidR="00000000" w:rsidRPr="00CB7C4C" w:rsidP="00CB7C4C">
      <w:pPr>
        <w:pStyle w:val="Heading1"/>
      </w:pPr>
      <w:bookmarkStart w:id="14" w:name="O_197701"/>
      <w:bookmarkEnd w:id="14"/>
      <w:r w:rsidRPr="00CB7C4C">
        <w:t>Functional area</w:t>
      </w:r>
    </w:p>
    <w:tbl>
      <w:tblPr>
        <w:tblW w:w="0" w:type="auto"/>
        <w:tblLayout w:type="fixed"/>
        <w:tblCellMar>
          <w:left w:w="62" w:type="dxa"/>
          <w:right w:w="62" w:type="dxa"/>
        </w:tblCellMar>
        <w:tblLook w:val="0000"/>
      </w:tblPr>
      <w:tblGrid>
        <w:gridCol w:w="2695"/>
        <w:gridCol w:w="5827"/>
      </w:tblGrid>
      <w:tr w:rsidTr="00DB4B54">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CB7C4C">
            <w:pPr>
              <w:pStyle w:val="BodyText"/>
              <w:rPr>
                <w:lang w:val="en-NZ"/>
              </w:rPr>
            </w:pPr>
            <w:r w:rsidRPr="00CB7C4C">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CB7C4C" w:rsidP="00CB7C4C">
            <w:pPr>
              <w:pStyle w:val="BodyText"/>
            </w:pPr>
          </w:p>
        </w:tc>
      </w:tr>
    </w:tbl>
    <w:p w:rsidR="00DB4B54" w:rsidP="00CB7C4C">
      <w:pPr>
        <w:pStyle w:val="BodyText"/>
      </w:pPr>
    </w:p>
    <w:p w:rsidR="00DB4B54" w:rsidP="00CB7C4C">
      <w:pPr>
        <w:pStyle w:val="BodyText"/>
      </w:pPr>
    </w:p>
    <w:p w:rsidR="00000000" w:rsidRPr="00CB7C4C" w:rsidP="00CB7C4C"/>
    <w:sectPr w:rsidSect="00CB7C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B54" w:rsidP="00DB4B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B54" w:rsidP="00CB7C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B4B54" w:rsidP="00CB7C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4B54" w:rsidP="00CB7C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4B54" w:rsidP="00DB4B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7C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B54" w:rsidP="00CB7C4C">
    <w:pPr>
      <w:pStyle w:val="Header"/>
      <w:framePr w:wrap="around"/>
    </w:pPr>
    <w:r>
      <w:fldChar w:fldCharType="begin"/>
    </w:r>
    <w:r>
      <w:instrText xml:space="preserve"> TITLE   \* MERGEFORMAT </w:instrText>
    </w:r>
    <w:r>
      <w:fldChar w:fldCharType="separate"/>
    </w:r>
    <w:r>
      <w:t>CPCCCO3023A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B4B54" w:rsidP="00CB7C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623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5E43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FAD8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C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7C4C"/>
    <w:pPr>
      <w:spacing w:before="360" w:after="60"/>
      <w:outlineLvl w:val="0"/>
    </w:pPr>
    <w:rPr>
      <w:sz w:val="32"/>
    </w:rPr>
  </w:style>
  <w:style w:type="paragraph" w:styleId="Heading2">
    <w:name w:val="heading 2"/>
    <w:basedOn w:val="HeadingBase"/>
    <w:next w:val="BodyText"/>
    <w:link w:val="Heading2Char"/>
    <w:qFormat/>
    <w:rsid w:val="00CB7C4C"/>
    <w:pPr>
      <w:keepLines/>
      <w:spacing w:before="240" w:after="120"/>
      <w:outlineLvl w:val="1"/>
    </w:pPr>
    <w:rPr>
      <w:sz w:val="28"/>
      <w:szCs w:val="40"/>
    </w:rPr>
  </w:style>
  <w:style w:type="paragraph" w:styleId="Heading3">
    <w:name w:val="heading 3"/>
    <w:basedOn w:val="HeadingBase"/>
    <w:next w:val="BodyText"/>
    <w:link w:val="Heading3Char"/>
    <w:qFormat/>
    <w:rsid w:val="00CB7C4C"/>
    <w:pPr>
      <w:spacing w:before="180" w:after="120"/>
      <w:outlineLvl w:val="2"/>
    </w:pPr>
    <w:rPr>
      <w:spacing w:val="-10"/>
      <w:kern w:val="32"/>
    </w:rPr>
  </w:style>
  <w:style w:type="paragraph" w:styleId="Heading4">
    <w:name w:val="heading 4"/>
    <w:basedOn w:val="HeadingBase"/>
    <w:next w:val="BodyText"/>
    <w:link w:val="Heading4Char"/>
    <w:qFormat/>
    <w:rsid w:val="00CB7C4C"/>
    <w:pPr>
      <w:spacing w:before="160" w:after="120"/>
      <w:outlineLvl w:val="3"/>
    </w:pPr>
    <w:rPr>
      <w:sz w:val="22"/>
    </w:rPr>
  </w:style>
  <w:style w:type="paragraph" w:styleId="Heading5">
    <w:name w:val="heading 5"/>
    <w:basedOn w:val="HeadingBase"/>
    <w:next w:val="Normal"/>
    <w:link w:val="Heading5Char"/>
    <w:qFormat/>
    <w:rsid w:val="00CB7C4C"/>
    <w:pPr>
      <w:spacing w:before="80"/>
      <w:outlineLvl w:val="4"/>
    </w:pPr>
    <w:rPr>
      <w:color w:val="918585"/>
      <w:sz w:val="20"/>
    </w:rPr>
  </w:style>
  <w:style w:type="paragraph" w:styleId="Heading6">
    <w:name w:val="heading 6"/>
    <w:basedOn w:val="HeadingBase"/>
    <w:next w:val="Normal"/>
    <w:link w:val="Heading6Char"/>
    <w:qFormat/>
    <w:rsid w:val="00CB7C4C"/>
    <w:pPr>
      <w:spacing w:before="60"/>
      <w:outlineLvl w:val="5"/>
    </w:pPr>
    <w:rPr>
      <w:color w:val="918585"/>
      <w:sz w:val="20"/>
    </w:rPr>
  </w:style>
  <w:style w:type="paragraph" w:styleId="Heading7">
    <w:name w:val="heading 7"/>
    <w:basedOn w:val="Normal"/>
    <w:next w:val="Normal"/>
    <w:link w:val="Heading7Char"/>
    <w:qFormat/>
    <w:rsid w:val="00CB7C4C"/>
    <w:pPr>
      <w:ind w:left="720"/>
      <w:outlineLvl w:val="6"/>
    </w:pPr>
    <w:rPr>
      <w:i/>
    </w:rPr>
  </w:style>
  <w:style w:type="paragraph" w:styleId="Heading8">
    <w:name w:val="heading 8"/>
    <w:basedOn w:val="Normal"/>
    <w:next w:val="Normal"/>
    <w:link w:val="Heading8Char"/>
    <w:qFormat/>
    <w:rsid w:val="00CB7C4C"/>
    <w:pPr>
      <w:ind w:left="720"/>
      <w:outlineLvl w:val="7"/>
    </w:pPr>
    <w:rPr>
      <w:i/>
    </w:rPr>
  </w:style>
  <w:style w:type="paragraph" w:styleId="Heading9">
    <w:name w:val="heading 9"/>
    <w:basedOn w:val="Normal"/>
    <w:next w:val="Normal"/>
    <w:link w:val="Heading9Char"/>
    <w:qFormat/>
    <w:rsid w:val="00CB7C4C"/>
    <w:pPr>
      <w:ind w:left="720"/>
      <w:outlineLvl w:val="8"/>
    </w:pPr>
    <w:rPr>
      <w:i/>
    </w:rPr>
  </w:style>
  <w:style w:type="character" w:default="1" w:styleId="DefaultParagraphFont">
    <w:name w:val="Default Paragraph Font"/>
    <w:uiPriority w:val="1"/>
    <w:unhideWhenUsed/>
    <w:rsid w:val="00CB7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7C4C"/>
  </w:style>
  <w:style w:type="character" w:customStyle="1" w:styleId="Heading1Char">
    <w:name w:val="Heading 1 Char"/>
    <w:basedOn w:val="DefaultParagraphFont"/>
    <w:link w:val="Heading1"/>
    <w:rsid w:val="00CB7C4C"/>
    <w:rPr>
      <w:rFonts w:ascii="Times New Roman" w:eastAsia="Times New Roman" w:hAnsi="Times New Roman" w:cs="Times New Roman"/>
      <w:b/>
      <w:sz w:val="32"/>
      <w:szCs w:val="20"/>
      <w:lang w:eastAsia="en-US"/>
    </w:rPr>
  </w:style>
  <w:style w:type="paragraph" w:styleId="BodyText">
    <w:name w:val="Body Text"/>
    <w:basedOn w:val="Normal"/>
    <w:link w:val="BodyTextChar"/>
    <w:rsid w:val="00CB7C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7C4C"/>
    <w:rPr>
      <w:rFonts w:ascii="Times New Roman" w:eastAsia="Times New Roman" w:hAnsi="Times New Roman" w:cs="Times New Roman"/>
      <w:sz w:val="24"/>
      <w:lang w:val="en-US" w:eastAsia="en-US"/>
    </w:rPr>
  </w:style>
  <w:style w:type="paragraph" w:styleId="Footer">
    <w:name w:val="footer"/>
    <w:basedOn w:val="Normal"/>
    <w:link w:val="FooterChar"/>
    <w:rsid w:val="00CB7C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7C4C"/>
    <w:rPr>
      <w:rFonts w:ascii="Times New Roman" w:eastAsia="Times New Roman" w:hAnsi="Times New Roman" w:cs="Times New Roman"/>
      <w:sz w:val="16"/>
      <w:lang w:val="en-US" w:eastAsia="en-US"/>
    </w:rPr>
  </w:style>
  <w:style w:type="paragraph" w:styleId="List">
    <w:name w:val="List"/>
    <w:basedOn w:val="BodyText"/>
    <w:next w:val="BodyText"/>
    <w:rsid w:val="00CB7C4C"/>
    <w:pPr>
      <w:tabs>
        <w:tab w:val="left" w:pos="340"/>
      </w:tabs>
      <w:spacing w:before="60" w:after="60"/>
      <w:ind w:left="340" w:hanging="340"/>
    </w:pPr>
  </w:style>
  <w:style w:type="paragraph" w:styleId="ListBullet">
    <w:name w:val="List Bullet"/>
    <w:basedOn w:val="List"/>
    <w:rsid w:val="00CB7C4C"/>
    <w:pPr>
      <w:numPr>
        <w:numId w:val="14"/>
      </w:numPr>
      <w:tabs>
        <w:tab w:val="clear" w:pos="340"/>
      </w:tabs>
      <w:spacing w:before="40" w:after="40"/>
    </w:pPr>
  </w:style>
  <w:style w:type="character" w:customStyle="1" w:styleId="SpecialBold">
    <w:name w:val="Special Bold"/>
    <w:basedOn w:val="DefaultParagraphFont"/>
    <w:rsid w:val="00CB7C4C"/>
    <w:rPr>
      <w:b/>
      <w:spacing w:val="0"/>
    </w:rPr>
  </w:style>
  <w:style w:type="paragraph" w:styleId="ListBullet2">
    <w:name w:val="List Bullet 2"/>
    <w:basedOn w:val="List2"/>
    <w:rsid w:val="00CB7C4C"/>
    <w:pPr>
      <w:numPr>
        <w:numId w:val="15"/>
      </w:numPr>
      <w:tabs>
        <w:tab w:val="clear" w:pos="680"/>
      </w:tabs>
    </w:pPr>
  </w:style>
  <w:style w:type="paragraph" w:styleId="Header">
    <w:name w:val="header"/>
    <w:basedOn w:val="Normal"/>
    <w:link w:val="HeaderChar"/>
    <w:rsid w:val="00CB7C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7C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7C4C"/>
    <w:pPr>
      <w:spacing w:before="240" w:after="120"/>
      <w:outlineLvl w:val="0"/>
    </w:pPr>
    <w:rPr>
      <w:rFonts w:ascii="Times New Roman" w:hAnsi="Times New Roman"/>
      <w:b/>
      <w:sz w:val="28"/>
    </w:rPr>
  </w:style>
  <w:style w:type="paragraph" w:customStyle="1" w:styleId="AllowPageBreak">
    <w:name w:val="AllowPageBreak"/>
    <w:rsid w:val="00CB7C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7C4C"/>
    <w:pPr>
      <w:tabs>
        <w:tab w:val="left" w:pos="680"/>
      </w:tabs>
      <w:spacing w:before="60" w:after="60"/>
      <w:ind w:left="680" w:hanging="340"/>
    </w:pPr>
  </w:style>
  <w:style w:type="paragraph" w:styleId="ListBullet3">
    <w:name w:val="List Bullet 3"/>
    <w:basedOn w:val="List3"/>
    <w:rsid w:val="00CB7C4C"/>
    <w:pPr>
      <w:numPr>
        <w:numId w:val="3"/>
      </w:numPr>
      <w:tabs>
        <w:tab w:val="clear" w:pos="1021"/>
      </w:tabs>
      <w:ind w:left="1037" w:hanging="357"/>
    </w:pPr>
  </w:style>
  <w:style w:type="character" w:customStyle="1" w:styleId="BoldandItalics">
    <w:name w:val="Bold and Italics"/>
    <w:qFormat/>
    <w:rsid w:val="00CB7C4C"/>
    <w:rPr>
      <w:b/>
      <w:i/>
      <w:u w:val="none"/>
    </w:rPr>
  </w:style>
  <w:style w:type="character" w:customStyle="1" w:styleId="Heading2Char">
    <w:name w:val="Heading 2 Char"/>
    <w:basedOn w:val="DefaultParagraphFont"/>
    <w:link w:val="Heading2"/>
    <w:rsid w:val="00CB7C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7C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7C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7C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7C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7C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7C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7C4C"/>
    <w:rPr>
      <w:rFonts w:ascii="Courier New" w:eastAsia="Times New Roman" w:hAnsi="Courier New" w:cs="Times New Roman"/>
      <w:i/>
      <w:szCs w:val="20"/>
      <w:lang w:val="en-US" w:eastAsia="en-US"/>
    </w:rPr>
  </w:style>
  <w:style w:type="paragraph" w:customStyle="1" w:styleId="HeadingBase">
    <w:name w:val="Heading Base"/>
    <w:rsid w:val="00CB7C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7C4C"/>
    <w:pPr>
      <w:tabs>
        <w:tab w:val="right" w:leader="dot" w:pos="9072"/>
      </w:tabs>
      <w:ind w:left="567"/>
    </w:pPr>
    <w:rPr>
      <w:szCs w:val="22"/>
    </w:rPr>
  </w:style>
  <w:style w:type="paragraph" w:customStyle="1" w:styleId="TOCBase">
    <w:name w:val="TOC Base"/>
    <w:rsid w:val="00CB7C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7C4C"/>
    <w:pPr>
      <w:tabs>
        <w:tab w:val="right" w:leader="dot" w:pos="9072"/>
      </w:tabs>
      <w:spacing w:before="40" w:after="40"/>
      <w:ind w:left="284"/>
    </w:pPr>
    <w:rPr>
      <w:rFonts w:ascii="Times New Roman" w:hAnsi="Times New Roman"/>
    </w:rPr>
  </w:style>
  <w:style w:type="paragraph" w:styleId="TOC1">
    <w:name w:val="toc 1"/>
    <w:basedOn w:val="TOCBase"/>
    <w:next w:val="Normal"/>
    <w:rsid w:val="00CB7C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7C4C"/>
    <w:pPr>
      <w:spacing w:before="5040"/>
      <w:jc w:val="center"/>
    </w:pPr>
    <w:rPr>
      <w:sz w:val="48"/>
      <w:szCs w:val="72"/>
      <w:lang w:val="en-US"/>
    </w:rPr>
  </w:style>
  <w:style w:type="character" w:customStyle="1" w:styleId="TitleChar">
    <w:name w:val="Title Char"/>
    <w:basedOn w:val="DefaultParagraphFont"/>
    <w:link w:val="Title"/>
    <w:rsid w:val="00CB7C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7C4C"/>
    <w:pPr>
      <w:tabs>
        <w:tab w:val="left" w:pos="3600"/>
        <w:tab w:val="left" w:pos="3958"/>
      </w:tabs>
    </w:pPr>
  </w:style>
  <w:style w:type="paragraph" w:customStyle="1" w:styleId="Note">
    <w:name w:val="Note"/>
    <w:basedOn w:val="BodyText"/>
    <w:rsid w:val="00CB7C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7C4C"/>
    <w:pPr>
      <w:framePr w:wrap="auto" w:hAnchor="text" w:y="6049"/>
    </w:pPr>
    <w:rPr>
      <w:color w:val="000000"/>
      <w:sz w:val="40"/>
    </w:rPr>
  </w:style>
  <w:style w:type="paragraph" w:customStyle="1" w:styleId="TOCTitle">
    <w:name w:val="TOCTitle"/>
    <w:basedOn w:val="Heading1"/>
    <w:rsid w:val="00CB7C4C"/>
    <w:pPr>
      <w:spacing w:after="240"/>
      <w:jc w:val="center"/>
      <w:outlineLvl w:val="9"/>
    </w:pPr>
    <w:rPr>
      <w:caps/>
    </w:rPr>
  </w:style>
  <w:style w:type="paragraph" w:customStyle="1" w:styleId="Version">
    <w:name w:val="Version"/>
    <w:rsid w:val="00CB7C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7C4C"/>
    <w:pPr>
      <w:keepNext w:val="0"/>
      <w:tabs>
        <w:tab w:val="right" w:pos="4176"/>
      </w:tabs>
      <w:ind w:left="198" w:hanging="198"/>
    </w:pPr>
    <w:rPr>
      <w:rFonts w:ascii="Garamond" w:hAnsi="Garamond"/>
    </w:rPr>
  </w:style>
  <w:style w:type="paragraph" w:styleId="IndexHeading">
    <w:name w:val="index heading"/>
    <w:basedOn w:val="Normal"/>
    <w:next w:val="Index1"/>
    <w:semiHidden/>
    <w:rsid w:val="00CB7C4C"/>
    <w:pPr>
      <w:spacing w:before="120" w:after="120"/>
    </w:pPr>
    <w:rPr>
      <w:rFonts w:ascii="Arial" w:hAnsi="Arial"/>
      <w:b/>
      <w:color w:val="918585"/>
      <w:sz w:val="24"/>
    </w:rPr>
  </w:style>
  <w:style w:type="paragraph" w:customStyle="1" w:styleId="Chapter">
    <w:name w:val="Chapter"/>
    <w:basedOn w:val="Normal"/>
    <w:rsid w:val="00CB7C4C"/>
    <w:pPr>
      <w:spacing w:before="240"/>
    </w:pPr>
    <w:rPr>
      <w:rFonts w:ascii="Times New Roman" w:hAnsi="Times New Roman"/>
      <w:smallCaps/>
      <w:spacing w:val="80"/>
      <w:sz w:val="28"/>
    </w:rPr>
  </w:style>
  <w:style w:type="paragraph" w:customStyle="1" w:styleId="InChapter">
    <w:name w:val="InChapter"/>
    <w:basedOn w:val="Heading3"/>
    <w:rsid w:val="00CB7C4C"/>
    <w:pPr>
      <w:spacing w:after="240"/>
      <w:outlineLvl w:val="9"/>
    </w:pPr>
    <w:rPr>
      <w:noProof/>
    </w:rPr>
  </w:style>
  <w:style w:type="paragraph" w:styleId="Index2">
    <w:name w:val="index 2"/>
    <w:basedOn w:val="Normal"/>
    <w:next w:val="Normal"/>
    <w:semiHidden/>
    <w:rsid w:val="00CB7C4C"/>
    <w:pPr>
      <w:tabs>
        <w:tab w:val="right" w:pos="4176"/>
      </w:tabs>
      <w:ind w:left="568" w:hanging="284"/>
    </w:pPr>
    <w:rPr>
      <w:rFonts w:ascii="Garamond" w:hAnsi="Garamond"/>
    </w:rPr>
  </w:style>
  <w:style w:type="paragraph" w:customStyle="1" w:styleId="Byline">
    <w:name w:val="Byline"/>
    <w:rsid w:val="00CB7C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7C4C"/>
    <w:pPr>
      <w:tabs>
        <w:tab w:val="clear" w:pos="3600"/>
        <w:tab w:val="clear" w:pos="3958"/>
      </w:tabs>
      <w:jc w:val="right"/>
    </w:pPr>
  </w:style>
  <w:style w:type="character" w:styleId="Emphasis">
    <w:name w:val="Emphasis"/>
    <w:basedOn w:val="DefaultParagraphFont"/>
    <w:qFormat/>
    <w:rsid w:val="00CB7C4C"/>
    <w:rPr>
      <w:i/>
    </w:rPr>
  </w:style>
  <w:style w:type="paragraph" w:styleId="Caption">
    <w:name w:val="caption"/>
    <w:basedOn w:val="BodyText"/>
    <w:next w:val="Normal"/>
    <w:qFormat/>
    <w:rsid w:val="00CB7C4C"/>
    <w:pPr>
      <w:framePr w:w="2268" w:hSpace="181" w:vSpace="181" w:wrap="around" w:vAnchor="text" w:hAnchor="page" w:x="1135" w:y="285" w:anchorLock="1"/>
    </w:pPr>
    <w:rPr>
      <w:i/>
    </w:rPr>
  </w:style>
  <w:style w:type="paragraph" w:customStyle="1" w:styleId="MiniTOCTitle">
    <w:name w:val="MiniTOCTitle"/>
    <w:basedOn w:val="Heading4"/>
    <w:rsid w:val="00CB7C4C"/>
    <w:pPr>
      <w:spacing w:before="240"/>
      <w:outlineLvl w:val="9"/>
    </w:pPr>
    <w:rPr>
      <w:noProof/>
      <w:sz w:val="24"/>
    </w:rPr>
  </w:style>
  <w:style w:type="paragraph" w:customStyle="1" w:styleId="MiniTOCItem">
    <w:name w:val="MiniTOCItem"/>
    <w:basedOn w:val="ListBullet"/>
    <w:rsid w:val="00CB7C4C"/>
    <w:pPr>
      <w:numPr>
        <w:numId w:val="0"/>
      </w:numPr>
      <w:tabs>
        <w:tab w:val="right" w:leader="dot" w:pos="6521"/>
      </w:tabs>
      <w:spacing w:before="0" w:after="0"/>
    </w:pPr>
  </w:style>
  <w:style w:type="paragraph" w:customStyle="1" w:styleId="TOFTitle">
    <w:name w:val="TOFTitle"/>
    <w:basedOn w:val="TOCTitle"/>
    <w:rsid w:val="00CB7C4C"/>
  </w:style>
  <w:style w:type="paragraph" w:styleId="TableofFigures">
    <w:name w:val="table of figures"/>
    <w:basedOn w:val="Normal"/>
    <w:next w:val="Normal"/>
    <w:semiHidden/>
    <w:rsid w:val="00CB7C4C"/>
    <w:pPr>
      <w:tabs>
        <w:tab w:val="right" w:leader="dot" w:pos="9072"/>
      </w:tabs>
      <w:ind w:left="970" w:hanging="403"/>
    </w:pPr>
    <w:rPr>
      <w:rFonts w:ascii="Times New Roman" w:hAnsi="Times New Roman"/>
      <w:b/>
    </w:rPr>
  </w:style>
  <w:style w:type="paragraph" w:styleId="ListNumber">
    <w:name w:val="List Number"/>
    <w:basedOn w:val="List"/>
    <w:rsid w:val="00CB7C4C"/>
    <w:pPr>
      <w:numPr>
        <w:numId w:val="12"/>
      </w:numPr>
    </w:pPr>
  </w:style>
  <w:style w:type="character" w:customStyle="1" w:styleId="WingdingSymbols">
    <w:name w:val="Wingding Symbols"/>
    <w:rsid w:val="00CB7C4C"/>
    <w:rPr>
      <w:rFonts w:ascii="Wingdings" w:hAnsi="Wingdings"/>
    </w:rPr>
  </w:style>
  <w:style w:type="paragraph" w:customStyle="1" w:styleId="TableHeading">
    <w:name w:val="Table Heading"/>
    <w:basedOn w:val="HeadingBase"/>
    <w:rsid w:val="00CB7C4C"/>
    <w:pPr>
      <w:keepLines/>
      <w:pBdr>
        <w:bottom w:val="single" w:sz="6" w:space="1" w:color="918585"/>
      </w:pBdr>
      <w:spacing w:before="240"/>
    </w:pPr>
  </w:style>
  <w:style w:type="character" w:customStyle="1" w:styleId="HotSpot">
    <w:name w:val="HotSpot"/>
    <w:rsid w:val="00CB7C4C"/>
    <w:rPr>
      <w:color w:val="0033CC"/>
      <w:u w:val="none"/>
    </w:rPr>
  </w:style>
  <w:style w:type="paragraph" w:customStyle="1" w:styleId="BodyTextRight">
    <w:name w:val="Body Text Right"/>
    <w:basedOn w:val="BodyText"/>
    <w:rsid w:val="00CB7C4C"/>
    <w:pPr>
      <w:spacing w:before="0" w:after="0"/>
      <w:jc w:val="right"/>
    </w:pPr>
  </w:style>
  <w:style w:type="paragraph" w:styleId="Index3">
    <w:name w:val="index 3"/>
    <w:basedOn w:val="ListNumber2"/>
    <w:next w:val="Normal"/>
    <w:semiHidden/>
    <w:rsid w:val="00CB7C4C"/>
    <w:pPr>
      <w:numPr>
        <w:numId w:val="0"/>
      </w:numPr>
      <w:tabs>
        <w:tab w:val="right" w:leader="dot" w:pos="4176"/>
      </w:tabs>
    </w:pPr>
  </w:style>
  <w:style w:type="paragraph" w:styleId="ListNumber2">
    <w:name w:val="List Number 2"/>
    <w:basedOn w:val="List2"/>
    <w:rsid w:val="00CB7C4C"/>
    <w:pPr>
      <w:numPr>
        <w:numId w:val="11"/>
      </w:numPr>
      <w:tabs>
        <w:tab w:val="clear" w:pos="1060"/>
      </w:tabs>
    </w:pPr>
  </w:style>
  <w:style w:type="paragraph" w:customStyle="1" w:styleId="MarginNote">
    <w:name w:val="Margin Note"/>
    <w:basedOn w:val="BodyText"/>
    <w:rsid w:val="00CB7C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7C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7C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7C4C"/>
    <w:rPr>
      <w:sz w:val="32"/>
    </w:rPr>
  </w:style>
  <w:style w:type="paragraph" w:customStyle="1" w:styleId="HeadingProcedure">
    <w:name w:val="Heading Procedure"/>
    <w:basedOn w:val="HeadingBase"/>
    <w:next w:val="Normal"/>
    <w:rsid w:val="00CB7C4C"/>
    <w:pPr>
      <w:tabs>
        <w:tab w:val="left" w:pos="0"/>
      </w:tabs>
      <w:spacing w:before="120" w:after="60"/>
    </w:pPr>
    <w:rPr>
      <w:i/>
      <w:color w:val="918585"/>
      <w:sz w:val="22"/>
    </w:rPr>
  </w:style>
  <w:style w:type="paragraph" w:customStyle="1" w:styleId="TableBodyText">
    <w:name w:val="Table Body Text"/>
    <w:basedOn w:val="BodyText"/>
    <w:rsid w:val="00CB7C4C"/>
    <w:pPr>
      <w:spacing w:before="60" w:after="60"/>
    </w:pPr>
  </w:style>
  <w:style w:type="paragraph" w:styleId="ListContinue">
    <w:name w:val="List Continue"/>
    <w:basedOn w:val="List"/>
    <w:rsid w:val="00CB7C4C"/>
    <w:pPr>
      <w:ind w:firstLine="0"/>
    </w:pPr>
  </w:style>
  <w:style w:type="paragraph" w:customStyle="1" w:styleId="ListNote">
    <w:name w:val="List Note"/>
    <w:basedOn w:val="List"/>
    <w:rsid w:val="00CB7C4C"/>
    <w:pPr>
      <w:pBdr>
        <w:top w:val="single" w:sz="6" w:space="2" w:color="918585"/>
        <w:bottom w:val="single" w:sz="6" w:space="2" w:color="918585"/>
      </w:pBdr>
      <w:tabs>
        <w:tab w:val="left" w:pos="1021"/>
      </w:tabs>
      <w:ind w:firstLine="0"/>
    </w:pPr>
  </w:style>
  <w:style w:type="paragraph" w:customStyle="1" w:styleId="Warning">
    <w:name w:val="Warning"/>
    <w:basedOn w:val="BodyText"/>
    <w:rsid w:val="00CB7C4C"/>
    <w:pPr>
      <w:shd w:val="clear" w:color="auto" w:fill="D9D9D9"/>
      <w:tabs>
        <w:tab w:val="left" w:pos="992"/>
      </w:tabs>
      <w:ind w:left="119" w:right="119"/>
    </w:pPr>
    <w:rPr>
      <w:sz w:val="20"/>
    </w:rPr>
  </w:style>
  <w:style w:type="paragraph" w:customStyle="1" w:styleId="MarginIcons">
    <w:name w:val="Margin Icons"/>
    <w:basedOn w:val="BodyText"/>
    <w:rsid w:val="00CB7C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7C4C"/>
    <w:rPr>
      <w:rFonts w:ascii="Courier New" w:hAnsi="Courier New"/>
    </w:rPr>
  </w:style>
  <w:style w:type="paragraph" w:customStyle="1" w:styleId="NoteBullet">
    <w:name w:val="Note Bullet"/>
    <w:basedOn w:val="Note"/>
    <w:rsid w:val="00CB7C4C"/>
    <w:pPr>
      <w:tabs>
        <w:tab w:val="clear" w:pos="680"/>
      </w:tabs>
      <w:spacing w:before="60" w:after="60"/>
    </w:pPr>
  </w:style>
  <w:style w:type="paragraph" w:customStyle="1" w:styleId="SubHeading2">
    <w:name w:val="SubHeading2"/>
    <w:basedOn w:val="HeadingBase"/>
    <w:rsid w:val="00CB7C4C"/>
    <w:pPr>
      <w:spacing w:before="240" w:after="60"/>
    </w:pPr>
    <w:rPr>
      <w:sz w:val="20"/>
    </w:rPr>
  </w:style>
  <w:style w:type="paragraph" w:customStyle="1" w:styleId="SubHeading1">
    <w:name w:val="SubHeading1"/>
    <w:basedOn w:val="HeadingBase"/>
    <w:rsid w:val="00CB7C4C"/>
    <w:pPr>
      <w:spacing w:before="240" w:after="60"/>
    </w:pPr>
    <w:rPr>
      <w:color w:val="918585"/>
      <w:sz w:val="22"/>
    </w:rPr>
  </w:style>
  <w:style w:type="paragraph" w:customStyle="1" w:styleId="SideHeading">
    <w:name w:val="Side Heading"/>
    <w:basedOn w:val="HeadingBase"/>
    <w:rsid w:val="00CB7C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7C4C"/>
    <w:pPr>
      <w:numPr>
        <w:numId w:val="13"/>
      </w:numPr>
    </w:pPr>
  </w:style>
  <w:style w:type="paragraph" w:styleId="PlainText">
    <w:name w:val="Plain Text"/>
    <w:basedOn w:val="Normal"/>
    <w:link w:val="PlainTextChar"/>
    <w:rsid w:val="00CB7C4C"/>
    <w:rPr>
      <w:sz w:val="20"/>
    </w:rPr>
  </w:style>
  <w:style w:type="character" w:customStyle="1" w:styleId="PlainTextChar">
    <w:name w:val="Plain Text Char"/>
    <w:basedOn w:val="DefaultParagraphFont"/>
    <w:link w:val="PlainText"/>
    <w:rsid w:val="00CB7C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7C4C"/>
    <w:rPr>
      <w:b/>
      <w:smallCaps/>
    </w:rPr>
  </w:style>
  <w:style w:type="paragraph" w:customStyle="1" w:styleId="TableListNumber">
    <w:name w:val="Table List Number"/>
    <w:basedOn w:val="ListNumber"/>
    <w:rsid w:val="00CB7C4C"/>
    <w:pPr>
      <w:numPr>
        <w:numId w:val="0"/>
      </w:numPr>
    </w:pPr>
  </w:style>
  <w:style w:type="paragraph" w:styleId="TOC4">
    <w:name w:val="toc 4"/>
    <w:basedOn w:val="TOCBase"/>
    <w:next w:val="Normal"/>
    <w:semiHidden/>
    <w:rsid w:val="00CB7C4C"/>
    <w:pPr>
      <w:tabs>
        <w:tab w:val="right" w:leader="dot" w:pos="9071"/>
      </w:tabs>
      <w:ind w:left="1701"/>
    </w:pPr>
  </w:style>
  <w:style w:type="paragraph" w:customStyle="1" w:styleId="ListAlpha">
    <w:name w:val="List Alpha"/>
    <w:basedOn w:val="List"/>
    <w:rsid w:val="00CB7C4C"/>
    <w:pPr>
      <w:numPr>
        <w:numId w:val="10"/>
      </w:numPr>
    </w:pPr>
  </w:style>
  <w:style w:type="paragraph" w:customStyle="1" w:styleId="ListAlpha2">
    <w:name w:val="List Alpha 2"/>
    <w:basedOn w:val="List2"/>
    <w:rsid w:val="00CB7C4C"/>
    <w:pPr>
      <w:numPr>
        <w:numId w:val="9"/>
      </w:numPr>
    </w:pPr>
  </w:style>
  <w:style w:type="paragraph" w:styleId="List3">
    <w:name w:val="List 3"/>
    <w:basedOn w:val="BodyText"/>
    <w:rsid w:val="00CB7C4C"/>
    <w:pPr>
      <w:tabs>
        <w:tab w:val="left" w:pos="1021"/>
      </w:tabs>
      <w:spacing w:before="60" w:after="60"/>
      <w:ind w:left="1020" w:hanging="340"/>
    </w:pPr>
  </w:style>
  <w:style w:type="paragraph" w:styleId="List4">
    <w:name w:val="List 4"/>
    <w:basedOn w:val="BodyText"/>
    <w:rsid w:val="00CB7C4C"/>
    <w:pPr>
      <w:tabs>
        <w:tab w:val="left" w:pos="1361"/>
      </w:tabs>
      <w:spacing w:before="60" w:after="60"/>
      <w:ind w:left="1361" w:hanging="340"/>
    </w:pPr>
  </w:style>
  <w:style w:type="paragraph" w:styleId="List5">
    <w:name w:val="List 5"/>
    <w:basedOn w:val="BodyText"/>
    <w:rsid w:val="00CB7C4C"/>
    <w:pPr>
      <w:tabs>
        <w:tab w:val="left" w:pos="1701"/>
      </w:tabs>
      <w:spacing w:before="60" w:after="60"/>
      <w:ind w:left="1701" w:hanging="340"/>
    </w:pPr>
  </w:style>
  <w:style w:type="paragraph" w:styleId="ListBullet4">
    <w:name w:val="List Bullet 4"/>
    <w:basedOn w:val="List4"/>
    <w:rsid w:val="00CB7C4C"/>
    <w:pPr>
      <w:numPr>
        <w:numId w:val="4"/>
      </w:numPr>
    </w:pPr>
  </w:style>
  <w:style w:type="paragraph" w:styleId="ListBullet5">
    <w:name w:val="List Bullet 5"/>
    <w:basedOn w:val="List5"/>
    <w:rsid w:val="00CB7C4C"/>
    <w:pPr>
      <w:numPr>
        <w:numId w:val="5"/>
      </w:numPr>
    </w:pPr>
  </w:style>
  <w:style w:type="paragraph" w:styleId="ListContinue2">
    <w:name w:val="List Continue 2"/>
    <w:basedOn w:val="List2"/>
    <w:rsid w:val="00CB7C4C"/>
    <w:pPr>
      <w:ind w:firstLine="0"/>
    </w:pPr>
  </w:style>
  <w:style w:type="paragraph" w:styleId="ListContinue3">
    <w:name w:val="List Continue 3"/>
    <w:basedOn w:val="List3"/>
    <w:rsid w:val="00CB7C4C"/>
    <w:pPr>
      <w:ind w:left="1021" w:firstLine="0"/>
    </w:pPr>
  </w:style>
  <w:style w:type="paragraph" w:styleId="ListContinue4">
    <w:name w:val="List Continue 4"/>
    <w:basedOn w:val="List4"/>
    <w:rsid w:val="00CB7C4C"/>
    <w:pPr>
      <w:ind w:firstLine="0"/>
    </w:pPr>
  </w:style>
  <w:style w:type="paragraph" w:styleId="ListContinue5">
    <w:name w:val="List Continue 5"/>
    <w:basedOn w:val="List5"/>
    <w:rsid w:val="00CB7C4C"/>
    <w:pPr>
      <w:ind w:firstLine="0"/>
    </w:pPr>
  </w:style>
  <w:style w:type="paragraph" w:styleId="ListNumber3">
    <w:name w:val="List Number 3"/>
    <w:basedOn w:val="List3"/>
    <w:rsid w:val="00CB7C4C"/>
    <w:pPr>
      <w:numPr>
        <w:numId w:val="6"/>
      </w:numPr>
    </w:pPr>
  </w:style>
  <w:style w:type="paragraph" w:styleId="ListNumber4">
    <w:name w:val="List Number 4"/>
    <w:basedOn w:val="List4"/>
    <w:rsid w:val="00CB7C4C"/>
    <w:pPr>
      <w:numPr>
        <w:numId w:val="7"/>
      </w:numPr>
    </w:pPr>
  </w:style>
  <w:style w:type="paragraph" w:styleId="ListNumber5">
    <w:name w:val="List Number 5"/>
    <w:basedOn w:val="List5"/>
    <w:rsid w:val="00CB7C4C"/>
    <w:pPr>
      <w:numPr>
        <w:numId w:val="8"/>
      </w:numPr>
    </w:pPr>
  </w:style>
  <w:style w:type="paragraph" w:styleId="BlockText">
    <w:name w:val="Block Text"/>
    <w:basedOn w:val="Normal"/>
    <w:rsid w:val="00CB7C4C"/>
    <w:pPr>
      <w:spacing w:after="120"/>
      <w:ind w:left="1440" w:right="1440"/>
    </w:pPr>
  </w:style>
  <w:style w:type="character" w:customStyle="1" w:styleId="Subscript">
    <w:name w:val="Subscript"/>
    <w:basedOn w:val="DefaultParagraphFont"/>
    <w:rsid w:val="00CB7C4C"/>
    <w:rPr>
      <w:sz w:val="16"/>
      <w:vertAlign w:val="subscript"/>
    </w:rPr>
  </w:style>
  <w:style w:type="character" w:customStyle="1" w:styleId="Superscript">
    <w:name w:val="Superscript"/>
    <w:basedOn w:val="DefaultParagraphFont"/>
    <w:rsid w:val="00CB7C4C"/>
    <w:rPr>
      <w:sz w:val="16"/>
      <w:vertAlign w:val="superscript"/>
    </w:rPr>
  </w:style>
  <w:style w:type="character" w:customStyle="1" w:styleId="Symbols">
    <w:name w:val="Symbols"/>
    <w:basedOn w:val="DefaultParagraphFont"/>
    <w:rsid w:val="00CB7C4C"/>
    <w:rPr>
      <w:rFonts w:ascii="Symbol" w:hAnsi="Symbol"/>
    </w:rPr>
  </w:style>
  <w:style w:type="character" w:customStyle="1" w:styleId="MenuOptions">
    <w:name w:val="Menu Options"/>
    <w:basedOn w:val="DefaultParagraphFont"/>
    <w:rsid w:val="00CB7C4C"/>
    <w:rPr>
      <w:rFonts w:ascii="Arial Narrow" w:hAnsi="Arial Narrow"/>
      <w:smallCaps/>
    </w:rPr>
  </w:style>
  <w:style w:type="character" w:customStyle="1" w:styleId="Buttons">
    <w:name w:val="Buttons"/>
    <w:basedOn w:val="DefaultParagraphFont"/>
    <w:rsid w:val="00CB7C4C"/>
    <w:rPr>
      <w:b/>
    </w:rPr>
  </w:style>
  <w:style w:type="character" w:customStyle="1" w:styleId="Underlined">
    <w:name w:val="Underlined"/>
    <w:basedOn w:val="DefaultParagraphFont"/>
    <w:rsid w:val="00CB7C4C"/>
    <w:rPr>
      <w:u w:val="single"/>
    </w:rPr>
  </w:style>
  <w:style w:type="paragraph" w:customStyle="1" w:styleId="TableBodyTextRight">
    <w:name w:val="Table Body Text Right"/>
    <w:basedOn w:val="TableBodyText"/>
    <w:rsid w:val="00CB7C4C"/>
    <w:pPr>
      <w:widowControl w:val="0"/>
      <w:autoSpaceDE w:val="0"/>
      <w:autoSpaceDN w:val="0"/>
      <w:adjustRightInd w:val="0"/>
      <w:jc w:val="right"/>
    </w:pPr>
    <w:rPr>
      <w:rFonts w:cs="Arial"/>
      <w:szCs w:val="18"/>
    </w:rPr>
  </w:style>
  <w:style w:type="paragraph" w:customStyle="1" w:styleId="CopyrightText">
    <w:name w:val="Copyright Text"/>
    <w:basedOn w:val="BodyText"/>
    <w:rsid w:val="00CB7C4C"/>
    <w:rPr>
      <w:sz w:val="18"/>
    </w:rPr>
  </w:style>
  <w:style w:type="paragraph" w:customStyle="1" w:styleId="BodySmallRight">
    <w:name w:val="Body Small Right"/>
    <w:basedOn w:val="BodyTextRight"/>
    <w:rsid w:val="00CB7C4C"/>
    <w:rPr>
      <w:sz w:val="18"/>
      <w:szCs w:val="18"/>
    </w:rPr>
  </w:style>
  <w:style w:type="paragraph" w:customStyle="1" w:styleId="MarginEdition">
    <w:name w:val="Margin Edition"/>
    <w:basedOn w:val="MarginNote"/>
    <w:rsid w:val="00CB7C4C"/>
    <w:pPr>
      <w:spacing w:before="0" w:after="0"/>
    </w:pPr>
    <w:rPr>
      <w:rFonts w:ascii="Times New Roman" w:hAnsi="Times New Roman"/>
      <w:color w:val="999999"/>
    </w:rPr>
  </w:style>
  <w:style w:type="paragraph" w:customStyle="1" w:styleId="Spacer">
    <w:name w:val="Spacer"/>
    <w:basedOn w:val="Normal"/>
    <w:rsid w:val="00CB7C4C"/>
    <w:rPr>
      <w:sz w:val="2"/>
      <w:szCs w:val="2"/>
    </w:rPr>
  </w:style>
  <w:style w:type="character" w:customStyle="1" w:styleId="Small">
    <w:name w:val="Small"/>
    <w:basedOn w:val="DefaultParagraphFont"/>
    <w:rsid w:val="00CB7C4C"/>
    <w:rPr>
      <w:sz w:val="16"/>
    </w:rPr>
  </w:style>
  <w:style w:type="paragraph" w:customStyle="1" w:styleId="WideTable">
    <w:name w:val="Wide Table"/>
    <w:basedOn w:val="Normal"/>
    <w:rsid w:val="00CB7C4C"/>
    <w:pPr>
      <w:ind w:left="-1418"/>
    </w:pPr>
    <w:rPr>
      <w:sz w:val="2"/>
      <w:szCs w:val="2"/>
    </w:rPr>
  </w:style>
  <w:style w:type="character" w:styleId="PageNumber">
    <w:name w:val="page number"/>
    <w:basedOn w:val="DefaultParagraphFont"/>
    <w:rsid w:val="00CB7C4C"/>
  </w:style>
  <w:style w:type="paragraph" w:styleId="Quote">
    <w:name w:val="Quote"/>
    <w:basedOn w:val="Heading1"/>
    <w:link w:val="QuoteChar"/>
    <w:qFormat/>
    <w:rsid w:val="00CB7C4C"/>
    <w:rPr>
      <w:b w:val="0"/>
      <w:sz w:val="72"/>
      <w:szCs w:val="72"/>
      <w:lang w:val="en-NZ"/>
    </w:rPr>
  </w:style>
  <w:style w:type="character" w:customStyle="1" w:styleId="QuoteChar">
    <w:name w:val="Quote Char"/>
    <w:basedOn w:val="DefaultParagraphFont"/>
    <w:link w:val="Quote"/>
    <w:rsid w:val="00CB7C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7C4C"/>
    <w:pPr>
      <w:pageBreakBefore/>
    </w:pPr>
  </w:style>
  <w:style w:type="paragraph" w:customStyle="1" w:styleId="Border">
    <w:name w:val="Border"/>
    <w:basedOn w:val="Normal"/>
    <w:qFormat/>
    <w:rsid w:val="00CB7C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7C4C"/>
    <w:rPr>
      <w:b/>
      <w:bCs/>
      <w:i/>
      <w:iCs/>
      <w:color w:val="auto"/>
    </w:rPr>
  </w:style>
  <w:style w:type="paragraph" w:styleId="IntenseQuote">
    <w:name w:val="Intense Quote"/>
    <w:basedOn w:val="Normal"/>
    <w:next w:val="Normal"/>
    <w:link w:val="IntenseQuoteChar"/>
    <w:uiPriority w:val="30"/>
    <w:qFormat/>
    <w:rsid w:val="00CB7C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7C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7C4C"/>
    <w:rPr>
      <w:smallCaps/>
      <w:color w:val="auto"/>
      <w:u w:val="single"/>
    </w:rPr>
  </w:style>
  <w:style w:type="character" w:styleId="IntenseReference">
    <w:name w:val="Intense Reference"/>
    <w:basedOn w:val="DefaultParagraphFont"/>
    <w:uiPriority w:val="32"/>
    <w:qFormat/>
    <w:rsid w:val="00CB7C4C"/>
    <w:rPr>
      <w:b/>
      <w:bCs/>
      <w:smallCaps/>
      <w:color w:val="auto"/>
      <w:spacing w:val="5"/>
      <w:u w:val="single"/>
    </w:rPr>
  </w:style>
  <w:style w:type="paragraph" w:customStyle="1" w:styleId="2ColumnHeading">
    <w:name w:val="2Column Heading"/>
    <w:basedOn w:val="BodyText"/>
    <w:qFormat/>
    <w:rsid w:val="00CB7C4C"/>
    <w:pPr>
      <w:spacing w:after="60"/>
      <w:ind w:left="-2268"/>
    </w:pPr>
    <w:rPr>
      <w:b/>
    </w:rPr>
  </w:style>
  <w:style w:type="paragraph" w:customStyle="1" w:styleId="Heading1TOC">
    <w:name w:val="Heading1 TOC"/>
    <w:basedOn w:val="Normal"/>
    <w:qFormat/>
    <w:rsid w:val="00CB7C4C"/>
    <w:pPr>
      <w:spacing w:before="240" w:after="120"/>
    </w:pPr>
    <w:rPr>
      <w:rFonts w:ascii="Times New Roman" w:hAnsi="Times New Roman"/>
      <w:b/>
      <w:sz w:val="32"/>
    </w:rPr>
  </w:style>
  <w:style w:type="paragraph" w:customStyle="1" w:styleId="Heading2TOC">
    <w:name w:val="Heading2 TOC"/>
    <w:basedOn w:val="Normal"/>
    <w:qFormat/>
    <w:rsid w:val="00CB7C4C"/>
    <w:pPr>
      <w:spacing w:before="240" w:after="60"/>
    </w:pPr>
    <w:rPr>
      <w:rFonts w:ascii="Times New Roman" w:hAnsi="Times New Roman"/>
      <w:b/>
      <w:sz w:val="28"/>
    </w:rPr>
  </w:style>
  <w:style w:type="character" w:customStyle="1" w:styleId="Underline">
    <w:name w:val="Underline"/>
    <w:basedOn w:val="DefaultParagraphFont"/>
    <w:qFormat/>
    <w:rsid w:val="00CB7C4C"/>
    <w:rPr>
      <w:u w:val="single"/>
    </w:rPr>
  </w:style>
  <w:style w:type="paragraph" w:styleId="BalloonText">
    <w:name w:val="Balloon Text"/>
    <w:basedOn w:val="Normal"/>
    <w:link w:val="BalloonTextChar"/>
    <w:rsid w:val="00CB7C4C"/>
    <w:rPr>
      <w:rFonts w:ascii="Tahoma" w:hAnsi="Tahoma" w:cs="Tahoma"/>
      <w:sz w:val="16"/>
      <w:szCs w:val="16"/>
    </w:rPr>
  </w:style>
  <w:style w:type="character" w:customStyle="1" w:styleId="BalloonTextChar">
    <w:name w:val="Balloon Text Char"/>
    <w:basedOn w:val="DefaultParagraphFont"/>
    <w:link w:val="BalloonText"/>
    <w:rsid w:val="00CB7C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7C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7C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1720</Words>
  <Characters>11182</Characters>
  <Application>Microsoft Office Word</Application>
  <DocSecurity>0</DocSecurity>
  <Lines>402</Lines>
  <Paragraphs>216</Paragraphs>
  <ScaleCrop>false</ScaleCrop>
  <Company>Author-it Software Corporation Ltd.</Company>
  <LinksUpToDate>false</LinksUpToDate>
  <CharactersWithSpaces>12836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CPCCCO3023A Cure concrete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2012-05-26T05:27:00Z</dcterms:created>
  <dcterms:modified xsi:type="dcterms:W3CDTF">2012-05-26T05:27:00Z</dcterms:modified>
</cp:coreProperties>
</file>