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554" w:rsidP="00C57554">
      <w:pPr>
        <w:pStyle w:val="Title"/>
      </w:pPr>
      <w:r>
        <w:fldChar w:fldCharType="begin"/>
      </w:r>
      <w:r>
        <w:instrText xml:space="preserve"> TITLE   \* MERGEFORMAT </w:instrText>
      </w:r>
      <w:r>
        <w:fldChar w:fldCharType="separate"/>
      </w:r>
      <w:r>
        <w:t>CPCCCM2011A Carry out tilt-up work safely</w:t>
      </w:r>
      <w:r>
        <w:fldChar w:fldCharType="end"/>
      </w:r>
    </w:p>
    <w:p w:rsidR="00C57554" w:rsidP="00C57554">
      <w:pPr>
        <w:pStyle w:val="Version"/>
        <w:sectPr w:rsidSect="005A61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1D2" w:rsidP="005A61D2">
      <w:pPr>
        <w:pStyle w:val="SuperHeading"/>
      </w:pPr>
      <w:r w:rsidRPr="005A61D2">
        <w:t>CPCCCM2011A Carry out tilt-up work safely</w:t>
      </w:r>
    </w:p>
    <w:p w:rsidR="00000000" w:rsidRPr="005A61D2" w:rsidP="005A61D2">
      <w:pPr>
        <w:pStyle w:val="Heading1"/>
      </w:pPr>
      <w:bookmarkStart w:id="1" w:name="O_269538"/>
      <w:bookmarkEnd w:id="1"/>
      <w:r w:rsidRPr="005A61D2">
        <w:t>Modification History</w:t>
      </w:r>
    </w:p>
    <w:p w:rsidR="00000000" w:rsidRPr="005A61D2" w:rsidP="005A61D2">
      <w:pPr>
        <w:pStyle w:val="BodyText"/>
      </w:pPr>
      <w:r w:rsidRPr="005A61D2">
        <w:t>Not Applicable</w:t>
      </w:r>
    </w:p>
    <w:p w:rsidR="00000000" w:rsidRPr="005A61D2" w:rsidP="005A61D2">
      <w:pPr>
        <w:pStyle w:val="AllowPageBreak"/>
      </w:pPr>
    </w:p>
    <w:p w:rsidR="00000000" w:rsidRPr="005A61D2" w:rsidP="005A61D2">
      <w:pPr>
        <w:pStyle w:val="Heading1"/>
      </w:pPr>
      <w:bookmarkStart w:id="2" w:name="O_197626"/>
      <w:bookmarkEnd w:id="2"/>
      <w:r w:rsidRPr="005A61D2">
        <w:t>Unit Descriptor</w:t>
      </w:r>
    </w:p>
    <w:tbl>
      <w:tblPr>
        <w:tblW w:w="0" w:type="auto"/>
        <w:tblLayout w:type="fixed"/>
        <w:tblCellMar>
          <w:left w:w="62" w:type="dxa"/>
          <w:right w:w="62" w:type="dxa"/>
        </w:tblCellMar>
        <w:tblLook w:val="0000"/>
      </w:tblPr>
      <w:tblGrid>
        <w:gridCol w:w="2610"/>
        <w:gridCol w:w="5912"/>
      </w:tblGrid>
      <w:tr w:rsidTr="00C57554">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Unit descriptor</w:t>
            </w:r>
          </w:p>
        </w:tc>
        <w:tc>
          <w:tcPr>
            <w:tcW w:w="5912" w:type="dxa"/>
            <w:tcBorders>
              <w:top w:val="nil"/>
              <w:left w:val="nil"/>
              <w:bottom w:val="nil"/>
              <w:right w:val="nil"/>
            </w:tcBorders>
            <w:tcMar>
              <w:top w:w="0" w:type="dxa"/>
              <w:left w:w="62" w:type="dxa"/>
              <w:bottom w:w="0" w:type="dxa"/>
              <w:right w:w="62" w:type="dxa"/>
            </w:tcMar>
          </w:tcPr>
          <w:p w:rsidR="00000000" w:rsidRPr="005A61D2" w:rsidP="005A61D2">
            <w:pPr>
              <w:pStyle w:val="BodyText"/>
            </w:pPr>
            <w:r w:rsidRPr="005A61D2">
              <w:t>This unit of competency specifies the outcomes required for tilt-up work induction training within the constru</w:t>
            </w:r>
            <w:r w:rsidRPr="005A61D2">
              <w:t>ction industry. Licensing requirements will apply to this unit of competency depending on the regulatory requirements of each jurisdiction.</w:t>
            </w:r>
          </w:p>
        </w:tc>
      </w:tr>
    </w:tbl>
    <w:p w:rsidR="00C57554" w:rsidP="005A61D2">
      <w:pPr>
        <w:pStyle w:val="BodyText"/>
      </w:pPr>
    </w:p>
    <w:p w:rsidR="00C57554" w:rsidP="005A61D2">
      <w:pPr>
        <w:pStyle w:val="BodyText"/>
      </w:pPr>
    </w:p>
    <w:p w:rsidR="00000000" w:rsidRPr="005A61D2" w:rsidP="005A61D2">
      <w:pPr>
        <w:pStyle w:val="Heading1"/>
      </w:pPr>
      <w:bookmarkStart w:id="3" w:name="O_197630"/>
      <w:bookmarkEnd w:id="3"/>
      <w:r w:rsidRPr="005A61D2">
        <w:t>Application of the Unit</w:t>
      </w:r>
    </w:p>
    <w:tbl>
      <w:tblPr>
        <w:tblW w:w="0" w:type="auto"/>
        <w:tblLayout w:type="fixed"/>
        <w:tblCellMar>
          <w:left w:w="62" w:type="dxa"/>
          <w:right w:w="62" w:type="dxa"/>
        </w:tblCellMar>
        <w:tblLook w:val="0000"/>
      </w:tblPr>
      <w:tblGrid>
        <w:gridCol w:w="2676"/>
        <w:gridCol w:w="5846"/>
      </w:tblGrid>
      <w:tr w:rsidTr="00C57554">
        <w:tblPrEx>
          <w:tblW w:w="0" w:type="auto"/>
          <w:tblLayout w:type="fixed"/>
          <w:tblCellMar>
            <w:left w:w="62" w:type="dxa"/>
            <w:right w:w="62" w:type="dxa"/>
          </w:tblCellMar>
          <w:tblLook w:val="0000"/>
        </w:tblPrEx>
        <w:trPr>
          <w:tblHeader/>
        </w:trPr>
        <w:tc>
          <w:tcPr>
            <w:tcW w:w="2676"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Application of the unit</w:t>
            </w:r>
          </w:p>
        </w:tc>
        <w:tc>
          <w:tcPr>
            <w:tcW w:w="5846" w:type="dxa"/>
            <w:tcBorders>
              <w:top w:val="nil"/>
              <w:left w:val="nil"/>
              <w:bottom w:val="nil"/>
              <w:right w:val="nil"/>
            </w:tcBorders>
            <w:tcMar>
              <w:top w:w="0" w:type="dxa"/>
              <w:left w:w="62" w:type="dxa"/>
              <w:bottom w:w="0" w:type="dxa"/>
              <w:right w:w="62" w:type="dxa"/>
            </w:tcMar>
          </w:tcPr>
          <w:p w:rsidR="00000000" w:rsidRPr="005A61D2" w:rsidP="005A61D2">
            <w:pPr>
              <w:pStyle w:val="BodyText"/>
            </w:pPr>
            <w:r w:rsidRPr="005A61D2">
              <w:t xml:space="preserve">This unit of competency supports achievement of tilt-up work knowledge required prior to entering tilt-up workplaces. It meets the needs of workers requiring tilt-up work induction training in accordance with legislative requirements. </w:t>
            </w:r>
          </w:p>
        </w:tc>
      </w:tr>
    </w:tbl>
    <w:p w:rsidR="00C57554" w:rsidP="005A61D2">
      <w:pPr>
        <w:pStyle w:val="BodyText"/>
      </w:pPr>
    </w:p>
    <w:p w:rsidR="00C57554" w:rsidP="005A61D2">
      <w:pPr>
        <w:pStyle w:val="BodyText"/>
      </w:pPr>
    </w:p>
    <w:p w:rsidR="00000000" w:rsidRPr="005A61D2" w:rsidP="005A61D2">
      <w:pPr>
        <w:pStyle w:val="Heading1"/>
      </w:pPr>
      <w:bookmarkStart w:id="4" w:name="O_277798"/>
      <w:bookmarkEnd w:id="4"/>
      <w:r w:rsidRPr="005A61D2">
        <w:t>Licensing/Regulatory Information</w:t>
      </w:r>
    </w:p>
    <w:p w:rsidR="00000000" w:rsidRPr="005A61D2" w:rsidP="005A61D2">
      <w:pPr>
        <w:pStyle w:val="BodyText"/>
      </w:pPr>
      <w:r w:rsidRPr="005A61D2">
        <w:t>Refer to Unit Descriptor</w:t>
      </w:r>
    </w:p>
    <w:p w:rsidR="00000000" w:rsidRPr="005A61D2" w:rsidP="005A61D2">
      <w:pPr>
        <w:pStyle w:val="AllowPageBreak"/>
      </w:pPr>
    </w:p>
    <w:p w:rsidR="00000000" w:rsidRPr="005A61D2" w:rsidP="005A61D2">
      <w:pPr>
        <w:pStyle w:val="Heading1"/>
      </w:pPr>
      <w:bookmarkStart w:id="5" w:name="O_197628"/>
      <w:bookmarkEnd w:id="5"/>
      <w:r w:rsidRPr="005A61D2">
        <w:t>Pre-Requisites</w:t>
      </w:r>
    </w:p>
    <w:tbl>
      <w:tblPr>
        <w:tblW w:w="0" w:type="auto"/>
        <w:tblLayout w:type="fixed"/>
        <w:tblCellMar>
          <w:left w:w="62" w:type="dxa"/>
          <w:right w:w="62" w:type="dxa"/>
        </w:tblCellMar>
        <w:tblLook w:val="0000"/>
      </w:tblPr>
      <w:tblGrid>
        <w:gridCol w:w="2630"/>
        <w:gridCol w:w="2527"/>
        <w:gridCol w:w="3365"/>
      </w:tblGrid>
      <w:tr w:rsidTr="00C57554">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Prerequisite units</w:t>
            </w:r>
          </w:p>
        </w:tc>
        <w:tc>
          <w:tcPr>
            <w:tcW w:w="5892" w:type="dxa"/>
            <w:gridSpan w:val="2"/>
            <w:tcBorders>
              <w:top w:val="nil"/>
              <w:left w:val="nil"/>
              <w:bottom w:val="nil"/>
              <w:right w:val="nil"/>
            </w:tcBorders>
            <w:tcMar>
              <w:top w:w="0" w:type="dxa"/>
              <w:left w:w="62" w:type="dxa"/>
              <w:bottom w:w="0" w:type="dxa"/>
              <w:right w:w="62" w:type="dxa"/>
            </w:tcMar>
          </w:tcPr>
          <w:p w:rsidR="00000000" w:rsidP="005A61D2">
            <w:pPr>
              <w:pStyle w:val="BodyText"/>
              <w:rPr>
                <w:lang w:val="en-NZ"/>
              </w:rPr>
            </w:pPr>
          </w:p>
        </w:tc>
      </w:tr>
      <w:tr w:rsidTr="00C57554">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t>CPCCOHS2001A</w:t>
            </w:r>
          </w:p>
        </w:tc>
        <w:tc>
          <w:tcPr>
            <w:tcW w:w="3365"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t>Apply OHS requirements, policies and procedures in the construction industry</w:t>
            </w:r>
          </w:p>
        </w:tc>
      </w:tr>
      <w:tr w:rsidTr="00C57554">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5" w:type="dxa"/>
            <w:tcBorders>
              <w:top w:val="nil"/>
              <w:left w:val="nil"/>
              <w:bottom w:val="nil"/>
              <w:right w:val="nil"/>
            </w:tcBorders>
            <w:tcMar>
              <w:top w:w="0" w:type="dxa"/>
              <w:left w:w="62" w:type="dxa"/>
              <w:bottom w:w="0" w:type="dxa"/>
              <w:right w:w="62" w:type="dxa"/>
            </w:tcMar>
          </w:tcPr>
          <w:p w:rsidR="00000000" w:rsidRPr="005A61D2" w:rsidP="005A61D2">
            <w:pPr>
              <w:pStyle w:val="BodyText"/>
            </w:pPr>
          </w:p>
        </w:tc>
      </w:tr>
    </w:tbl>
    <w:p w:rsidR="00C57554" w:rsidP="005A61D2">
      <w:pPr>
        <w:pStyle w:val="BodyText"/>
      </w:pPr>
    </w:p>
    <w:p w:rsidR="00C57554" w:rsidP="005A61D2">
      <w:pPr>
        <w:pStyle w:val="BodyText"/>
      </w:pPr>
    </w:p>
    <w:p w:rsidR="00000000" w:rsidRPr="005A61D2" w:rsidP="005A61D2">
      <w:pPr>
        <w:pStyle w:val="Heading1"/>
      </w:pPr>
      <w:bookmarkStart w:id="6" w:name="O_197627"/>
      <w:bookmarkEnd w:id="6"/>
      <w:r w:rsidRPr="005A61D2">
        <w:t>Employability Skills Information</w:t>
      </w:r>
    </w:p>
    <w:tbl>
      <w:tblPr>
        <w:tblW w:w="0" w:type="auto"/>
        <w:tblLayout w:type="fixed"/>
        <w:tblCellMar>
          <w:left w:w="62" w:type="dxa"/>
          <w:right w:w="62" w:type="dxa"/>
        </w:tblCellMar>
        <w:tblLook w:val="0000"/>
      </w:tblPr>
      <w:tblGrid>
        <w:gridCol w:w="2710"/>
        <w:gridCol w:w="5812"/>
      </w:tblGrid>
      <w:tr w:rsidTr="00C57554">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Employability skills</w:t>
            </w:r>
          </w:p>
        </w:tc>
        <w:tc>
          <w:tcPr>
            <w:tcW w:w="5812" w:type="dxa"/>
            <w:tcBorders>
              <w:top w:val="nil"/>
              <w:left w:val="nil"/>
              <w:bottom w:val="nil"/>
              <w:right w:val="nil"/>
            </w:tcBorders>
            <w:tcMar>
              <w:top w:w="0" w:type="dxa"/>
              <w:left w:w="62" w:type="dxa"/>
              <w:bottom w:w="0" w:type="dxa"/>
              <w:right w:w="62" w:type="dxa"/>
            </w:tcMar>
          </w:tcPr>
          <w:p w:rsidR="00000000" w:rsidRPr="005A61D2" w:rsidP="005A61D2">
            <w:pPr>
              <w:pStyle w:val="BodyText"/>
            </w:pPr>
            <w:r w:rsidRPr="005A61D2">
              <w:t>This unit contains employability skills.</w:t>
            </w:r>
          </w:p>
        </w:tc>
      </w:tr>
    </w:tbl>
    <w:p w:rsidR="00C57554" w:rsidP="005A61D2">
      <w:pPr>
        <w:pStyle w:val="BodyText"/>
      </w:pPr>
    </w:p>
    <w:p w:rsidR="00C57554" w:rsidP="005A61D2">
      <w:pPr>
        <w:pStyle w:val="BodyText"/>
      </w:pPr>
    </w:p>
    <w:p w:rsidR="00000000" w:rsidRPr="005A61D2" w:rsidP="005A61D2">
      <w:pPr>
        <w:pStyle w:val="Heading1"/>
      </w:pPr>
      <w:bookmarkStart w:id="7" w:name="O_287584"/>
      <w:bookmarkEnd w:id="7"/>
      <w:r w:rsidRPr="005A61D2">
        <w:t>Elements and Performance Criteria Pre-Content</w:t>
      </w:r>
    </w:p>
    <w:tbl>
      <w:tblPr>
        <w:tblW w:w="0" w:type="auto"/>
        <w:tblLayout w:type="fixed"/>
        <w:tblCellMar>
          <w:left w:w="62" w:type="dxa"/>
          <w:right w:w="62" w:type="dxa"/>
        </w:tblCellMar>
        <w:tblLook w:val="0000"/>
      </w:tblPr>
      <w:tblGrid>
        <w:gridCol w:w="2567"/>
        <w:gridCol w:w="5955"/>
      </w:tblGrid>
      <w:tr w:rsidTr="00C5755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A61D2">
            <w:pPr>
              <w:pStyle w:val="BodyText"/>
              <w:rPr>
                <w:lang w:val="en-NZ"/>
              </w:rPr>
            </w:pPr>
            <w:r w:rsidRPr="005A61D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A61D2" w:rsidP="005A61D2">
            <w:pPr>
              <w:pStyle w:val="BodyText"/>
            </w:pPr>
            <w:r w:rsidRPr="005A61D2">
              <w:t>Performance criteria describe the performance needed to demonstrate achievement of the element. Where bold italicised text is used, further information is detailed in the required skills and knowledge section and the range statement. Assessment of performa</w:t>
            </w:r>
            <w:r w:rsidRPr="005A61D2">
              <w:t>nce is to be consistent with the evidence guide.</w:t>
            </w:r>
          </w:p>
        </w:tc>
      </w:tr>
    </w:tbl>
    <w:p w:rsidR="00000000" w:rsidRPr="005A61D2" w:rsidP="005A61D2">
      <w:pPr>
        <w:pStyle w:val="BodyText"/>
      </w:pPr>
    </w:p>
    <w:p w:rsidR="00000000" w:rsidRPr="005A61D2" w:rsidP="005A61D2">
      <w:pPr>
        <w:pStyle w:val="AllowPageBreak"/>
      </w:pPr>
    </w:p>
    <w:p w:rsidR="00000000" w:rsidRPr="005A61D2" w:rsidP="005A61D2">
      <w:pPr>
        <w:pStyle w:val="Heading1"/>
      </w:pPr>
      <w:bookmarkStart w:id="8" w:name="O_234251"/>
      <w:bookmarkEnd w:id="8"/>
      <w:r w:rsidRPr="005A61D2">
        <w:t>Elements and Performance Criteria</w:t>
      </w:r>
    </w:p>
    <w:tbl>
      <w:tblPr>
        <w:tblW w:w="0" w:type="auto"/>
        <w:tblLayout w:type="fixed"/>
        <w:tblCellMar>
          <w:left w:w="62" w:type="dxa"/>
          <w:right w:w="62" w:type="dxa"/>
        </w:tblCellMar>
        <w:tblLook w:val="0000"/>
      </w:tblPr>
      <w:tblGrid>
        <w:gridCol w:w="2567"/>
        <w:gridCol w:w="5955"/>
      </w:tblGrid>
      <w:tr w:rsidTr="00C5755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A61D2" w:rsidP="005A61D2">
            <w:pPr>
              <w:pStyle w:val="BodyText"/>
            </w:pPr>
            <w:r w:rsidRPr="005A61D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A61D2">
            <w:pPr>
              <w:pStyle w:val="BodyText"/>
              <w:rPr>
                <w:lang w:val="en-NZ"/>
              </w:rPr>
            </w:pPr>
            <w:r w:rsidRPr="005A61D2">
              <w:rPr>
                <w:rStyle w:val="SpecialBold"/>
              </w:rPr>
              <w:t>PERFORMANCE CRITERIA</w:t>
            </w:r>
          </w:p>
        </w:tc>
      </w:tr>
      <w:tr w:rsidTr="00C5755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61D2">
            <w:pPr>
              <w:pStyle w:val="List"/>
              <w:rPr>
                <w:lang w:val="en-NZ"/>
              </w:rPr>
            </w:pPr>
            <w:r w:rsidRPr="005A61D2">
              <w:t>1.</w:t>
            </w:r>
            <w:r w:rsidRPr="005A61D2">
              <w:tab/>
              <w:t>Comply with tilt-up construction and risk management processes.</w:t>
            </w:r>
          </w:p>
        </w:tc>
        <w:tc>
          <w:tcPr>
            <w:tcW w:w="5955" w:type="dxa"/>
            <w:tcBorders>
              <w:top w:val="nil"/>
              <w:left w:val="nil"/>
              <w:bottom w:val="nil"/>
              <w:right w:val="nil"/>
            </w:tcBorders>
            <w:tcMar>
              <w:top w:w="0" w:type="dxa"/>
              <w:left w:w="62" w:type="dxa"/>
              <w:bottom w:w="0" w:type="dxa"/>
              <w:right w:w="62" w:type="dxa"/>
            </w:tcMar>
          </w:tcPr>
          <w:p w:rsidR="00000000" w:rsidRPr="005A61D2" w:rsidP="005A61D2">
            <w:pPr>
              <w:pStyle w:val="List2"/>
            </w:pPr>
            <w:r w:rsidRPr="005A61D2">
              <w:t>1.1.</w:t>
            </w:r>
            <w:r w:rsidRPr="005A61D2">
              <w:tab/>
              <w:t xml:space="preserve">Identify the relationship between each </w:t>
            </w:r>
            <w:r w:rsidRPr="005A61D2">
              <w:rPr>
                <w:rStyle w:val="BoldandItalics"/>
              </w:rPr>
              <w:t>stage of the tilt</w:t>
            </w:r>
            <w:r w:rsidRPr="005A61D2">
              <w:t>-</w:t>
            </w:r>
            <w:r w:rsidRPr="005A61D2">
              <w:rPr>
                <w:rStyle w:val="BoldandItalics"/>
              </w:rPr>
              <w:t>up construction process</w:t>
            </w:r>
            <w:r w:rsidRPr="005A61D2">
              <w:t xml:space="preserve"> and the following stage, and typical faults, problems, hazards and possible effects if design and safety requirements are not met. </w:t>
            </w:r>
          </w:p>
          <w:p w:rsidR="00000000" w:rsidRPr="005A61D2" w:rsidP="005A61D2">
            <w:pPr>
              <w:pStyle w:val="List2"/>
            </w:pPr>
            <w:r w:rsidRPr="005A61D2">
              <w:t>1.2.</w:t>
            </w:r>
            <w:r w:rsidRPr="005A61D2">
              <w:tab/>
              <w:t>Identify basic principles of risk management and duty holders responsible.</w:t>
            </w:r>
          </w:p>
          <w:p w:rsidR="00000000" w:rsidRPr="005A61D2" w:rsidP="005A61D2">
            <w:pPr>
              <w:pStyle w:val="List2"/>
            </w:pPr>
            <w:r w:rsidRPr="005A61D2">
              <w:t>1.</w:t>
            </w:r>
            <w:r w:rsidRPr="005A61D2">
              <w:t>3.</w:t>
            </w:r>
            <w:r w:rsidRPr="005A61D2">
              <w:tab/>
              <w:t xml:space="preserve">Identify the minimum requirements for a safe work method statement for each task as outlined in the </w:t>
            </w:r>
            <w:r w:rsidRPr="005A61D2">
              <w:rPr>
                <w:rStyle w:val="BoldandItalics"/>
              </w:rPr>
              <w:t>national code of practice</w:t>
            </w:r>
            <w:r w:rsidRPr="005A61D2">
              <w:t xml:space="preserve">, and the duty holder responsible for its preparation and compliance. </w:t>
            </w:r>
          </w:p>
          <w:p w:rsidR="00000000" w:rsidRPr="005A61D2" w:rsidP="005A61D2">
            <w:pPr>
              <w:pStyle w:val="List2"/>
            </w:pPr>
            <w:r w:rsidRPr="005A61D2">
              <w:t>1.4.</w:t>
            </w:r>
            <w:r w:rsidRPr="005A61D2">
              <w:tab/>
              <w:t>Identify the minimum requirements for a work plan an</w:t>
            </w:r>
            <w:r w:rsidRPr="005A61D2">
              <w:t>d/or OHS management plan for tilt-up construction, as outlined in the national code of practice.</w:t>
            </w:r>
          </w:p>
          <w:p w:rsidR="00000000" w:rsidP="005A61D2">
            <w:pPr>
              <w:pStyle w:val="List2"/>
              <w:rPr>
                <w:lang w:val="en-NZ"/>
              </w:rPr>
            </w:pPr>
            <w:r w:rsidRPr="005A61D2">
              <w:t>1.5.</w:t>
            </w:r>
            <w:r w:rsidRPr="005A61D2">
              <w:tab/>
              <w:t xml:space="preserve">Identify available </w:t>
            </w:r>
            <w:r w:rsidRPr="005A61D2">
              <w:rPr>
                <w:rStyle w:val="BoldandItalics"/>
              </w:rPr>
              <w:t>skills training</w:t>
            </w:r>
            <w:r w:rsidRPr="005A61D2">
              <w:t xml:space="preserve"> opportunities as relevant to own work, role and responsibilities. </w:t>
            </w:r>
          </w:p>
        </w:tc>
      </w:tr>
      <w:tr w:rsidTr="00C5755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61D2">
            <w:pPr>
              <w:pStyle w:val="List"/>
              <w:rPr>
                <w:lang w:val="en-NZ"/>
              </w:rPr>
            </w:pPr>
            <w:r w:rsidRPr="005A61D2">
              <w:t>2.</w:t>
            </w:r>
            <w:r w:rsidRPr="005A61D2">
              <w:tab/>
              <w:t>Access and use information relating to safe tilt</w:t>
            </w:r>
            <w:r w:rsidRPr="005A61D2">
              <w:t>-up construction.</w:t>
            </w:r>
          </w:p>
        </w:tc>
        <w:tc>
          <w:tcPr>
            <w:tcW w:w="5955" w:type="dxa"/>
            <w:tcBorders>
              <w:top w:val="nil"/>
              <w:left w:val="nil"/>
              <w:bottom w:val="nil"/>
              <w:right w:val="nil"/>
            </w:tcBorders>
            <w:tcMar>
              <w:top w:w="0" w:type="dxa"/>
              <w:left w:w="62" w:type="dxa"/>
              <w:bottom w:w="0" w:type="dxa"/>
              <w:right w:w="62" w:type="dxa"/>
            </w:tcMar>
          </w:tcPr>
          <w:p w:rsidR="00000000" w:rsidRPr="005A61D2" w:rsidP="005A61D2">
            <w:pPr>
              <w:pStyle w:val="List2"/>
            </w:pPr>
            <w:r w:rsidRPr="005A61D2">
              <w:t>2.1.</w:t>
            </w:r>
            <w:r w:rsidRPr="005A61D2">
              <w:tab/>
              <w:t xml:space="preserve">Identify and use </w:t>
            </w:r>
            <w:r w:rsidRPr="005A61D2">
              <w:rPr>
                <w:rStyle w:val="BoldandItalics"/>
              </w:rPr>
              <w:t>regulatory information</w:t>
            </w:r>
            <w:r w:rsidRPr="005A61D2">
              <w:t xml:space="preserve"> relevant to own work, role and responsibilities. </w:t>
            </w:r>
          </w:p>
          <w:p w:rsidR="00000000" w:rsidRPr="005A61D2" w:rsidP="005A61D2">
            <w:pPr>
              <w:pStyle w:val="List2"/>
            </w:pPr>
            <w:r w:rsidRPr="005A61D2">
              <w:t>2.2.</w:t>
            </w:r>
            <w:r w:rsidRPr="005A61D2">
              <w:tab/>
              <w:t>Identify roles and responsibilities of self and others as relevant to own work and role in tilt-up construction.</w:t>
            </w:r>
          </w:p>
          <w:p w:rsidR="00000000" w:rsidRPr="005A61D2" w:rsidP="005A61D2">
            <w:pPr>
              <w:pStyle w:val="List2"/>
            </w:pPr>
            <w:r w:rsidRPr="005A61D2">
              <w:t>2.3.</w:t>
            </w:r>
            <w:r w:rsidRPr="005A61D2">
              <w:tab/>
            </w:r>
            <w:r w:rsidRPr="005A61D2">
              <w:t xml:space="preserve">Identify and interpret general work procedures, </w:t>
            </w:r>
            <w:r w:rsidRPr="005A61D2">
              <w:rPr>
                <w:rStyle w:val="BoldandItalics"/>
              </w:rPr>
              <w:t>documentation</w:t>
            </w:r>
            <w:r w:rsidRPr="005A61D2">
              <w:t xml:space="preserve">, </w:t>
            </w:r>
            <w:r w:rsidRPr="005A61D2">
              <w:rPr>
                <w:rStyle w:val="BoldandItalics"/>
              </w:rPr>
              <w:t>drawings and plans</w:t>
            </w:r>
            <w:r w:rsidRPr="005A61D2">
              <w:t xml:space="preserve"> for carrying out the tilt-up construction process as relevant to own work, role and responsibilities. </w:t>
            </w:r>
          </w:p>
          <w:p w:rsidR="00000000" w:rsidP="005A61D2">
            <w:pPr>
              <w:pStyle w:val="List2"/>
              <w:rPr>
                <w:lang w:val="en-NZ"/>
              </w:rPr>
            </w:pPr>
            <w:r w:rsidRPr="005A61D2">
              <w:t>2.4.</w:t>
            </w:r>
            <w:r w:rsidRPr="005A61D2">
              <w:tab/>
              <w:t xml:space="preserve">Identify general design and safety requirements for </w:t>
            </w:r>
            <w:r w:rsidRPr="005A61D2">
              <w:rPr>
                <w:rStyle w:val="BoldandItalics"/>
              </w:rPr>
              <w:t xml:space="preserve">equipment and </w:t>
            </w:r>
            <w:r w:rsidRPr="005A61D2">
              <w:rPr>
                <w:rStyle w:val="BoldandItalics"/>
              </w:rPr>
              <w:t>tools</w:t>
            </w:r>
            <w:r w:rsidRPr="005A61D2">
              <w:t xml:space="preserve"> used in the tilt-up construction process as relevant to own work, role and responsibilities. </w:t>
            </w:r>
          </w:p>
        </w:tc>
      </w:tr>
      <w:tr w:rsidTr="00C5755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61D2">
            <w:pPr>
              <w:pStyle w:val="List"/>
              <w:rPr>
                <w:lang w:val="en-NZ"/>
              </w:rPr>
            </w:pPr>
            <w:r w:rsidRPr="005A61D2">
              <w:t>3.</w:t>
            </w:r>
            <w:r w:rsidRPr="005A61D2">
              <w:tab/>
              <w:t>Maintain safety of self and others.</w:t>
            </w:r>
          </w:p>
        </w:tc>
        <w:tc>
          <w:tcPr>
            <w:tcW w:w="5955" w:type="dxa"/>
            <w:tcBorders>
              <w:top w:val="nil"/>
              <w:left w:val="nil"/>
              <w:bottom w:val="nil"/>
              <w:right w:val="nil"/>
            </w:tcBorders>
            <w:tcMar>
              <w:top w:w="0" w:type="dxa"/>
              <w:left w:w="62" w:type="dxa"/>
              <w:bottom w:w="0" w:type="dxa"/>
              <w:right w:w="62" w:type="dxa"/>
            </w:tcMar>
          </w:tcPr>
          <w:p w:rsidR="00000000" w:rsidRPr="005A61D2" w:rsidP="005A61D2">
            <w:pPr>
              <w:pStyle w:val="List2"/>
            </w:pPr>
            <w:r w:rsidRPr="005A61D2">
              <w:t>3.1.</w:t>
            </w:r>
            <w:r w:rsidRPr="005A61D2">
              <w:tab/>
              <w:t>Communicate with others to establish that key design and safety requirements have been met for preceding stages</w:t>
            </w:r>
            <w:r w:rsidRPr="005A61D2">
              <w:t xml:space="preserve"> of tilt-up construction.</w:t>
            </w:r>
          </w:p>
          <w:p w:rsidR="00000000" w:rsidRPr="005A61D2" w:rsidP="005A61D2">
            <w:pPr>
              <w:pStyle w:val="List2"/>
            </w:pPr>
            <w:r w:rsidRPr="005A61D2">
              <w:t>3.2.</w:t>
            </w:r>
            <w:r w:rsidRPr="005A61D2">
              <w:tab/>
              <w:t>Use general procedures for responding, rectifying and reporting faults, problems and hazards as relevant to own work, role and responsibilities.</w:t>
            </w:r>
          </w:p>
          <w:p w:rsidR="00000000" w:rsidRPr="005A61D2" w:rsidP="005A61D2">
            <w:pPr>
              <w:pStyle w:val="List2"/>
            </w:pPr>
            <w:r w:rsidRPr="005A61D2">
              <w:t>3.3.</w:t>
            </w:r>
            <w:r w:rsidRPr="005A61D2">
              <w:tab/>
              <w:t xml:space="preserve">Identify the methods and procedures used to control tilt-up construction </w:t>
            </w:r>
            <w:r w:rsidRPr="005A61D2">
              <w:rPr>
                <w:rStyle w:val="BoldandItalics"/>
              </w:rPr>
              <w:t>ha</w:t>
            </w:r>
            <w:r w:rsidRPr="005A61D2">
              <w:rPr>
                <w:rStyle w:val="BoldandItalics"/>
              </w:rPr>
              <w:t>zards</w:t>
            </w:r>
            <w:r w:rsidRPr="005A61D2">
              <w:t xml:space="preserve">, including the content of the work plan and/or OHS management plan and </w:t>
            </w:r>
            <w:r w:rsidRPr="005A61D2">
              <w:rPr>
                <w:rStyle w:val="BoldandItalics"/>
              </w:rPr>
              <w:t>safe work method statements</w:t>
            </w:r>
            <w:r w:rsidRPr="005A61D2">
              <w:t xml:space="preserve"> as relevant to own work, role and responsibilities. </w:t>
            </w:r>
          </w:p>
          <w:p w:rsidR="00000000" w:rsidRPr="005A61D2" w:rsidP="005A61D2">
            <w:pPr>
              <w:pStyle w:val="List2"/>
            </w:pPr>
            <w:r w:rsidRPr="005A61D2">
              <w:t>3.4.</w:t>
            </w:r>
            <w:r w:rsidRPr="005A61D2">
              <w:tab/>
              <w:t>Identify the sequence of tasks and activities relevant to own work and review the adequacy of</w:t>
            </w:r>
            <w:r w:rsidRPr="005A61D2">
              <w:t xml:space="preserve"> the associated safe work method statement by conducting a </w:t>
            </w:r>
            <w:r w:rsidRPr="005A61D2">
              <w:rPr>
                <w:rStyle w:val="BoldandItalics"/>
              </w:rPr>
              <w:t>job safety analysis</w:t>
            </w:r>
            <w:r w:rsidRPr="005A61D2">
              <w:t xml:space="preserve">. </w:t>
            </w:r>
          </w:p>
        </w:tc>
      </w:tr>
    </w:tbl>
    <w:p w:rsidR="00C57554" w:rsidP="005A61D2">
      <w:pPr>
        <w:pStyle w:val="BodyText"/>
      </w:pPr>
    </w:p>
    <w:p w:rsidR="00C57554" w:rsidP="005A61D2">
      <w:pPr>
        <w:pStyle w:val="BodyText"/>
      </w:pPr>
    </w:p>
    <w:p w:rsidR="00000000" w:rsidRPr="005A61D2" w:rsidP="005A61D2">
      <w:pPr>
        <w:pStyle w:val="Heading1"/>
      </w:pPr>
      <w:bookmarkStart w:id="9" w:name="O_258201"/>
      <w:bookmarkEnd w:id="9"/>
      <w:r w:rsidRPr="005A61D2">
        <w:t>Required Skills and Knowledge</w:t>
      </w:r>
    </w:p>
    <w:tbl>
      <w:tblPr>
        <w:tblW w:w="0" w:type="auto"/>
        <w:tblLayout w:type="fixed"/>
        <w:tblCellMar>
          <w:left w:w="62" w:type="dxa"/>
          <w:right w:w="62" w:type="dxa"/>
        </w:tblCellMar>
        <w:tblLook w:val="0000"/>
      </w:tblPr>
      <w:tblGrid>
        <w:gridCol w:w="8522"/>
      </w:tblGrid>
      <w:tr w:rsidTr="00C5755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REQUIRED SKILLS AND KNOWLEDGE</w:t>
            </w:r>
          </w:p>
        </w:tc>
      </w:tr>
      <w:tr w:rsidTr="00C57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t>This section describes the skills and knowledge required for this unit.</w:t>
            </w:r>
          </w:p>
        </w:tc>
      </w:tr>
      <w:tr w:rsidTr="00C57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Required skills</w:t>
            </w:r>
          </w:p>
        </w:tc>
      </w:tr>
      <w:tr w:rsidTr="00C57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61D2" w:rsidP="005A61D2">
            <w:pPr>
              <w:pStyle w:val="BodyText"/>
            </w:pPr>
            <w:r w:rsidRPr="005A61D2">
              <w:t>Required skills for this unit are:</w:t>
            </w:r>
          </w:p>
          <w:p w:rsidR="00000000" w:rsidRPr="005A61D2" w:rsidP="005A61D2">
            <w:pPr>
              <w:pStyle w:val="ListBullet"/>
            </w:pPr>
            <w:r w:rsidRPr="005A61D2">
              <w:t>Communication / interpersonal skills to contribute to the discussion of workplace hazards an</w:t>
            </w:r>
            <w:r w:rsidRPr="005A61D2">
              <w:t>d risks, ask effective questions, collaborate with colleagues, relay information to others, and report on OHS issues.</w:t>
            </w:r>
          </w:p>
          <w:p w:rsidR="00000000" w:rsidRPr="005A61D2" w:rsidP="005A61D2">
            <w:pPr>
              <w:pStyle w:val="ListBullet"/>
            </w:pPr>
            <w:r w:rsidRPr="005A61D2">
              <w:t>Comprehension skills to understand and comply with OHS requirements including safety signs and symbols, safe work method statements and sa</w:t>
            </w:r>
            <w:r w:rsidRPr="005A61D2">
              <w:t>fe working procedures.</w:t>
            </w:r>
          </w:p>
          <w:p w:rsidR="00000000" w:rsidP="005A61D2">
            <w:pPr>
              <w:pStyle w:val="ListBullet"/>
              <w:rPr>
                <w:lang w:val="en-NZ"/>
              </w:rPr>
            </w:pPr>
            <w:r w:rsidRPr="005A61D2">
              <w:t>Ability to interpret and apply information from plans and procedures, and identify related hazards.</w:t>
            </w:r>
          </w:p>
        </w:tc>
      </w:tr>
      <w:tr w:rsidTr="00C57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Required knowledge</w:t>
            </w:r>
          </w:p>
        </w:tc>
      </w:tr>
      <w:tr w:rsidTr="00C57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61D2" w:rsidP="005A61D2">
            <w:pPr>
              <w:pStyle w:val="BodyText"/>
            </w:pPr>
            <w:r w:rsidRPr="005A61D2">
              <w:t>Required knowledge for this unit is:</w:t>
            </w:r>
          </w:p>
          <w:p w:rsidR="00000000" w:rsidRPr="005A61D2" w:rsidP="005A61D2">
            <w:pPr>
              <w:pStyle w:val="ListBullet"/>
            </w:pPr>
            <w:r w:rsidRPr="005A61D2">
              <w:t>construction terminology</w:t>
            </w:r>
          </w:p>
          <w:p w:rsidR="00000000" w:rsidRPr="005A61D2" w:rsidP="005A61D2">
            <w:pPr>
              <w:pStyle w:val="ListBullet"/>
            </w:pPr>
            <w:r w:rsidRPr="005A61D2">
              <w:t>hazard identification and risk control related to</w:t>
            </w:r>
            <w:r w:rsidRPr="005A61D2">
              <w:t xml:space="preserve"> tilt-up work</w:t>
            </w:r>
          </w:p>
          <w:p w:rsidR="00000000" w:rsidRPr="005A61D2" w:rsidP="005A61D2">
            <w:pPr>
              <w:pStyle w:val="ListBullet"/>
            </w:pPr>
            <w:r w:rsidRPr="005A61D2">
              <w:t>Job Safety Analysis and safe work method statements</w:t>
            </w:r>
          </w:p>
          <w:p w:rsidR="00000000" w:rsidRPr="005A61D2" w:rsidP="005A61D2">
            <w:pPr>
              <w:pStyle w:val="ListBullet"/>
            </w:pPr>
            <w:r w:rsidRPr="005A61D2">
              <w:t>OHS standards, legislative requirements and codes of practice related to tilt-up work</w:t>
            </w:r>
          </w:p>
          <w:p w:rsidR="00000000" w:rsidRPr="005A61D2" w:rsidP="005A61D2">
            <w:pPr>
              <w:pStyle w:val="ListBullet"/>
            </w:pPr>
            <w:r w:rsidRPr="005A61D2">
              <w:t>requirements for planning, preparing and carrying out the tilt-up construction process as relevant to ow</w:t>
            </w:r>
            <w:r w:rsidRPr="005A61D2">
              <w:t>n work, role and responsibilities</w:t>
            </w:r>
          </w:p>
          <w:p w:rsidR="00000000" w:rsidRPr="005A61D2" w:rsidP="005A61D2">
            <w:pPr>
              <w:pStyle w:val="ListBullet"/>
            </w:pPr>
            <w:r w:rsidRPr="005A61D2">
              <w:t>safety equipment used on construction work sites</w:t>
            </w:r>
          </w:p>
          <w:p w:rsidR="00000000" w:rsidRPr="005A61D2" w:rsidP="005A61D2">
            <w:pPr>
              <w:pStyle w:val="ListBullet"/>
            </w:pPr>
            <w:r w:rsidRPr="005A61D2">
              <w:t>stages in the tilt-up construction process.</w:t>
            </w:r>
          </w:p>
        </w:tc>
      </w:tr>
    </w:tbl>
    <w:p w:rsidR="00C57554" w:rsidP="005A61D2">
      <w:pPr>
        <w:pStyle w:val="BodyText"/>
      </w:pPr>
    </w:p>
    <w:p w:rsidR="00C57554" w:rsidP="005A61D2">
      <w:pPr>
        <w:pStyle w:val="BodyText"/>
      </w:pPr>
    </w:p>
    <w:p w:rsidR="00000000" w:rsidRPr="005A61D2" w:rsidP="005A61D2">
      <w:pPr>
        <w:pStyle w:val="AllowPageBreak"/>
      </w:pPr>
    </w:p>
    <w:p w:rsidR="00000000" w:rsidRPr="005A61D2" w:rsidP="005A61D2">
      <w:pPr>
        <w:pStyle w:val="Heading1"/>
      </w:pPr>
      <w:bookmarkStart w:id="10" w:name="O_242235"/>
      <w:bookmarkEnd w:id="10"/>
      <w:r w:rsidRPr="005A61D2">
        <w:t>Evidence Guide</w:t>
      </w:r>
    </w:p>
    <w:tbl>
      <w:tblPr>
        <w:tblW w:w="0" w:type="auto"/>
        <w:tblLayout w:type="fixed"/>
        <w:tblCellMar>
          <w:left w:w="62" w:type="dxa"/>
          <w:right w:w="62" w:type="dxa"/>
        </w:tblCellMar>
        <w:tblLook w:val="0000"/>
      </w:tblPr>
      <w:tblGrid>
        <w:gridCol w:w="3515"/>
        <w:gridCol w:w="5007"/>
      </w:tblGrid>
      <w:tr w:rsidTr="00C5755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A61D2">
            <w:pPr>
              <w:pStyle w:val="BodyText"/>
              <w:rPr>
                <w:lang w:val="en-NZ"/>
              </w:rPr>
            </w:pPr>
            <w:r w:rsidRPr="005A61D2">
              <w:rPr>
                <w:rStyle w:val="SpecialBold"/>
              </w:rPr>
              <w:t>EVIDENCE GUIDE</w:t>
            </w:r>
          </w:p>
        </w:tc>
      </w:tr>
      <w:tr w:rsidTr="00C5755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A61D2">
            <w:pPr>
              <w:pStyle w:val="BodyText"/>
              <w:rPr>
                <w:lang w:val="en-NZ"/>
              </w:rPr>
            </w:pPr>
            <w:r w:rsidRPr="005A61D2">
              <w:t>The evidence guide provides advice on assessment and must be read in conjunction with the performance criteria, required skills and knowledge, range statement and the Assessment Guidelines for the Training Package.</w:t>
            </w:r>
          </w:p>
        </w:tc>
      </w:tr>
      <w:tr w:rsidTr="00C57554">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Overview of assessment</w:t>
            </w:r>
          </w:p>
        </w:tc>
        <w:tc>
          <w:tcPr>
            <w:tcW w:w="5007"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t xml:space="preserve">Competency is to be assessed only after completion of the General Induction Training Program specified by the National Code of Practice for Induction for Construction Work. </w:t>
            </w:r>
          </w:p>
        </w:tc>
      </w:tr>
      <w:tr w:rsidTr="00C57554">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Critical aspects for assessment and evidence required to demonstrate competency i</w:t>
            </w:r>
            <w:r w:rsidRPr="005A61D2">
              <w:rPr>
                <w:rStyle w:val="SpecialBold"/>
              </w:rPr>
              <w:t>n this unit</w:t>
            </w:r>
          </w:p>
        </w:tc>
        <w:tc>
          <w:tcPr>
            <w:tcW w:w="5007" w:type="dxa"/>
            <w:tcBorders>
              <w:top w:val="nil"/>
              <w:left w:val="nil"/>
              <w:bottom w:val="nil"/>
              <w:right w:val="nil"/>
            </w:tcBorders>
            <w:tcMar>
              <w:top w:w="0" w:type="dxa"/>
              <w:left w:w="62" w:type="dxa"/>
              <w:bottom w:w="0" w:type="dxa"/>
              <w:right w:w="62" w:type="dxa"/>
            </w:tcMar>
          </w:tcPr>
          <w:p w:rsidR="00000000" w:rsidRPr="005A61D2" w:rsidP="005A61D2">
            <w:pPr>
              <w:pStyle w:val="BodyText"/>
            </w:pPr>
            <w:r w:rsidRPr="005A61D2">
              <w:t xml:space="preserve">Evidence must confirm understanding and knowledge of the following: </w:t>
            </w:r>
          </w:p>
          <w:p w:rsidR="00000000" w:rsidRPr="005A61D2" w:rsidP="005A61D2">
            <w:pPr>
              <w:pStyle w:val="ListBullet"/>
            </w:pPr>
            <w:r w:rsidRPr="005A61D2">
              <w:t>Relevant legal responsibilities, codes of practice and standards for tilt-up construction work;</w:t>
            </w:r>
          </w:p>
          <w:p w:rsidR="00000000" w:rsidRPr="005A61D2" w:rsidP="005A61D2">
            <w:pPr>
              <w:pStyle w:val="ListBullet"/>
            </w:pPr>
            <w:r w:rsidRPr="005A61D2">
              <w:t>the range of common tilt-up construction hazards and procedures for the assess</w:t>
            </w:r>
            <w:r w:rsidRPr="005A61D2">
              <w:t>ment of risks and application of the hierarchy of control; and</w:t>
            </w:r>
          </w:p>
          <w:p w:rsidR="00000000" w:rsidP="005A61D2">
            <w:pPr>
              <w:pStyle w:val="ListBullet"/>
              <w:rPr>
                <w:lang w:val="en-NZ"/>
              </w:rPr>
            </w:pPr>
            <w:r w:rsidRPr="005A61D2">
              <w:t>the use of job safety analysis and safe work method statements.</w:t>
            </w:r>
          </w:p>
        </w:tc>
      </w:tr>
      <w:tr w:rsidTr="00C57554">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Context of and specific resources for assessment</w:t>
            </w:r>
          </w:p>
        </w:tc>
        <w:tc>
          <w:tcPr>
            <w:tcW w:w="5007" w:type="dxa"/>
            <w:tcBorders>
              <w:top w:val="nil"/>
              <w:left w:val="nil"/>
              <w:bottom w:val="nil"/>
              <w:right w:val="nil"/>
            </w:tcBorders>
            <w:tcMar>
              <w:top w:w="0" w:type="dxa"/>
              <w:left w:w="62" w:type="dxa"/>
              <w:bottom w:w="0" w:type="dxa"/>
              <w:right w:w="62" w:type="dxa"/>
            </w:tcMar>
          </w:tcPr>
          <w:p w:rsidR="00000000" w:rsidRPr="005A61D2" w:rsidP="005A61D2">
            <w:pPr>
              <w:pStyle w:val="BodyText"/>
            </w:pPr>
            <w:r w:rsidRPr="005A61D2">
              <w:t>The relevant OHS authority may have specific requirements concerning the expert</w:t>
            </w:r>
            <w:r w:rsidRPr="005A61D2">
              <w:t>ise necessary to be a subject expert for assessment of this unit. Assessment must be made in accordance with any such requirements.</w:t>
            </w:r>
          </w:p>
          <w:p w:rsidR="00000000" w:rsidRPr="005A61D2" w:rsidP="005A61D2">
            <w:pPr>
              <w:pStyle w:val="BodyText"/>
            </w:pPr>
            <w:r w:rsidRPr="005A61D2">
              <w:t>Procedures and documentation should cover those used in the workplace.</w:t>
            </w:r>
          </w:p>
          <w:p w:rsidR="00000000" w:rsidRPr="005A61D2" w:rsidP="005A61D2">
            <w:pPr>
              <w:pStyle w:val="BodyText"/>
            </w:pPr>
            <w:r w:rsidRPr="005A61D2">
              <w:t>Resources must be available to support the program in</w:t>
            </w:r>
            <w:r w:rsidRPr="005A61D2">
              <w:t>cluding:</w:t>
            </w:r>
          </w:p>
          <w:p w:rsidR="00000000" w:rsidRPr="005A61D2" w:rsidP="005A61D2">
            <w:pPr>
              <w:pStyle w:val="ListBullet"/>
            </w:pPr>
            <w:r w:rsidRPr="005A61D2">
              <w:t xml:space="preserve">relevant standards, regulations and code of practice for tilt-up construction </w:t>
            </w:r>
          </w:p>
          <w:p w:rsidR="00000000" w:rsidRPr="005A61D2" w:rsidP="005A61D2">
            <w:pPr>
              <w:pStyle w:val="ListBullet"/>
            </w:pPr>
            <w:r w:rsidRPr="005A61D2">
              <w:t xml:space="preserve">Australian Standards AS 3850 and AS 3600 </w:t>
            </w:r>
          </w:p>
          <w:p w:rsidR="00000000" w:rsidRPr="005A61D2" w:rsidP="005A61D2">
            <w:pPr>
              <w:pStyle w:val="ListBullet"/>
            </w:pPr>
            <w:r w:rsidRPr="005A61D2">
              <w:t xml:space="preserve">participant materials and other information </w:t>
            </w:r>
          </w:p>
          <w:p w:rsidR="00000000" w:rsidRPr="005A61D2" w:rsidP="005A61D2">
            <w:pPr>
              <w:pStyle w:val="ListBullet"/>
            </w:pPr>
            <w:r w:rsidRPr="005A61D2">
              <w:t xml:space="preserve">drawings and specifications </w:t>
            </w:r>
          </w:p>
          <w:p w:rsidR="00000000" w:rsidRPr="005A61D2" w:rsidP="005A61D2">
            <w:pPr>
              <w:pStyle w:val="ListBullet"/>
            </w:pPr>
            <w:r w:rsidRPr="005A61D2">
              <w:t xml:space="preserve">tilt-up slab related plans </w:t>
            </w:r>
          </w:p>
          <w:p w:rsidR="00000000" w:rsidRPr="005A61D2" w:rsidP="005A61D2">
            <w:pPr>
              <w:pStyle w:val="ListBullet"/>
            </w:pPr>
            <w:r w:rsidRPr="005A61D2">
              <w:t xml:space="preserve">safe load tables </w:t>
            </w:r>
          </w:p>
          <w:p w:rsidR="00000000" w:rsidRPr="005A61D2" w:rsidP="005A61D2">
            <w:pPr>
              <w:pStyle w:val="ListBullet"/>
            </w:pPr>
            <w:r w:rsidRPr="005A61D2">
              <w:t xml:space="preserve">safe work method statements </w:t>
            </w:r>
          </w:p>
          <w:p w:rsidR="00000000" w:rsidRPr="005A61D2" w:rsidP="005A61D2">
            <w:pPr>
              <w:pStyle w:val="ListBullet"/>
            </w:pPr>
            <w:r w:rsidRPr="005A61D2">
              <w:t xml:space="preserve">Job Safety Analysis materials. </w:t>
            </w:r>
          </w:p>
          <w:p w:rsidR="00000000" w:rsidP="005A61D2">
            <w:pPr>
              <w:pStyle w:val="BodyText"/>
              <w:rPr>
                <w:lang w:val="en-NZ"/>
              </w:rPr>
            </w:pPr>
            <w:r w:rsidRPr="005A61D2">
              <w:t xml:space="preserve">A range of assessment tools and resources should be used to suit the learning preferences or special learning needs of individual participants. </w:t>
            </w:r>
          </w:p>
        </w:tc>
      </w:tr>
      <w:tr w:rsidTr="00C57554">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Method of assessment</w:t>
            </w:r>
          </w:p>
        </w:tc>
        <w:tc>
          <w:tcPr>
            <w:tcW w:w="5007" w:type="dxa"/>
            <w:tcBorders>
              <w:top w:val="nil"/>
              <w:left w:val="nil"/>
              <w:bottom w:val="nil"/>
              <w:right w:val="nil"/>
            </w:tcBorders>
            <w:tcMar>
              <w:top w:w="0" w:type="dxa"/>
              <w:left w:w="62" w:type="dxa"/>
              <w:bottom w:w="0" w:type="dxa"/>
              <w:right w:w="62" w:type="dxa"/>
            </w:tcMar>
          </w:tcPr>
          <w:p w:rsidR="00000000" w:rsidRPr="005A61D2" w:rsidP="005A61D2">
            <w:pPr>
              <w:pStyle w:val="BodyText"/>
            </w:pPr>
            <w:r w:rsidRPr="005A61D2">
              <w:t>Assessment methods may inclu</w:t>
            </w:r>
            <w:r w:rsidRPr="005A61D2">
              <w:t>de more than one of the following:</w:t>
            </w:r>
          </w:p>
          <w:p w:rsidR="00000000" w:rsidRPr="005A61D2" w:rsidP="005A61D2">
            <w:pPr>
              <w:pStyle w:val="ListBullet"/>
            </w:pPr>
            <w:r w:rsidRPr="005A61D2">
              <w:t>practical assessment</w:t>
            </w:r>
          </w:p>
          <w:p w:rsidR="00000000" w:rsidRPr="005A61D2" w:rsidP="005A61D2">
            <w:pPr>
              <w:pStyle w:val="ListBullet"/>
            </w:pPr>
            <w:r w:rsidRPr="005A61D2">
              <w:t>oral questioning</w:t>
            </w:r>
          </w:p>
          <w:p w:rsidR="00000000" w:rsidRPr="005A61D2" w:rsidP="005A61D2">
            <w:pPr>
              <w:pStyle w:val="ListBullet"/>
            </w:pPr>
            <w:r w:rsidRPr="005A61D2">
              <w:t>written test</w:t>
            </w:r>
          </w:p>
          <w:p w:rsidR="00000000" w:rsidRPr="005A61D2" w:rsidP="005A61D2">
            <w:pPr>
              <w:pStyle w:val="ListBullet"/>
            </w:pPr>
            <w:r w:rsidRPr="005A61D2">
              <w:t>work-based activities</w:t>
            </w:r>
          </w:p>
          <w:p w:rsidR="00000000" w:rsidRPr="005A61D2" w:rsidP="005A61D2">
            <w:pPr>
              <w:pStyle w:val="ListBullet"/>
            </w:pPr>
            <w:r w:rsidRPr="005A61D2">
              <w:t>problem solving scenarios</w:t>
            </w:r>
          </w:p>
          <w:p w:rsidR="00000000" w:rsidRPr="005A61D2" w:rsidP="005A61D2">
            <w:pPr>
              <w:pStyle w:val="ListBullet"/>
            </w:pPr>
            <w:r w:rsidRPr="005A61D2">
              <w:t>simulated project based activity.</w:t>
            </w:r>
          </w:p>
        </w:tc>
      </w:tr>
    </w:tbl>
    <w:p w:rsidR="00C57554" w:rsidP="005A61D2">
      <w:pPr>
        <w:pStyle w:val="BodyText"/>
      </w:pPr>
    </w:p>
    <w:p w:rsidR="00C57554" w:rsidP="005A61D2">
      <w:pPr>
        <w:pStyle w:val="BodyText"/>
      </w:pPr>
    </w:p>
    <w:p w:rsidR="00000000" w:rsidRPr="005A61D2" w:rsidP="005A61D2">
      <w:pPr>
        <w:pStyle w:val="Heading1"/>
      </w:pPr>
      <w:bookmarkStart w:id="11" w:name="O_250218"/>
      <w:bookmarkEnd w:id="11"/>
      <w:r w:rsidRPr="005A61D2">
        <w:t>Range Statement</w:t>
      </w:r>
    </w:p>
    <w:tbl>
      <w:tblPr>
        <w:tblW w:w="0" w:type="auto"/>
        <w:tblLayout w:type="fixed"/>
        <w:tblCellMar>
          <w:left w:w="62" w:type="dxa"/>
          <w:right w:w="62" w:type="dxa"/>
        </w:tblCellMar>
        <w:tblLook w:val="0000"/>
      </w:tblPr>
      <w:tblGrid>
        <w:gridCol w:w="3508"/>
        <w:gridCol w:w="5014"/>
      </w:tblGrid>
      <w:tr w:rsidTr="00C5755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A61D2">
            <w:pPr>
              <w:pStyle w:val="BodyText"/>
              <w:rPr>
                <w:lang w:val="en-NZ"/>
              </w:rPr>
            </w:pPr>
            <w:r w:rsidRPr="005A61D2">
              <w:rPr>
                <w:rStyle w:val="SpecialBold"/>
              </w:rPr>
              <w:t>RANGE STATEMENT</w:t>
            </w:r>
          </w:p>
        </w:tc>
      </w:tr>
      <w:tr w:rsidTr="00C5755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A61D2">
            <w:pPr>
              <w:pStyle w:val="BodyText"/>
              <w:rPr>
                <w:lang w:val="en-NZ"/>
              </w:rPr>
            </w:pPr>
            <w:r w:rsidRPr="005A61D2">
              <w:t>The range statement relates to the unit of competency as a whole. It allows for different work environments and situations that may affect performance. Bold italicised wording, if used in the performance criteria, is detailed below. Essential operating con</w:t>
            </w:r>
            <w:r w:rsidRPr="005A61D2">
              <w:t>ditions that may be present with training and assessment (depending on the work situation, needs of the candidate, accessibility of the item, and local industry and regional contexts) may also be included.</w:t>
            </w:r>
          </w:p>
        </w:tc>
      </w:tr>
      <w:tr w:rsidTr="00C575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BoldandItalics"/>
              </w:rPr>
              <w:t>Stages of the tilt</w:t>
            </w:r>
            <w:r w:rsidRPr="005A61D2">
              <w:t>-</w:t>
            </w:r>
            <w:r w:rsidRPr="005A61D2">
              <w:rPr>
                <w:rStyle w:val="BoldandItalics"/>
              </w:rPr>
              <w:t>up construction process</w:t>
            </w:r>
            <w:r w:rsidRPr="005A61D2">
              <w:t xml:space="preserve"> cover</w:t>
            </w:r>
            <w:r w:rsidRPr="005A61D2">
              <w:t>:</w:t>
            </w:r>
          </w:p>
        </w:tc>
        <w:tc>
          <w:tcPr>
            <w:tcW w:w="5014" w:type="dxa"/>
            <w:tcBorders>
              <w:top w:val="nil"/>
              <w:left w:val="nil"/>
              <w:bottom w:val="nil"/>
              <w:right w:val="nil"/>
            </w:tcBorders>
            <w:tcMar>
              <w:top w:w="0" w:type="dxa"/>
              <w:left w:w="62" w:type="dxa"/>
              <w:bottom w:w="0" w:type="dxa"/>
              <w:right w:w="62" w:type="dxa"/>
            </w:tcMar>
          </w:tcPr>
          <w:p w:rsidR="00000000" w:rsidRPr="005A61D2" w:rsidP="005A61D2">
            <w:pPr>
              <w:pStyle w:val="ListBullet"/>
            </w:pPr>
            <w:r w:rsidRPr="005A61D2">
              <w:t>design and manufacture</w:t>
            </w:r>
          </w:p>
          <w:p w:rsidR="00000000" w:rsidRPr="005A61D2" w:rsidP="005A61D2">
            <w:pPr>
              <w:pStyle w:val="ListBullet"/>
            </w:pPr>
            <w:r w:rsidRPr="005A61D2">
              <w:t>handling, storage and transportation</w:t>
            </w:r>
          </w:p>
          <w:p w:rsidR="00000000" w:rsidRPr="005A61D2" w:rsidP="005A61D2">
            <w:pPr>
              <w:pStyle w:val="ListBullet"/>
            </w:pPr>
            <w:r w:rsidRPr="005A61D2">
              <w:t>cranage and erection</w:t>
            </w:r>
          </w:p>
          <w:p w:rsidR="00000000" w:rsidRPr="005A61D2" w:rsidP="005A61D2">
            <w:pPr>
              <w:pStyle w:val="ListBullet"/>
            </w:pPr>
            <w:r w:rsidRPr="005A61D2">
              <w:t>temporary bracing, stabilisation and incorporation of concrete panels</w:t>
            </w:r>
          </w:p>
          <w:p w:rsidR="00000000" w:rsidP="005A61D2">
            <w:pPr>
              <w:pStyle w:val="ListBullet"/>
              <w:rPr>
                <w:lang w:val="en-NZ"/>
              </w:rPr>
            </w:pPr>
            <w:r w:rsidRPr="005A61D2">
              <w:t>demolition</w:t>
            </w:r>
          </w:p>
        </w:tc>
      </w:tr>
      <w:tr w:rsidTr="00C575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BoldandItalics"/>
              </w:rPr>
              <w:t>National code of practice</w:t>
            </w:r>
            <w:r w:rsidRPr="005A61D2">
              <w:t xml:space="preserve"> refers to:</w:t>
            </w:r>
          </w:p>
        </w:tc>
        <w:tc>
          <w:tcPr>
            <w:tcW w:w="5014" w:type="dxa"/>
            <w:tcBorders>
              <w:top w:val="nil"/>
              <w:left w:val="nil"/>
              <w:bottom w:val="nil"/>
              <w:right w:val="nil"/>
            </w:tcBorders>
            <w:tcMar>
              <w:top w:w="0" w:type="dxa"/>
              <w:left w:w="62" w:type="dxa"/>
              <w:bottom w:w="0" w:type="dxa"/>
              <w:right w:w="62" w:type="dxa"/>
            </w:tcMar>
          </w:tcPr>
          <w:p w:rsidR="00000000" w:rsidP="005A61D2">
            <w:pPr>
              <w:pStyle w:val="ListBullet"/>
              <w:rPr>
                <w:lang w:val="en-NZ"/>
              </w:rPr>
            </w:pPr>
            <w:r w:rsidRPr="005A61D2">
              <w:t>National Code of Practice for Precast, Tilt-Up and Concrete Elements in Building Construction.</w:t>
            </w:r>
          </w:p>
        </w:tc>
      </w:tr>
      <w:tr w:rsidTr="00C575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BoldandItalics"/>
              </w:rPr>
              <w:t>Skills training</w:t>
            </w:r>
            <w:r w:rsidRPr="005A61D2">
              <w:t xml:space="preserve"> opportunities could include completing further training, including: </w:t>
            </w:r>
          </w:p>
        </w:tc>
        <w:tc>
          <w:tcPr>
            <w:tcW w:w="5014" w:type="dxa"/>
            <w:tcBorders>
              <w:top w:val="nil"/>
              <w:left w:val="nil"/>
              <w:bottom w:val="nil"/>
              <w:right w:val="nil"/>
            </w:tcBorders>
            <w:tcMar>
              <w:top w:w="0" w:type="dxa"/>
              <w:left w:w="62" w:type="dxa"/>
              <w:bottom w:w="0" w:type="dxa"/>
              <w:right w:w="62" w:type="dxa"/>
            </w:tcMar>
          </w:tcPr>
          <w:p w:rsidR="00000000" w:rsidRPr="005A61D2" w:rsidP="005A61D2">
            <w:pPr>
              <w:pStyle w:val="ListBullet"/>
            </w:pPr>
            <w:r w:rsidRPr="005A61D2">
              <w:t xml:space="preserve">CPCCBC4022A Supervise tilt-up work </w:t>
            </w:r>
          </w:p>
          <w:p w:rsidR="00000000" w:rsidRPr="005A61D2" w:rsidP="005A61D2">
            <w:pPr>
              <w:pStyle w:val="ListBullet"/>
            </w:pPr>
            <w:r w:rsidRPr="005A61D2">
              <w:t>CPCCCO3028A Carry out tilt panel const</w:t>
            </w:r>
            <w:r w:rsidRPr="005A61D2">
              <w:t>ruction</w:t>
            </w:r>
          </w:p>
          <w:p w:rsidR="00000000" w:rsidP="005A61D2">
            <w:pPr>
              <w:pStyle w:val="ListBullet"/>
              <w:rPr>
                <w:lang w:val="en-NZ"/>
              </w:rPr>
            </w:pPr>
            <w:r w:rsidRPr="005A61D2">
              <w:t>CPCCRI3015A Perform advanced tilt-up slab erection.</w:t>
            </w:r>
          </w:p>
        </w:tc>
      </w:tr>
      <w:tr w:rsidTr="00C575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BoldandItalics"/>
              </w:rPr>
              <w:t>Regulatory information</w:t>
            </w:r>
            <w:r w:rsidRPr="005A61D2">
              <w:t xml:space="preserve"> includes general OHS requirements, such as: </w:t>
            </w:r>
          </w:p>
        </w:tc>
        <w:tc>
          <w:tcPr>
            <w:tcW w:w="5014" w:type="dxa"/>
            <w:tcBorders>
              <w:top w:val="nil"/>
              <w:left w:val="nil"/>
              <w:bottom w:val="nil"/>
              <w:right w:val="nil"/>
            </w:tcBorders>
            <w:tcMar>
              <w:top w:w="0" w:type="dxa"/>
              <w:left w:w="62" w:type="dxa"/>
              <w:bottom w:w="0" w:type="dxa"/>
              <w:right w:w="62" w:type="dxa"/>
            </w:tcMar>
          </w:tcPr>
          <w:p w:rsidR="00000000" w:rsidRPr="005A61D2" w:rsidP="005A61D2">
            <w:pPr>
              <w:pStyle w:val="ListBullet"/>
            </w:pPr>
            <w:r w:rsidRPr="005A61D2">
              <w:t>Australian standards AS3850 and AS3600</w:t>
            </w:r>
          </w:p>
          <w:p w:rsidR="00000000" w:rsidRPr="005A61D2" w:rsidP="005A61D2">
            <w:pPr>
              <w:pStyle w:val="ListBullet"/>
            </w:pPr>
            <w:r w:rsidRPr="005A61D2">
              <w:t>duty holder responsibilities</w:t>
            </w:r>
          </w:p>
          <w:p w:rsidR="00000000" w:rsidRPr="005A61D2" w:rsidP="005A61D2">
            <w:pPr>
              <w:pStyle w:val="ListBullet"/>
            </w:pPr>
            <w:r w:rsidRPr="005A61D2">
              <w:t>emergency procedures</w:t>
            </w:r>
          </w:p>
          <w:p w:rsidR="00000000" w:rsidRPr="005A61D2" w:rsidP="005A61D2">
            <w:pPr>
              <w:pStyle w:val="ListBullet"/>
            </w:pPr>
            <w:r w:rsidRPr="005A61D2">
              <w:t>relevant standards, regulations and codes of practice for tilt-up and pre-cast concrete construction</w:t>
            </w:r>
          </w:p>
          <w:p w:rsidR="00000000" w:rsidP="005A61D2">
            <w:pPr>
              <w:pStyle w:val="ListBullet"/>
              <w:rPr>
                <w:lang w:val="en-NZ"/>
              </w:rPr>
            </w:pPr>
            <w:r w:rsidRPr="005A61D2">
              <w:t>training, supervision and risk management in the context of tilt-up and pre-cast concrete construction.</w:t>
            </w:r>
          </w:p>
        </w:tc>
      </w:tr>
      <w:tr w:rsidTr="00C575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BoldandItalics"/>
              </w:rPr>
              <w:t>Documentation</w:t>
            </w:r>
            <w:r w:rsidRPr="005A61D2">
              <w:t xml:space="preserve">, </w:t>
            </w:r>
            <w:r w:rsidRPr="005A61D2">
              <w:rPr>
                <w:rStyle w:val="BoldandItalics"/>
              </w:rPr>
              <w:t>drawings and plans</w:t>
            </w:r>
            <w:r w:rsidRPr="005A61D2">
              <w:t xml:space="preserve"> include: </w:t>
            </w:r>
          </w:p>
        </w:tc>
        <w:tc>
          <w:tcPr>
            <w:tcW w:w="5014" w:type="dxa"/>
            <w:tcBorders>
              <w:top w:val="nil"/>
              <w:left w:val="nil"/>
              <w:bottom w:val="nil"/>
              <w:right w:val="nil"/>
            </w:tcBorders>
            <w:tcMar>
              <w:top w:w="0" w:type="dxa"/>
              <w:left w:w="62" w:type="dxa"/>
              <w:bottom w:w="0" w:type="dxa"/>
              <w:right w:w="62" w:type="dxa"/>
            </w:tcMar>
          </w:tcPr>
          <w:p w:rsidR="00000000" w:rsidRPr="005A61D2" w:rsidP="005A61D2">
            <w:pPr>
              <w:pStyle w:val="ListBullet"/>
            </w:pPr>
            <w:r w:rsidRPr="005A61D2">
              <w:t>desig</w:t>
            </w:r>
            <w:r w:rsidRPr="005A61D2">
              <w:t>n provisions and drawings</w:t>
            </w:r>
          </w:p>
          <w:p w:rsidR="00000000" w:rsidRPr="005A61D2" w:rsidP="005A61D2">
            <w:pPr>
              <w:pStyle w:val="ListBullet"/>
            </w:pPr>
            <w:r w:rsidRPr="005A61D2">
              <w:t>erection and crane drawings and documentation</w:t>
            </w:r>
          </w:p>
          <w:p w:rsidR="00000000" w:rsidRPr="005A61D2" w:rsidP="005A61D2">
            <w:pPr>
              <w:pStyle w:val="ListBullet"/>
            </w:pPr>
            <w:r w:rsidRPr="005A61D2">
              <w:t>Job Safety Analysis documentation</w:t>
            </w:r>
          </w:p>
          <w:p w:rsidR="00000000" w:rsidRPr="005A61D2" w:rsidP="005A61D2">
            <w:pPr>
              <w:pStyle w:val="ListBullet"/>
            </w:pPr>
            <w:r w:rsidRPr="005A61D2">
              <w:t>marking plan and shop drawings</w:t>
            </w:r>
          </w:p>
          <w:p w:rsidR="00000000" w:rsidRPr="005A61D2" w:rsidP="005A61D2">
            <w:pPr>
              <w:pStyle w:val="ListBullet"/>
            </w:pPr>
            <w:r w:rsidRPr="005A61D2">
              <w:t>prefabricators and engineers' inspection reports and statements</w:t>
            </w:r>
          </w:p>
          <w:p w:rsidR="00000000" w:rsidRPr="005A61D2" w:rsidP="005A61D2">
            <w:pPr>
              <w:pStyle w:val="ListBullet"/>
            </w:pPr>
            <w:r w:rsidRPr="005A61D2">
              <w:t>safe work method statements</w:t>
            </w:r>
          </w:p>
          <w:p w:rsidR="00000000" w:rsidRPr="005A61D2" w:rsidP="005A61D2">
            <w:pPr>
              <w:pStyle w:val="ListBullet"/>
            </w:pPr>
            <w:r w:rsidRPr="005A61D2">
              <w:t>specifications</w:t>
            </w:r>
          </w:p>
          <w:p w:rsidR="00000000" w:rsidRPr="005A61D2" w:rsidP="005A61D2">
            <w:pPr>
              <w:pStyle w:val="ListBullet"/>
            </w:pPr>
            <w:r w:rsidRPr="005A61D2">
              <w:t>transport ma</w:t>
            </w:r>
            <w:r w:rsidRPr="005A61D2">
              <w:t>nagement plan</w:t>
            </w:r>
          </w:p>
          <w:p w:rsidR="00000000" w:rsidP="005A61D2">
            <w:pPr>
              <w:pStyle w:val="ListBullet"/>
              <w:rPr>
                <w:lang w:val="en-NZ"/>
              </w:rPr>
            </w:pPr>
            <w:r w:rsidRPr="005A61D2">
              <w:t>work plan and/or OHS management plan.</w:t>
            </w:r>
          </w:p>
        </w:tc>
      </w:tr>
      <w:tr w:rsidTr="00C575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BoldandItalics"/>
              </w:rPr>
              <w:t>Equipment and tools</w:t>
            </w:r>
            <w:r w:rsidRPr="005A61D2">
              <w:t xml:space="preserve"> include:</w:t>
            </w:r>
          </w:p>
        </w:tc>
        <w:tc>
          <w:tcPr>
            <w:tcW w:w="5014" w:type="dxa"/>
            <w:tcBorders>
              <w:top w:val="nil"/>
              <w:left w:val="nil"/>
              <w:bottom w:val="nil"/>
              <w:right w:val="nil"/>
            </w:tcBorders>
            <w:tcMar>
              <w:top w:w="0" w:type="dxa"/>
              <w:left w:w="62" w:type="dxa"/>
              <w:bottom w:w="0" w:type="dxa"/>
              <w:right w:w="62" w:type="dxa"/>
            </w:tcMar>
          </w:tcPr>
          <w:p w:rsidR="00000000" w:rsidRPr="005A61D2" w:rsidP="005A61D2">
            <w:pPr>
              <w:pStyle w:val="ListBullet"/>
            </w:pPr>
            <w:r w:rsidRPr="005A61D2">
              <w:t>bracing</w:t>
            </w:r>
          </w:p>
          <w:p w:rsidR="00000000" w:rsidRPr="005A61D2" w:rsidP="005A61D2">
            <w:pPr>
              <w:pStyle w:val="ListBullet"/>
            </w:pPr>
            <w:r w:rsidRPr="005A61D2">
              <w:t>cranes</w:t>
            </w:r>
          </w:p>
          <w:p w:rsidR="00000000" w:rsidRPr="005A61D2" w:rsidP="005A61D2">
            <w:pPr>
              <w:pStyle w:val="ListBullet"/>
            </w:pPr>
            <w:r w:rsidRPr="005A61D2">
              <w:t>elevated work platforms</w:t>
            </w:r>
          </w:p>
          <w:p w:rsidR="00000000" w:rsidRPr="005A61D2" w:rsidP="005A61D2">
            <w:pPr>
              <w:pStyle w:val="ListBullet"/>
            </w:pPr>
            <w:r w:rsidRPr="005A61D2">
              <w:t>manual tools</w:t>
            </w:r>
          </w:p>
          <w:p w:rsidR="00000000" w:rsidRPr="005A61D2" w:rsidP="005A61D2">
            <w:pPr>
              <w:pStyle w:val="ListBullet"/>
            </w:pPr>
            <w:r w:rsidRPr="005A61D2">
              <w:t>mobile scaffolding</w:t>
            </w:r>
          </w:p>
          <w:p w:rsidR="00000000" w:rsidRPr="005A61D2" w:rsidP="005A61D2">
            <w:pPr>
              <w:pStyle w:val="ListBullet"/>
            </w:pPr>
            <w:r w:rsidRPr="005A61D2">
              <w:t>portable electric and pneumatic tools</w:t>
            </w:r>
          </w:p>
          <w:p w:rsidR="00000000" w:rsidRPr="005A61D2" w:rsidP="005A61D2">
            <w:pPr>
              <w:pStyle w:val="ListBullet"/>
            </w:pPr>
            <w:r w:rsidRPr="005A61D2">
              <w:t>props</w:t>
            </w:r>
          </w:p>
          <w:p w:rsidR="00000000" w:rsidRPr="005A61D2" w:rsidP="005A61D2">
            <w:pPr>
              <w:pStyle w:val="ListBullet"/>
            </w:pPr>
            <w:r w:rsidRPr="005A61D2">
              <w:t>rigging equipment</w:t>
            </w:r>
          </w:p>
          <w:p w:rsidR="00000000" w:rsidRPr="005A61D2" w:rsidP="005A61D2">
            <w:pPr>
              <w:pStyle w:val="ListBullet"/>
            </w:pPr>
            <w:r w:rsidRPr="005A61D2">
              <w:t>rigging gear</w:t>
            </w:r>
          </w:p>
          <w:p w:rsidR="00000000" w:rsidP="005A61D2">
            <w:pPr>
              <w:pStyle w:val="ListBullet"/>
              <w:rPr>
                <w:lang w:val="en-NZ"/>
              </w:rPr>
            </w:pPr>
            <w:r w:rsidRPr="005A61D2">
              <w:t>safety net and static lines.</w:t>
            </w:r>
          </w:p>
        </w:tc>
      </w:tr>
      <w:tr w:rsidTr="00C575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BoldandItalics"/>
              </w:rPr>
              <w:t>Hazards</w:t>
            </w:r>
            <w:r w:rsidRPr="005A61D2">
              <w:t xml:space="preserve"> include anything with the potential to cause injury, harm or ill health, such as:</w:t>
            </w:r>
          </w:p>
        </w:tc>
        <w:tc>
          <w:tcPr>
            <w:tcW w:w="5014" w:type="dxa"/>
            <w:tcBorders>
              <w:top w:val="nil"/>
              <w:left w:val="nil"/>
              <w:bottom w:val="nil"/>
              <w:right w:val="nil"/>
            </w:tcBorders>
            <w:tcMar>
              <w:top w:w="0" w:type="dxa"/>
              <w:left w:w="62" w:type="dxa"/>
              <w:bottom w:w="0" w:type="dxa"/>
              <w:right w:w="62" w:type="dxa"/>
            </w:tcMar>
          </w:tcPr>
          <w:p w:rsidR="00000000" w:rsidRPr="005A61D2" w:rsidP="005A61D2">
            <w:pPr>
              <w:pStyle w:val="ListBullet"/>
            </w:pPr>
            <w:r w:rsidRPr="005A61D2">
              <w:t>environmental factors, e.g. wind, temperature, noise and lighting</w:t>
            </w:r>
          </w:p>
          <w:p w:rsidR="00000000" w:rsidRPr="005A61D2" w:rsidP="005A61D2">
            <w:pPr>
              <w:pStyle w:val="ListBullet"/>
            </w:pPr>
            <w:r w:rsidRPr="005A61D2">
              <w:t>overhead or underground services</w:t>
            </w:r>
          </w:p>
          <w:p w:rsidR="00000000" w:rsidRPr="005A61D2" w:rsidP="005A61D2">
            <w:pPr>
              <w:pStyle w:val="ListBullet"/>
            </w:pPr>
            <w:r w:rsidRPr="005A61D2">
              <w:t>trees, buildings and structures</w:t>
            </w:r>
          </w:p>
          <w:p w:rsidR="00000000" w:rsidRPr="005A61D2" w:rsidP="005A61D2">
            <w:pPr>
              <w:pStyle w:val="ListBullet"/>
            </w:pPr>
            <w:r w:rsidRPr="005A61D2">
              <w:t>uneven or unstable ground</w:t>
            </w:r>
          </w:p>
          <w:p w:rsidR="00000000" w:rsidP="005A61D2">
            <w:pPr>
              <w:pStyle w:val="ListBullet"/>
              <w:rPr>
                <w:lang w:val="en-NZ"/>
              </w:rPr>
            </w:pPr>
            <w:r w:rsidRPr="005A61D2">
              <w:t>unstable panels during lifting.</w:t>
            </w:r>
          </w:p>
        </w:tc>
      </w:tr>
      <w:tr w:rsidTr="00C575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BoldandItalics"/>
              </w:rPr>
              <w:t>Safe work method statement</w:t>
            </w:r>
            <w:r w:rsidRPr="005A61D2">
              <w:t xml:space="preserve"> is a statement that:</w:t>
            </w:r>
          </w:p>
        </w:tc>
        <w:tc>
          <w:tcPr>
            <w:tcW w:w="5014" w:type="dxa"/>
            <w:tcBorders>
              <w:top w:val="nil"/>
              <w:left w:val="nil"/>
              <w:bottom w:val="nil"/>
              <w:right w:val="nil"/>
            </w:tcBorders>
            <w:tcMar>
              <w:top w:w="0" w:type="dxa"/>
              <w:left w:w="62" w:type="dxa"/>
              <w:bottom w:w="0" w:type="dxa"/>
              <w:right w:w="62" w:type="dxa"/>
            </w:tcMar>
          </w:tcPr>
          <w:p w:rsidR="00000000" w:rsidRPr="005A61D2" w:rsidP="005A61D2">
            <w:pPr>
              <w:pStyle w:val="ListBullet"/>
            </w:pPr>
            <w:r w:rsidRPr="005A61D2">
              <w:t>describes how safety measures will be implemented to do the work safely</w:t>
            </w:r>
          </w:p>
          <w:p w:rsidR="00000000" w:rsidRPr="005A61D2" w:rsidP="005A61D2">
            <w:pPr>
              <w:pStyle w:val="ListBullet"/>
            </w:pPr>
            <w:r w:rsidRPr="005A61D2">
              <w:t>describes the control measures that will be applied to the work activities</w:t>
            </w:r>
          </w:p>
          <w:p w:rsidR="00000000" w:rsidRPr="005A61D2" w:rsidP="005A61D2">
            <w:pPr>
              <w:pStyle w:val="ListBullet"/>
            </w:pPr>
            <w:r w:rsidRPr="005A61D2">
              <w:t>i</w:t>
            </w:r>
            <w:r w:rsidRPr="005A61D2">
              <w:t>dentifies work activities assessed as having safety risk or risks</w:t>
            </w:r>
          </w:p>
          <w:p w:rsidR="00000000" w:rsidRPr="005A61D2" w:rsidP="005A61D2">
            <w:pPr>
              <w:pStyle w:val="ListBullet"/>
            </w:pPr>
            <w:r w:rsidRPr="005A61D2">
              <w:t>includes a description of the equipment used in the work, the qualifications of the personnel doing the work, and the training required to do the work safely</w:t>
            </w:r>
          </w:p>
          <w:p w:rsidR="00000000" w:rsidP="005A61D2">
            <w:pPr>
              <w:pStyle w:val="ListBullet"/>
              <w:rPr>
                <w:lang w:val="en-NZ"/>
              </w:rPr>
            </w:pPr>
            <w:r w:rsidRPr="005A61D2">
              <w:t>states the safety risk or risks.</w:t>
            </w:r>
          </w:p>
        </w:tc>
      </w:tr>
      <w:tr w:rsidTr="00C575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BoldandItalics"/>
              </w:rPr>
              <w:t>Job safety analysis</w:t>
            </w:r>
            <w:r w:rsidRPr="005A61D2">
              <w:t xml:space="preserve"> is:</w:t>
            </w:r>
          </w:p>
        </w:tc>
        <w:tc>
          <w:tcPr>
            <w:tcW w:w="5014" w:type="dxa"/>
            <w:tcBorders>
              <w:top w:val="nil"/>
              <w:left w:val="nil"/>
              <w:bottom w:val="nil"/>
              <w:right w:val="nil"/>
            </w:tcBorders>
            <w:tcMar>
              <w:top w:w="0" w:type="dxa"/>
              <w:left w:w="62" w:type="dxa"/>
              <w:bottom w:w="0" w:type="dxa"/>
              <w:right w:w="62" w:type="dxa"/>
            </w:tcMar>
          </w:tcPr>
          <w:p w:rsidR="00000000" w:rsidRPr="005A61D2" w:rsidP="005A61D2">
            <w:pPr>
              <w:pStyle w:val="ListBullet"/>
            </w:pPr>
            <w:r w:rsidRPr="005A61D2">
              <w:t>a technique that breaks a task into steps</w:t>
            </w:r>
          </w:p>
          <w:p w:rsidR="00000000" w:rsidRPr="005A61D2" w:rsidP="005A61D2">
            <w:pPr>
              <w:pStyle w:val="ListBullet"/>
            </w:pPr>
            <w:r w:rsidRPr="005A61D2">
              <w:t>identifies the hazards and appropriate control measures for each step.</w:t>
            </w:r>
          </w:p>
        </w:tc>
      </w:tr>
    </w:tbl>
    <w:p w:rsidR="00C57554" w:rsidP="005A61D2">
      <w:pPr>
        <w:pStyle w:val="BodyText"/>
      </w:pPr>
    </w:p>
    <w:p w:rsidR="00C57554" w:rsidP="005A61D2">
      <w:pPr>
        <w:pStyle w:val="BodyText"/>
      </w:pPr>
    </w:p>
    <w:p w:rsidR="00000000" w:rsidRPr="005A61D2" w:rsidP="005A61D2">
      <w:pPr>
        <w:pStyle w:val="Heading1"/>
      </w:pPr>
      <w:bookmarkStart w:id="12" w:name="O_197632"/>
      <w:bookmarkEnd w:id="12"/>
      <w:r w:rsidRPr="005A61D2">
        <w:t>Unit Sector(s)</w:t>
      </w:r>
    </w:p>
    <w:tbl>
      <w:tblPr>
        <w:tblW w:w="0" w:type="auto"/>
        <w:tblLayout w:type="fixed"/>
        <w:tblCellMar>
          <w:left w:w="62" w:type="dxa"/>
          <w:right w:w="62" w:type="dxa"/>
        </w:tblCellMar>
        <w:tblLook w:val="0000"/>
      </w:tblPr>
      <w:tblGrid>
        <w:gridCol w:w="2575"/>
        <w:gridCol w:w="5947"/>
      </w:tblGrid>
      <w:tr w:rsidTr="00C57554">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Unit sector</w:t>
            </w:r>
          </w:p>
        </w:tc>
        <w:tc>
          <w:tcPr>
            <w:tcW w:w="5947" w:type="dxa"/>
            <w:tcBorders>
              <w:top w:val="nil"/>
              <w:left w:val="nil"/>
              <w:bottom w:val="nil"/>
              <w:right w:val="nil"/>
            </w:tcBorders>
            <w:tcMar>
              <w:top w:w="0" w:type="dxa"/>
              <w:left w:w="62" w:type="dxa"/>
              <w:bottom w:w="0" w:type="dxa"/>
              <w:right w:w="62" w:type="dxa"/>
            </w:tcMar>
          </w:tcPr>
          <w:p w:rsidR="00000000" w:rsidRPr="005A61D2" w:rsidP="005A61D2">
            <w:pPr>
              <w:pStyle w:val="BodyText"/>
            </w:pPr>
            <w:r w:rsidRPr="005A61D2">
              <w:t>Construction</w:t>
            </w:r>
          </w:p>
        </w:tc>
      </w:tr>
    </w:tbl>
    <w:p w:rsidR="00C57554" w:rsidP="005A61D2">
      <w:pPr>
        <w:pStyle w:val="BodyText"/>
      </w:pPr>
    </w:p>
    <w:p w:rsidR="00C57554" w:rsidP="005A61D2">
      <w:pPr>
        <w:pStyle w:val="BodyText"/>
      </w:pPr>
    </w:p>
    <w:p w:rsidR="00000000" w:rsidRPr="005A61D2" w:rsidP="005A61D2">
      <w:pPr>
        <w:pStyle w:val="Heading1"/>
      </w:pPr>
      <w:bookmarkStart w:id="13" w:name="O_197629"/>
      <w:bookmarkEnd w:id="13"/>
      <w:r w:rsidRPr="005A61D2">
        <w:t>Co-requisite units</w:t>
      </w:r>
    </w:p>
    <w:tbl>
      <w:tblPr>
        <w:tblW w:w="0" w:type="auto"/>
        <w:tblLayout w:type="fixed"/>
        <w:tblCellMar>
          <w:left w:w="62" w:type="dxa"/>
          <w:right w:w="62" w:type="dxa"/>
        </w:tblCellMar>
        <w:tblLook w:val="0000"/>
      </w:tblPr>
      <w:tblGrid>
        <w:gridCol w:w="2584"/>
        <w:gridCol w:w="2127"/>
        <w:gridCol w:w="3811"/>
      </w:tblGrid>
      <w:tr w:rsidTr="00C57554">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Co-requisite units</w:t>
            </w:r>
          </w:p>
        </w:tc>
        <w:tc>
          <w:tcPr>
            <w:tcW w:w="5938" w:type="dxa"/>
            <w:gridSpan w:val="2"/>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t>Nil</w:t>
            </w:r>
          </w:p>
        </w:tc>
      </w:tr>
      <w:tr w:rsidTr="00C57554">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1"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p>
        </w:tc>
      </w:tr>
      <w:tr w:rsidTr="00C57554">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1" w:type="dxa"/>
            <w:tcBorders>
              <w:top w:val="nil"/>
              <w:left w:val="nil"/>
              <w:bottom w:val="nil"/>
              <w:right w:val="nil"/>
            </w:tcBorders>
            <w:tcMar>
              <w:top w:w="0" w:type="dxa"/>
              <w:left w:w="62" w:type="dxa"/>
              <w:bottom w:w="0" w:type="dxa"/>
              <w:right w:w="62" w:type="dxa"/>
            </w:tcMar>
          </w:tcPr>
          <w:p w:rsidR="00000000" w:rsidRPr="005A61D2" w:rsidP="005A61D2">
            <w:pPr>
              <w:pStyle w:val="BodyText"/>
            </w:pPr>
          </w:p>
        </w:tc>
      </w:tr>
    </w:tbl>
    <w:p w:rsidR="00C57554" w:rsidP="005A61D2">
      <w:pPr>
        <w:pStyle w:val="BodyText"/>
      </w:pPr>
    </w:p>
    <w:p w:rsidR="00C57554" w:rsidP="005A61D2">
      <w:pPr>
        <w:pStyle w:val="BodyText"/>
      </w:pPr>
    </w:p>
    <w:p w:rsidR="00000000" w:rsidRPr="005A61D2" w:rsidP="005A61D2">
      <w:pPr>
        <w:pStyle w:val="Heading1"/>
      </w:pPr>
      <w:bookmarkStart w:id="14" w:name="O_197631"/>
      <w:bookmarkEnd w:id="14"/>
      <w:r w:rsidRPr="005A61D2">
        <w:t>Functional area</w:t>
      </w:r>
    </w:p>
    <w:tbl>
      <w:tblPr>
        <w:tblW w:w="0" w:type="auto"/>
        <w:tblLayout w:type="fixed"/>
        <w:tblCellMar>
          <w:left w:w="62" w:type="dxa"/>
          <w:right w:w="62" w:type="dxa"/>
        </w:tblCellMar>
        <w:tblLook w:val="0000"/>
      </w:tblPr>
      <w:tblGrid>
        <w:gridCol w:w="2675"/>
        <w:gridCol w:w="5847"/>
      </w:tblGrid>
      <w:tr w:rsidTr="00C57554">
        <w:tblPrEx>
          <w:tblW w:w="0" w:type="auto"/>
          <w:tblLayout w:type="fixed"/>
          <w:tblCellMar>
            <w:left w:w="62" w:type="dxa"/>
            <w:right w:w="62" w:type="dxa"/>
          </w:tblCellMar>
          <w:tblLook w:val="0000"/>
        </w:tblPrEx>
        <w:trPr>
          <w:tblHeader/>
        </w:trPr>
        <w:tc>
          <w:tcPr>
            <w:tcW w:w="2675" w:type="dxa"/>
            <w:tcBorders>
              <w:top w:val="nil"/>
              <w:left w:val="nil"/>
              <w:bottom w:val="nil"/>
              <w:right w:val="nil"/>
            </w:tcBorders>
            <w:tcMar>
              <w:top w:w="0" w:type="dxa"/>
              <w:left w:w="62" w:type="dxa"/>
              <w:bottom w:w="0" w:type="dxa"/>
              <w:right w:w="62" w:type="dxa"/>
            </w:tcMar>
          </w:tcPr>
          <w:p w:rsidR="00000000" w:rsidP="005A61D2">
            <w:pPr>
              <w:pStyle w:val="BodyText"/>
              <w:rPr>
                <w:lang w:val="en-NZ"/>
              </w:rPr>
            </w:pPr>
            <w:r w:rsidRPr="005A61D2">
              <w:rPr>
                <w:rStyle w:val="SpecialBold"/>
              </w:rPr>
              <w:t>Functional area</w:t>
            </w:r>
          </w:p>
        </w:tc>
        <w:tc>
          <w:tcPr>
            <w:tcW w:w="5847" w:type="dxa"/>
            <w:tcBorders>
              <w:top w:val="nil"/>
              <w:left w:val="nil"/>
              <w:bottom w:val="nil"/>
              <w:right w:val="nil"/>
            </w:tcBorders>
            <w:tcMar>
              <w:top w:w="0" w:type="dxa"/>
              <w:left w:w="62" w:type="dxa"/>
              <w:bottom w:w="0" w:type="dxa"/>
              <w:right w:w="62" w:type="dxa"/>
            </w:tcMar>
          </w:tcPr>
          <w:p w:rsidR="00000000" w:rsidRPr="005A61D2" w:rsidP="005A61D2">
            <w:pPr>
              <w:pStyle w:val="BodyText"/>
            </w:pPr>
          </w:p>
        </w:tc>
      </w:tr>
    </w:tbl>
    <w:p w:rsidR="00C57554" w:rsidP="005A61D2">
      <w:pPr>
        <w:pStyle w:val="BodyText"/>
      </w:pPr>
    </w:p>
    <w:p w:rsidR="00C57554" w:rsidP="005A61D2">
      <w:pPr>
        <w:pStyle w:val="BodyText"/>
      </w:pPr>
    </w:p>
    <w:p w:rsidR="00000000" w:rsidRPr="005A61D2" w:rsidP="005A61D2"/>
    <w:sectPr w:rsidSect="005A61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554" w:rsidP="00C57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54" w:rsidP="005A61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7554" w:rsidP="005A61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57554" w:rsidP="005A61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554" w:rsidP="00C575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54" w:rsidP="005A61D2">
    <w:pPr>
      <w:pStyle w:val="Header"/>
      <w:framePr w:wrap="around"/>
    </w:pPr>
    <w:r>
      <w:fldChar w:fldCharType="begin"/>
    </w:r>
    <w:r>
      <w:instrText xml:space="preserve"> TITLE   \* MERGEFORMAT </w:instrText>
    </w:r>
    <w:r>
      <w:fldChar w:fldCharType="separate"/>
    </w:r>
    <w:r>
      <w:t>CPCCCM2011A Carry out tilt-up work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7554" w:rsidP="005A61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0686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54A3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1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61D2"/>
    <w:pPr>
      <w:spacing w:before="360" w:after="60"/>
      <w:outlineLvl w:val="0"/>
    </w:pPr>
    <w:rPr>
      <w:sz w:val="32"/>
    </w:rPr>
  </w:style>
  <w:style w:type="paragraph" w:styleId="Heading2">
    <w:name w:val="heading 2"/>
    <w:basedOn w:val="HeadingBase"/>
    <w:next w:val="BodyText"/>
    <w:link w:val="Heading2Char"/>
    <w:qFormat/>
    <w:rsid w:val="005A61D2"/>
    <w:pPr>
      <w:keepLines/>
      <w:spacing w:before="240" w:after="120"/>
      <w:outlineLvl w:val="1"/>
    </w:pPr>
    <w:rPr>
      <w:sz w:val="28"/>
      <w:szCs w:val="40"/>
    </w:rPr>
  </w:style>
  <w:style w:type="paragraph" w:styleId="Heading3">
    <w:name w:val="heading 3"/>
    <w:basedOn w:val="HeadingBase"/>
    <w:next w:val="BodyText"/>
    <w:link w:val="Heading3Char"/>
    <w:qFormat/>
    <w:rsid w:val="005A61D2"/>
    <w:pPr>
      <w:spacing w:before="180" w:after="120"/>
      <w:outlineLvl w:val="2"/>
    </w:pPr>
    <w:rPr>
      <w:spacing w:val="-10"/>
      <w:kern w:val="32"/>
    </w:rPr>
  </w:style>
  <w:style w:type="paragraph" w:styleId="Heading4">
    <w:name w:val="heading 4"/>
    <w:basedOn w:val="HeadingBase"/>
    <w:next w:val="BodyText"/>
    <w:link w:val="Heading4Char"/>
    <w:qFormat/>
    <w:rsid w:val="005A61D2"/>
    <w:pPr>
      <w:spacing w:before="160" w:after="120"/>
      <w:outlineLvl w:val="3"/>
    </w:pPr>
    <w:rPr>
      <w:sz w:val="22"/>
    </w:rPr>
  </w:style>
  <w:style w:type="paragraph" w:styleId="Heading5">
    <w:name w:val="heading 5"/>
    <w:basedOn w:val="HeadingBase"/>
    <w:next w:val="Normal"/>
    <w:link w:val="Heading5Char"/>
    <w:qFormat/>
    <w:rsid w:val="005A61D2"/>
    <w:pPr>
      <w:spacing w:before="80"/>
      <w:outlineLvl w:val="4"/>
    </w:pPr>
    <w:rPr>
      <w:color w:val="918585"/>
      <w:sz w:val="20"/>
    </w:rPr>
  </w:style>
  <w:style w:type="paragraph" w:styleId="Heading6">
    <w:name w:val="heading 6"/>
    <w:basedOn w:val="HeadingBase"/>
    <w:next w:val="Normal"/>
    <w:link w:val="Heading6Char"/>
    <w:qFormat/>
    <w:rsid w:val="005A61D2"/>
    <w:pPr>
      <w:spacing w:before="60"/>
      <w:outlineLvl w:val="5"/>
    </w:pPr>
    <w:rPr>
      <w:color w:val="918585"/>
      <w:sz w:val="20"/>
    </w:rPr>
  </w:style>
  <w:style w:type="paragraph" w:styleId="Heading7">
    <w:name w:val="heading 7"/>
    <w:basedOn w:val="Normal"/>
    <w:next w:val="Normal"/>
    <w:link w:val="Heading7Char"/>
    <w:qFormat/>
    <w:rsid w:val="005A61D2"/>
    <w:pPr>
      <w:ind w:left="720"/>
      <w:outlineLvl w:val="6"/>
    </w:pPr>
    <w:rPr>
      <w:i/>
    </w:rPr>
  </w:style>
  <w:style w:type="paragraph" w:styleId="Heading8">
    <w:name w:val="heading 8"/>
    <w:basedOn w:val="Normal"/>
    <w:next w:val="Normal"/>
    <w:link w:val="Heading8Char"/>
    <w:qFormat/>
    <w:rsid w:val="005A61D2"/>
    <w:pPr>
      <w:ind w:left="720"/>
      <w:outlineLvl w:val="7"/>
    </w:pPr>
    <w:rPr>
      <w:i/>
    </w:rPr>
  </w:style>
  <w:style w:type="paragraph" w:styleId="Heading9">
    <w:name w:val="heading 9"/>
    <w:basedOn w:val="Normal"/>
    <w:next w:val="Normal"/>
    <w:link w:val="Heading9Char"/>
    <w:qFormat/>
    <w:rsid w:val="005A61D2"/>
    <w:pPr>
      <w:ind w:left="720"/>
      <w:outlineLvl w:val="8"/>
    </w:pPr>
    <w:rPr>
      <w:i/>
    </w:rPr>
  </w:style>
  <w:style w:type="character" w:default="1" w:styleId="DefaultParagraphFont">
    <w:name w:val="Default Paragraph Font"/>
    <w:uiPriority w:val="1"/>
    <w:unhideWhenUsed/>
    <w:rsid w:val="005A61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1D2"/>
  </w:style>
  <w:style w:type="character" w:customStyle="1" w:styleId="Heading1Char">
    <w:name w:val="Heading 1 Char"/>
    <w:basedOn w:val="DefaultParagraphFont"/>
    <w:link w:val="Heading1"/>
    <w:rsid w:val="005A61D2"/>
    <w:rPr>
      <w:rFonts w:ascii="Times New Roman" w:eastAsia="Times New Roman" w:hAnsi="Times New Roman" w:cs="Times New Roman"/>
      <w:b/>
      <w:sz w:val="32"/>
      <w:szCs w:val="20"/>
      <w:lang w:eastAsia="en-US"/>
    </w:rPr>
  </w:style>
  <w:style w:type="paragraph" w:styleId="BodyText">
    <w:name w:val="Body Text"/>
    <w:basedOn w:val="Normal"/>
    <w:link w:val="BodyTextChar"/>
    <w:rsid w:val="005A61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61D2"/>
    <w:rPr>
      <w:rFonts w:ascii="Times New Roman" w:eastAsia="Times New Roman" w:hAnsi="Times New Roman" w:cs="Times New Roman"/>
      <w:sz w:val="24"/>
      <w:lang w:val="en-US" w:eastAsia="en-US"/>
    </w:rPr>
  </w:style>
  <w:style w:type="paragraph" w:styleId="Footer">
    <w:name w:val="footer"/>
    <w:basedOn w:val="Normal"/>
    <w:link w:val="FooterChar"/>
    <w:rsid w:val="005A61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1D2"/>
    <w:rPr>
      <w:rFonts w:ascii="Times New Roman" w:eastAsia="Times New Roman" w:hAnsi="Times New Roman" w:cs="Times New Roman"/>
      <w:sz w:val="16"/>
      <w:lang w:val="en-US" w:eastAsia="en-US"/>
    </w:rPr>
  </w:style>
  <w:style w:type="paragraph" w:styleId="List">
    <w:name w:val="List"/>
    <w:basedOn w:val="BodyText"/>
    <w:next w:val="BodyText"/>
    <w:rsid w:val="005A61D2"/>
    <w:pPr>
      <w:tabs>
        <w:tab w:val="left" w:pos="340"/>
      </w:tabs>
      <w:spacing w:before="60" w:after="60"/>
      <w:ind w:left="340" w:hanging="340"/>
    </w:pPr>
  </w:style>
  <w:style w:type="paragraph" w:styleId="ListBullet">
    <w:name w:val="List Bullet"/>
    <w:basedOn w:val="List"/>
    <w:rsid w:val="005A61D2"/>
    <w:pPr>
      <w:numPr>
        <w:numId w:val="12"/>
      </w:numPr>
      <w:tabs>
        <w:tab w:val="clear" w:pos="340"/>
      </w:tabs>
      <w:spacing w:before="40" w:after="40"/>
    </w:pPr>
  </w:style>
  <w:style w:type="character" w:customStyle="1" w:styleId="SpecialBold">
    <w:name w:val="Special Bold"/>
    <w:basedOn w:val="DefaultParagraphFont"/>
    <w:rsid w:val="005A61D2"/>
    <w:rPr>
      <w:b/>
      <w:spacing w:val="0"/>
    </w:rPr>
  </w:style>
  <w:style w:type="paragraph" w:styleId="Header">
    <w:name w:val="header"/>
    <w:basedOn w:val="Normal"/>
    <w:link w:val="HeaderChar"/>
    <w:rsid w:val="005A61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1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61D2"/>
    <w:pPr>
      <w:spacing w:before="240" w:after="120"/>
      <w:outlineLvl w:val="0"/>
    </w:pPr>
    <w:rPr>
      <w:rFonts w:ascii="Times New Roman" w:hAnsi="Times New Roman"/>
      <w:b/>
      <w:sz w:val="28"/>
    </w:rPr>
  </w:style>
  <w:style w:type="paragraph" w:customStyle="1" w:styleId="AllowPageBreak">
    <w:name w:val="AllowPageBreak"/>
    <w:rsid w:val="005A61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61D2"/>
    <w:pPr>
      <w:tabs>
        <w:tab w:val="left" w:pos="680"/>
      </w:tabs>
      <w:spacing w:before="60" w:after="60"/>
      <w:ind w:left="680" w:hanging="340"/>
    </w:pPr>
  </w:style>
  <w:style w:type="character" w:customStyle="1" w:styleId="BoldandItalics">
    <w:name w:val="Bold and Italics"/>
    <w:qFormat/>
    <w:rsid w:val="005A61D2"/>
    <w:rPr>
      <w:b/>
      <w:i/>
      <w:u w:val="none"/>
    </w:rPr>
  </w:style>
  <w:style w:type="character" w:customStyle="1" w:styleId="Heading2Char">
    <w:name w:val="Heading 2 Char"/>
    <w:basedOn w:val="DefaultParagraphFont"/>
    <w:link w:val="Heading2"/>
    <w:rsid w:val="005A61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1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1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1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1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1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61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61D2"/>
    <w:rPr>
      <w:rFonts w:ascii="Courier New" w:eastAsia="Times New Roman" w:hAnsi="Courier New" w:cs="Times New Roman"/>
      <w:i/>
      <w:szCs w:val="20"/>
      <w:lang w:val="en-US" w:eastAsia="en-US"/>
    </w:rPr>
  </w:style>
  <w:style w:type="paragraph" w:customStyle="1" w:styleId="HeadingBase">
    <w:name w:val="Heading Base"/>
    <w:rsid w:val="005A61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1D2"/>
    <w:pPr>
      <w:tabs>
        <w:tab w:val="right" w:leader="dot" w:pos="9072"/>
      </w:tabs>
      <w:ind w:left="567"/>
    </w:pPr>
    <w:rPr>
      <w:szCs w:val="22"/>
    </w:rPr>
  </w:style>
  <w:style w:type="paragraph" w:customStyle="1" w:styleId="TOCBase">
    <w:name w:val="TOC Base"/>
    <w:rsid w:val="005A61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1D2"/>
    <w:pPr>
      <w:tabs>
        <w:tab w:val="right" w:leader="dot" w:pos="9072"/>
      </w:tabs>
      <w:spacing w:before="40" w:after="40"/>
      <w:ind w:left="284"/>
    </w:pPr>
    <w:rPr>
      <w:rFonts w:ascii="Times New Roman" w:hAnsi="Times New Roman"/>
    </w:rPr>
  </w:style>
  <w:style w:type="paragraph" w:styleId="TOC1">
    <w:name w:val="toc 1"/>
    <w:basedOn w:val="TOCBase"/>
    <w:next w:val="Normal"/>
    <w:rsid w:val="005A61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61D2"/>
    <w:pPr>
      <w:spacing w:before="5040"/>
      <w:jc w:val="center"/>
    </w:pPr>
    <w:rPr>
      <w:sz w:val="48"/>
      <w:szCs w:val="72"/>
      <w:lang w:val="en-US"/>
    </w:rPr>
  </w:style>
  <w:style w:type="character" w:customStyle="1" w:styleId="TitleChar">
    <w:name w:val="Title Char"/>
    <w:basedOn w:val="DefaultParagraphFont"/>
    <w:link w:val="Title"/>
    <w:rsid w:val="005A61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1D2"/>
    <w:pPr>
      <w:tabs>
        <w:tab w:val="left" w:pos="3600"/>
        <w:tab w:val="left" w:pos="3958"/>
      </w:tabs>
    </w:pPr>
  </w:style>
  <w:style w:type="paragraph" w:customStyle="1" w:styleId="Note">
    <w:name w:val="Note"/>
    <w:basedOn w:val="BodyText"/>
    <w:rsid w:val="005A61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1D2"/>
    <w:pPr>
      <w:framePr w:wrap="auto" w:hAnchor="text" w:y="6049"/>
    </w:pPr>
    <w:rPr>
      <w:color w:val="000000"/>
      <w:sz w:val="40"/>
    </w:rPr>
  </w:style>
  <w:style w:type="paragraph" w:customStyle="1" w:styleId="TOCTitle">
    <w:name w:val="TOCTitle"/>
    <w:basedOn w:val="Heading1"/>
    <w:rsid w:val="005A61D2"/>
    <w:pPr>
      <w:spacing w:after="240"/>
      <w:jc w:val="center"/>
      <w:outlineLvl w:val="9"/>
    </w:pPr>
    <w:rPr>
      <w:caps/>
    </w:rPr>
  </w:style>
  <w:style w:type="paragraph" w:customStyle="1" w:styleId="Version">
    <w:name w:val="Version"/>
    <w:rsid w:val="005A61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61D2"/>
    <w:pPr>
      <w:numPr>
        <w:numId w:val="13"/>
      </w:numPr>
      <w:tabs>
        <w:tab w:val="clear" w:pos="680"/>
      </w:tabs>
    </w:pPr>
  </w:style>
  <w:style w:type="paragraph" w:styleId="Index1">
    <w:name w:val="index 1"/>
    <w:basedOn w:val="Normal"/>
    <w:next w:val="Normal"/>
    <w:semiHidden/>
    <w:rsid w:val="005A61D2"/>
    <w:pPr>
      <w:keepNext w:val="0"/>
      <w:tabs>
        <w:tab w:val="right" w:pos="4176"/>
      </w:tabs>
      <w:ind w:left="198" w:hanging="198"/>
    </w:pPr>
    <w:rPr>
      <w:rFonts w:ascii="Garamond" w:hAnsi="Garamond"/>
    </w:rPr>
  </w:style>
  <w:style w:type="paragraph" w:styleId="IndexHeading">
    <w:name w:val="index heading"/>
    <w:basedOn w:val="Normal"/>
    <w:next w:val="Index1"/>
    <w:semiHidden/>
    <w:rsid w:val="005A61D2"/>
    <w:pPr>
      <w:spacing w:before="120" w:after="120"/>
    </w:pPr>
    <w:rPr>
      <w:rFonts w:ascii="Arial" w:hAnsi="Arial"/>
      <w:b/>
      <w:color w:val="918585"/>
      <w:sz w:val="24"/>
    </w:rPr>
  </w:style>
  <w:style w:type="paragraph" w:customStyle="1" w:styleId="Chapter">
    <w:name w:val="Chapter"/>
    <w:basedOn w:val="Normal"/>
    <w:rsid w:val="005A61D2"/>
    <w:pPr>
      <w:spacing w:before="240"/>
    </w:pPr>
    <w:rPr>
      <w:rFonts w:ascii="Times New Roman" w:hAnsi="Times New Roman"/>
      <w:smallCaps/>
      <w:spacing w:val="80"/>
      <w:sz w:val="28"/>
    </w:rPr>
  </w:style>
  <w:style w:type="paragraph" w:customStyle="1" w:styleId="InChapter">
    <w:name w:val="InChapter"/>
    <w:basedOn w:val="Heading3"/>
    <w:rsid w:val="005A61D2"/>
    <w:pPr>
      <w:spacing w:after="240"/>
      <w:outlineLvl w:val="9"/>
    </w:pPr>
    <w:rPr>
      <w:noProof/>
    </w:rPr>
  </w:style>
  <w:style w:type="paragraph" w:styleId="Index2">
    <w:name w:val="index 2"/>
    <w:basedOn w:val="Normal"/>
    <w:next w:val="Normal"/>
    <w:semiHidden/>
    <w:rsid w:val="005A61D2"/>
    <w:pPr>
      <w:tabs>
        <w:tab w:val="right" w:pos="4176"/>
      </w:tabs>
      <w:ind w:left="568" w:hanging="284"/>
    </w:pPr>
    <w:rPr>
      <w:rFonts w:ascii="Garamond" w:hAnsi="Garamond"/>
    </w:rPr>
  </w:style>
  <w:style w:type="paragraph" w:customStyle="1" w:styleId="Byline">
    <w:name w:val="Byline"/>
    <w:rsid w:val="005A61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1D2"/>
    <w:pPr>
      <w:tabs>
        <w:tab w:val="clear" w:pos="3600"/>
        <w:tab w:val="clear" w:pos="3958"/>
      </w:tabs>
      <w:jc w:val="right"/>
    </w:pPr>
  </w:style>
  <w:style w:type="character" w:styleId="Emphasis">
    <w:name w:val="Emphasis"/>
    <w:basedOn w:val="DefaultParagraphFont"/>
    <w:qFormat/>
    <w:rsid w:val="005A61D2"/>
    <w:rPr>
      <w:i/>
    </w:rPr>
  </w:style>
  <w:style w:type="paragraph" w:styleId="Caption">
    <w:name w:val="caption"/>
    <w:basedOn w:val="BodyText"/>
    <w:next w:val="Normal"/>
    <w:qFormat/>
    <w:rsid w:val="005A61D2"/>
    <w:pPr>
      <w:framePr w:w="2268" w:hSpace="181" w:vSpace="181" w:wrap="around" w:vAnchor="text" w:hAnchor="page" w:x="1135" w:y="285" w:anchorLock="1"/>
    </w:pPr>
    <w:rPr>
      <w:i/>
    </w:rPr>
  </w:style>
  <w:style w:type="paragraph" w:customStyle="1" w:styleId="MiniTOCTitle">
    <w:name w:val="MiniTOCTitle"/>
    <w:basedOn w:val="Heading4"/>
    <w:rsid w:val="005A61D2"/>
    <w:pPr>
      <w:spacing w:before="240"/>
      <w:outlineLvl w:val="9"/>
    </w:pPr>
    <w:rPr>
      <w:noProof/>
      <w:sz w:val="24"/>
    </w:rPr>
  </w:style>
  <w:style w:type="paragraph" w:customStyle="1" w:styleId="MiniTOCItem">
    <w:name w:val="MiniTOCItem"/>
    <w:basedOn w:val="ListBullet"/>
    <w:rsid w:val="005A61D2"/>
    <w:pPr>
      <w:numPr>
        <w:numId w:val="0"/>
      </w:numPr>
      <w:tabs>
        <w:tab w:val="right" w:leader="dot" w:pos="6521"/>
      </w:tabs>
      <w:spacing w:before="0" w:after="0"/>
    </w:pPr>
  </w:style>
  <w:style w:type="paragraph" w:customStyle="1" w:styleId="TOFTitle">
    <w:name w:val="TOFTitle"/>
    <w:basedOn w:val="TOCTitle"/>
    <w:rsid w:val="005A61D2"/>
  </w:style>
  <w:style w:type="paragraph" w:styleId="TableofFigures">
    <w:name w:val="table of figures"/>
    <w:basedOn w:val="Normal"/>
    <w:next w:val="Normal"/>
    <w:semiHidden/>
    <w:rsid w:val="005A61D2"/>
    <w:pPr>
      <w:tabs>
        <w:tab w:val="right" w:leader="dot" w:pos="9072"/>
      </w:tabs>
      <w:ind w:left="970" w:hanging="403"/>
    </w:pPr>
    <w:rPr>
      <w:rFonts w:ascii="Times New Roman" w:hAnsi="Times New Roman"/>
      <w:b/>
    </w:rPr>
  </w:style>
  <w:style w:type="paragraph" w:styleId="ListNumber">
    <w:name w:val="List Number"/>
    <w:basedOn w:val="List"/>
    <w:rsid w:val="005A61D2"/>
    <w:pPr>
      <w:numPr>
        <w:numId w:val="10"/>
      </w:numPr>
    </w:pPr>
  </w:style>
  <w:style w:type="character" w:customStyle="1" w:styleId="WingdingSymbols">
    <w:name w:val="Wingding Symbols"/>
    <w:rsid w:val="005A61D2"/>
    <w:rPr>
      <w:rFonts w:ascii="Wingdings" w:hAnsi="Wingdings"/>
    </w:rPr>
  </w:style>
  <w:style w:type="paragraph" w:customStyle="1" w:styleId="TableHeading">
    <w:name w:val="Table Heading"/>
    <w:basedOn w:val="HeadingBase"/>
    <w:rsid w:val="005A61D2"/>
    <w:pPr>
      <w:keepLines/>
      <w:pBdr>
        <w:bottom w:val="single" w:sz="6" w:space="1" w:color="918585"/>
      </w:pBdr>
      <w:spacing w:before="240"/>
    </w:pPr>
  </w:style>
  <w:style w:type="character" w:customStyle="1" w:styleId="HotSpot">
    <w:name w:val="HotSpot"/>
    <w:rsid w:val="005A61D2"/>
    <w:rPr>
      <w:color w:val="0033CC"/>
      <w:u w:val="none"/>
    </w:rPr>
  </w:style>
  <w:style w:type="paragraph" w:customStyle="1" w:styleId="BodyTextRight">
    <w:name w:val="Body Text Right"/>
    <w:basedOn w:val="BodyText"/>
    <w:rsid w:val="005A61D2"/>
    <w:pPr>
      <w:spacing w:before="0" w:after="0"/>
      <w:jc w:val="right"/>
    </w:pPr>
  </w:style>
  <w:style w:type="paragraph" w:styleId="Index3">
    <w:name w:val="index 3"/>
    <w:basedOn w:val="ListNumber2"/>
    <w:next w:val="Normal"/>
    <w:semiHidden/>
    <w:rsid w:val="005A61D2"/>
    <w:pPr>
      <w:numPr>
        <w:numId w:val="0"/>
      </w:numPr>
      <w:tabs>
        <w:tab w:val="right" w:leader="dot" w:pos="4176"/>
      </w:tabs>
    </w:pPr>
  </w:style>
  <w:style w:type="paragraph" w:styleId="ListNumber2">
    <w:name w:val="List Number 2"/>
    <w:basedOn w:val="List2"/>
    <w:rsid w:val="005A61D2"/>
    <w:pPr>
      <w:numPr>
        <w:numId w:val="9"/>
      </w:numPr>
      <w:tabs>
        <w:tab w:val="clear" w:pos="1060"/>
      </w:tabs>
    </w:pPr>
  </w:style>
  <w:style w:type="paragraph" w:customStyle="1" w:styleId="MarginNote">
    <w:name w:val="Margin Note"/>
    <w:basedOn w:val="BodyText"/>
    <w:rsid w:val="005A61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1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1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61D2"/>
    <w:rPr>
      <w:sz w:val="32"/>
    </w:rPr>
  </w:style>
  <w:style w:type="paragraph" w:customStyle="1" w:styleId="HeadingProcedure">
    <w:name w:val="Heading Procedure"/>
    <w:basedOn w:val="HeadingBase"/>
    <w:next w:val="Normal"/>
    <w:rsid w:val="005A61D2"/>
    <w:pPr>
      <w:tabs>
        <w:tab w:val="left" w:pos="0"/>
      </w:tabs>
      <w:spacing w:before="120" w:after="60"/>
    </w:pPr>
    <w:rPr>
      <w:i/>
      <w:color w:val="918585"/>
      <w:sz w:val="22"/>
    </w:rPr>
  </w:style>
  <w:style w:type="paragraph" w:customStyle="1" w:styleId="TableBodyText">
    <w:name w:val="Table Body Text"/>
    <w:basedOn w:val="BodyText"/>
    <w:rsid w:val="005A61D2"/>
    <w:pPr>
      <w:spacing w:before="60" w:after="60"/>
    </w:pPr>
  </w:style>
  <w:style w:type="paragraph" w:styleId="ListContinue">
    <w:name w:val="List Continue"/>
    <w:basedOn w:val="List"/>
    <w:rsid w:val="005A61D2"/>
    <w:pPr>
      <w:ind w:firstLine="0"/>
    </w:pPr>
  </w:style>
  <w:style w:type="paragraph" w:customStyle="1" w:styleId="ListNote">
    <w:name w:val="List Note"/>
    <w:basedOn w:val="List"/>
    <w:rsid w:val="005A61D2"/>
    <w:pPr>
      <w:pBdr>
        <w:top w:val="single" w:sz="6" w:space="2" w:color="918585"/>
        <w:bottom w:val="single" w:sz="6" w:space="2" w:color="918585"/>
      </w:pBdr>
      <w:tabs>
        <w:tab w:val="left" w:pos="1021"/>
      </w:tabs>
      <w:ind w:firstLine="0"/>
    </w:pPr>
  </w:style>
  <w:style w:type="paragraph" w:customStyle="1" w:styleId="Warning">
    <w:name w:val="Warning"/>
    <w:basedOn w:val="BodyText"/>
    <w:rsid w:val="005A61D2"/>
    <w:pPr>
      <w:shd w:val="clear" w:color="auto" w:fill="D9D9D9"/>
      <w:tabs>
        <w:tab w:val="left" w:pos="992"/>
      </w:tabs>
      <w:ind w:left="119" w:right="119"/>
    </w:pPr>
    <w:rPr>
      <w:sz w:val="20"/>
    </w:rPr>
  </w:style>
  <w:style w:type="paragraph" w:customStyle="1" w:styleId="MarginIcons">
    <w:name w:val="Margin Icons"/>
    <w:basedOn w:val="BodyText"/>
    <w:rsid w:val="005A61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1D2"/>
    <w:rPr>
      <w:rFonts w:ascii="Courier New" w:hAnsi="Courier New"/>
    </w:rPr>
  </w:style>
  <w:style w:type="paragraph" w:customStyle="1" w:styleId="NoteBullet">
    <w:name w:val="Note Bullet"/>
    <w:basedOn w:val="Note"/>
    <w:rsid w:val="005A61D2"/>
    <w:pPr>
      <w:tabs>
        <w:tab w:val="clear" w:pos="680"/>
      </w:tabs>
      <w:spacing w:before="60" w:after="60"/>
    </w:pPr>
  </w:style>
  <w:style w:type="paragraph" w:customStyle="1" w:styleId="SubHeading2">
    <w:name w:val="SubHeading2"/>
    <w:basedOn w:val="HeadingBase"/>
    <w:rsid w:val="005A61D2"/>
    <w:pPr>
      <w:spacing w:before="240" w:after="60"/>
    </w:pPr>
    <w:rPr>
      <w:sz w:val="20"/>
    </w:rPr>
  </w:style>
  <w:style w:type="paragraph" w:customStyle="1" w:styleId="SubHeading1">
    <w:name w:val="SubHeading1"/>
    <w:basedOn w:val="HeadingBase"/>
    <w:rsid w:val="005A61D2"/>
    <w:pPr>
      <w:spacing w:before="240" w:after="60"/>
    </w:pPr>
    <w:rPr>
      <w:color w:val="918585"/>
      <w:sz w:val="22"/>
    </w:rPr>
  </w:style>
  <w:style w:type="paragraph" w:customStyle="1" w:styleId="SideHeading">
    <w:name w:val="Side Heading"/>
    <w:basedOn w:val="HeadingBase"/>
    <w:rsid w:val="005A61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1D2"/>
    <w:pPr>
      <w:tabs>
        <w:tab w:val="num" w:pos="360"/>
      </w:tabs>
    </w:pPr>
  </w:style>
  <w:style w:type="paragraph" w:styleId="PlainText">
    <w:name w:val="Plain Text"/>
    <w:basedOn w:val="Normal"/>
    <w:link w:val="PlainTextChar"/>
    <w:rsid w:val="005A61D2"/>
    <w:rPr>
      <w:sz w:val="20"/>
    </w:rPr>
  </w:style>
  <w:style w:type="character" w:customStyle="1" w:styleId="PlainTextChar">
    <w:name w:val="Plain Text Char"/>
    <w:basedOn w:val="DefaultParagraphFont"/>
    <w:link w:val="PlainText"/>
    <w:rsid w:val="005A61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61D2"/>
    <w:rPr>
      <w:b/>
      <w:smallCaps/>
    </w:rPr>
  </w:style>
  <w:style w:type="paragraph" w:customStyle="1" w:styleId="TableListNumber">
    <w:name w:val="Table List Number"/>
    <w:basedOn w:val="ListNumber"/>
    <w:rsid w:val="005A61D2"/>
    <w:pPr>
      <w:numPr>
        <w:numId w:val="0"/>
      </w:numPr>
    </w:pPr>
  </w:style>
  <w:style w:type="paragraph" w:styleId="TOC4">
    <w:name w:val="toc 4"/>
    <w:basedOn w:val="TOCBase"/>
    <w:next w:val="Normal"/>
    <w:semiHidden/>
    <w:rsid w:val="005A61D2"/>
    <w:pPr>
      <w:tabs>
        <w:tab w:val="right" w:leader="dot" w:pos="9071"/>
      </w:tabs>
      <w:ind w:left="1701"/>
    </w:pPr>
  </w:style>
  <w:style w:type="paragraph" w:customStyle="1" w:styleId="ListAlpha">
    <w:name w:val="List Alpha"/>
    <w:basedOn w:val="List"/>
    <w:rsid w:val="005A61D2"/>
    <w:pPr>
      <w:numPr>
        <w:numId w:val="8"/>
      </w:numPr>
    </w:pPr>
  </w:style>
  <w:style w:type="paragraph" w:customStyle="1" w:styleId="ListAlpha2">
    <w:name w:val="List Alpha 2"/>
    <w:basedOn w:val="List2"/>
    <w:rsid w:val="005A61D2"/>
    <w:pPr>
      <w:numPr>
        <w:numId w:val="7"/>
      </w:numPr>
    </w:pPr>
  </w:style>
  <w:style w:type="paragraph" w:styleId="List3">
    <w:name w:val="List 3"/>
    <w:basedOn w:val="BodyText"/>
    <w:rsid w:val="005A61D2"/>
    <w:pPr>
      <w:tabs>
        <w:tab w:val="left" w:pos="1021"/>
      </w:tabs>
      <w:spacing w:before="60" w:after="60"/>
      <w:ind w:left="1020" w:hanging="340"/>
    </w:pPr>
  </w:style>
  <w:style w:type="paragraph" w:styleId="List4">
    <w:name w:val="List 4"/>
    <w:basedOn w:val="BodyText"/>
    <w:rsid w:val="005A61D2"/>
    <w:pPr>
      <w:tabs>
        <w:tab w:val="left" w:pos="1361"/>
      </w:tabs>
      <w:spacing w:before="60" w:after="60"/>
      <w:ind w:left="1361" w:hanging="340"/>
    </w:pPr>
  </w:style>
  <w:style w:type="paragraph" w:styleId="List5">
    <w:name w:val="List 5"/>
    <w:basedOn w:val="BodyText"/>
    <w:rsid w:val="005A61D2"/>
    <w:pPr>
      <w:tabs>
        <w:tab w:val="left" w:pos="1701"/>
      </w:tabs>
      <w:spacing w:before="60" w:after="60"/>
      <w:ind w:left="1701" w:hanging="340"/>
    </w:pPr>
  </w:style>
  <w:style w:type="paragraph" w:styleId="ListBullet3">
    <w:name w:val="List Bullet 3"/>
    <w:basedOn w:val="List3"/>
    <w:rsid w:val="005A61D2"/>
    <w:pPr>
      <w:numPr>
        <w:numId w:val="14"/>
      </w:numPr>
      <w:tabs>
        <w:tab w:val="clear" w:pos="1021"/>
      </w:tabs>
      <w:ind w:left="1037" w:hanging="357"/>
    </w:pPr>
  </w:style>
  <w:style w:type="paragraph" w:styleId="ListBullet4">
    <w:name w:val="List Bullet 4"/>
    <w:basedOn w:val="List4"/>
    <w:rsid w:val="005A61D2"/>
    <w:pPr>
      <w:numPr>
        <w:numId w:val="2"/>
      </w:numPr>
    </w:pPr>
  </w:style>
  <w:style w:type="paragraph" w:styleId="ListBullet5">
    <w:name w:val="List Bullet 5"/>
    <w:basedOn w:val="List5"/>
    <w:rsid w:val="005A61D2"/>
    <w:pPr>
      <w:numPr>
        <w:numId w:val="3"/>
      </w:numPr>
    </w:pPr>
  </w:style>
  <w:style w:type="paragraph" w:styleId="ListContinue2">
    <w:name w:val="List Continue 2"/>
    <w:basedOn w:val="List2"/>
    <w:rsid w:val="005A61D2"/>
    <w:pPr>
      <w:ind w:firstLine="0"/>
    </w:pPr>
  </w:style>
  <w:style w:type="paragraph" w:styleId="ListContinue3">
    <w:name w:val="List Continue 3"/>
    <w:basedOn w:val="List3"/>
    <w:rsid w:val="005A61D2"/>
    <w:pPr>
      <w:ind w:left="1021" w:firstLine="0"/>
    </w:pPr>
  </w:style>
  <w:style w:type="paragraph" w:styleId="ListContinue4">
    <w:name w:val="List Continue 4"/>
    <w:basedOn w:val="List4"/>
    <w:rsid w:val="005A61D2"/>
    <w:pPr>
      <w:ind w:firstLine="0"/>
    </w:pPr>
  </w:style>
  <w:style w:type="paragraph" w:styleId="ListContinue5">
    <w:name w:val="List Continue 5"/>
    <w:basedOn w:val="List5"/>
    <w:rsid w:val="005A61D2"/>
    <w:pPr>
      <w:ind w:firstLine="0"/>
    </w:pPr>
  </w:style>
  <w:style w:type="paragraph" w:styleId="ListNumber3">
    <w:name w:val="List Number 3"/>
    <w:basedOn w:val="List3"/>
    <w:rsid w:val="005A61D2"/>
    <w:pPr>
      <w:numPr>
        <w:numId w:val="4"/>
      </w:numPr>
    </w:pPr>
  </w:style>
  <w:style w:type="paragraph" w:styleId="ListNumber4">
    <w:name w:val="List Number 4"/>
    <w:basedOn w:val="List4"/>
    <w:rsid w:val="005A61D2"/>
    <w:pPr>
      <w:numPr>
        <w:numId w:val="5"/>
      </w:numPr>
    </w:pPr>
  </w:style>
  <w:style w:type="paragraph" w:styleId="ListNumber5">
    <w:name w:val="List Number 5"/>
    <w:basedOn w:val="List5"/>
    <w:rsid w:val="005A61D2"/>
    <w:pPr>
      <w:numPr>
        <w:numId w:val="6"/>
      </w:numPr>
    </w:pPr>
  </w:style>
  <w:style w:type="paragraph" w:styleId="BlockText">
    <w:name w:val="Block Text"/>
    <w:basedOn w:val="Normal"/>
    <w:rsid w:val="005A61D2"/>
    <w:pPr>
      <w:spacing w:after="120"/>
      <w:ind w:left="1440" w:right="1440"/>
    </w:pPr>
  </w:style>
  <w:style w:type="character" w:customStyle="1" w:styleId="Subscript">
    <w:name w:val="Subscript"/>
    <w:basedOn w:val="DefaultParagraphFont"/>
    <w:rsid w:val="005A61D2"/>
    <w:rPr>
      <w:sz w:val="16"/>
      <w:vertAlign w:val="subscript"/>
    </w:rPr>
  </w:style>
  <w:style w:type="character" w:customStyle="1" w:styleId="Superscript">
    <w:name w:val="Superscript"/>
    <w:basedOn w:val="DefaultParagraphFont"/>
    <w:rsid w:val="005A61D2"/>
    <w:rPr>
      <w:sz w:val="16"/>
      <w:vertAlign w:val="superscript"/>
    </w:rPr>
  </w:style>
  <w:style w:type="character" w:customStyle="1" w:styleId="Symbols">
    <w:name w:val="Symbols"/>
    <w:basedOn w:val="DefaultParagraphFont"/>
    <w:rsid w:val="005A61D2"/>
    <w:rPr>
      <w:rFonts w:ascii="Symbol" w:hAnsi="Symbol"/>
    </w:rPr>
  </w:style>
  <w:style w:type="character" w:customStyle="1" w:styleId="MenuOptions">
    <w:name w:val="Menu Options"/>
    <w:basedOn w:val="DefaultParagraphFont"/>
    <w:rsid w:val="005A61D2"/>
    <w:rPr>
      <w:rFonts w:ascii="Arial Narrow" w:hAnsi="Arial Narrow"/>
      <w:smallCaps/>
    </w:rPr>
  </w:style>
  <w:style w:type="character" w:customStyle="1" w:styleId="Buttons">
    <w:name w:val="Buttons"/>
    <w:basedOn w:val="DefaultParagraphFont"/>
    <w:rsid w:val="005A61D2"/>
    <w:rPr>
      <w:b/>
    </w:rPr>
  </w:style>
  <w:style w:type="character" w:customStyle="1" w:styleId="Underlined">
    <w:name w:val="Underlined"/>
    <w:basedOn w:val="DefaultParagraphFont"/>
    <w:rsid w:val="005A61D2"/>
    <w:rPr>
      <w:u w:val="single"/>
    </w:rPr>
  </w:style>
  <w:style w:type="paragraph" w:customStyle="1" w:styleId="TableBodyTextRight">
    <w:name w:val="Table Body Text Right"/>
    <w:basedOn w:val="TableBodyText"/>
    <w:rsid w:val="005A61D2"/>
    <w:pPr>
      <w:widowControl w:val="0"/>
      <w:autoSpaceDE w:val="0"/>
      <w:autoSpaceDN w:val="0"/>
      <w:adjustRightInd w:val="0"/>
      <w:jc w:val="right"/>
    </w:pPr>
    <w:rPr>
      <w:rFonts w:cs="Arial"/>
      <w:szCs w:val="18"/>
    </w:rPr>
  </w:style>
  <w:style w:type="paragraph" w:customStyle="1" w:styleId="CopyrightText">
    <w:name w:val="Copyright Text"/>
    <w:basedOn w:val="BodyText"/>
    <w:rsid w:val="005A61D2"/>
    <w:rPr>
      <w:sz w:val="18"/>
    </w:rPr>
  </w:style>
  <w:style w:type="paragraph" w:customStyle="1" w:styleId="BodySmallRight">
    <w:name w:val="Body Small Right"/>
    <w:basedOn w:val="BodyTextRight"/>
    <w:rsid w:val="005A61D2"/>
    <w:rPr>
      <w:sz w:val="18"/>
      <w:szCs w:val="18"/>
    </w:rPr>
  </w:style>
  <w:style w:type="paragraph" w:customStyle="1" w:styleId="MarginEdition">
    <w:name w:val="Margin Edition"/>
    <w:basedOn w:val="MarginNote"/>
    <w:rsid w:val="005A61D2"/>
    <w:pPr>
      <w:spacing w:before="0" w:after="0"/>
    </w:pPr>
    <w:rPr>
      <w:rFonts w:ascii="Times New Roman" w:hAnsi="Times New Roman"/>
      <w:color w:val="999999"/>
    </w:rPr>
  </w:style>
  <w:style w:type="paragraph" w:customStyle="1" w:styleId="Spacer">
    <w:name w:val="Spacer"/>
    <w:basedOn w:val="Normal"/>
    <w:rsid w:val="005A61D2"/>
    <w:rPr>
      <w:sz w:val="2"/>
      <w:szCs w:val="2"/>
    </w:rPr>
  </w:style>
  <w:style w:type="character" w:customStyle="1" w:styleId="Small">
    <w:name w:val="Small"/>
    <w:basedOn w:val="DefaultParagraphFont"/>
    <w:rsid w:val="005A61D2"/>
    <w:rPr>
      <w:sz w:val="16"/>
    </w:rPr>
  </w:style>
  <w:style w:type="paragraph" w:customStyle="1" w:styleId="WideTable">
    <w:name w:val="Wide Table"/>
    <w:basedOn w:val="Normal"/>
    <w:rsid w:val="005A61D2"/>
    <w:pPr>
      <w:ind w:left="-1418"/>
    </w:pPr>
    <w:rPr>
      <w:sz w:val="2"/>
      <w:szCs w:val="2"/>
    </w:rPr>
  </w:style>
  <w:style w:type="character" w:styleId="PageNumber">
    <w:name w:val="page number"/>
    <w:basedOn w:val="DefaultParagraphFont"/>
    <w:rsid w:val="005A61D2"/>
  </w:style>
  <w:style w:type="paragraph" w:styleId="Quote">
    <w:name w:val="Quote"/>
    <w:basedOn w:val="Heading1"/>
    <w:link w:val="QuoteChar"/>
    <w:qFormat/>
    <w:rsid w:val="005A61D2"/>
    <w:rPr>
      <w:b w:val="0"/>
      <w:sz w:val="72"/>
      <w:szCs w:val="72"/>
      <w:lang w:val="en-NZ"/>
    </w:rPr>
  </w:style>
  <w:style w:type="character" w:customStyle="1" w:styleId="QuoteChar">
    <w:name w:val="Quote Char"/>
    <w:basedOn w:val="DefaultParagraphFont"/>
    <w:link w:val="Quote"/>
    <w:rsid w:val="005A61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1D2"/>
    <w:pPr>
      <w:pageBreakBefore/>
    </w:pPr>
  </w:style>
  <w:style w:type="paragraph" w:customStyle="1" w:styleId="Border">
    <w:name w:val="Border"/>
    <w:basedOn w:val="Normal"/>
    <w:qFormat/>
    <w:rsid w:val="005A61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1D2"/>
    <w:rPr>
      <w:b/>
      <w:bCs/>
      <w:i/>
      <w:iCs/>
      <w:color w:val="auto"/>
    </w:rPr>
  </w:style>
  <w:style w:type="paragraph" w:styleId="IntenseQuote">
    <w:name w:val="Intense Quote"/>
    <w:basedOn w:val="Normal"/>
    <w:next w:val="Normal"/>
    <w:link w:val="IntenseQuoteChar"/>
    <w:uiPriority w:val="30"/>
    <w:qFormat/>
    <w:rsid w:val="005A61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1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61D2"/>
    <w:rPr>
      <w:smallCaps/>
      <w:color w:val="auto"/>
      <w:u w:val="single"/>
    </w:rPr>
  </w:style>
  <w:style w:type="character" w:styleId="IntenseReference">
    <w:name w:val="Intense Reference"/>
    <w:basedOn w:val="DefaultParagraphFont"/>
    <w:uiPriority w:val="32"/>
    <w:qFormat/>
    <w:rsid w:val="005A61D2"/>
    <w:rPr>
      <w:b/>
      <w:bCs/>
      <w:smallCaps/>
      <w:color w:val="auto"/>
      <w:spacing w:val="5"/>
      <w:u w:val="single"/>
    </w:rPr>
  </w:style>
  <w:style w:type="paragraph" w:customStyle="1" w:styleId="2ColumnHeading">
    <w:name w:val="2Column Heading"/>
    <w:basedOn w:val="BodyText"/>
    <w:qFormat/>
    <w:rsid w:val="005A61D2"/>
    <w:pPr>
      <w:spacing w:after="60"/>
      <w:ind w:left="-2268"/>
    </w:pPr>
    <w:rPr>
      <w:b/>
    </w:rPr>
  </w:style>
  <w:style w:type="paragraph" w:customStyle="1" w:styleId="Heading1TOC">
    <w:name w:val="Heading1 TOC"/>
    <w:basedOn w:val="Normal"/>
    <w:qFormat/>
    <w:rsid w:val="005A61D2"/>
    <w:pPr>
      <w:spacing w:before="240" w:after="120"/>
    </w:pPr>
    <w:rPr>
      <w:rFonts w:ascii="Times New Roman" w:hAnsi="Times New Roman"/>
      <w:b/>
      <w:sz w:val="32"/>
    </w:rPr>
  </w:style>
  <w:style w:type="paragraph" w:customStyle="1" w:styleId="Heading2TOC">
    <w:name w:val="Heading2 TOC"/>
    <w:basedOn w:val="Normal"/>
    <w:qFormat/>
    <w:rsid w:val="005A61D2"/>
    <w:pPr>
      <w:spacing w:before="240" w:after="60"/>
    </w:pPr>
    <w:rPr>
      <w:rFonts w:ascii="Times New Roman" w:hAnsi="Times New Roman"/>
      <w:b/>
      <w:sz w:val="28"/>
    </w:rPr>
  </w:style>
  <w:style w:type="character" w:customStyle="1" w:styleId="Underline">
    <w:name w:val="Underline"/>
    <w:basedOn w:val="DefaultParagraphFont"/>
    <w:qFormat/>
    <w:rsid w:val="005A61D2"/>
    <w:rPr>
      <w:u w:val="single"/>
    </w:rPr>
  </w:style>
  <w:style w:type="paragraph" w:styleId="BalloonText">
    <w:name w:val="Balloon Text"/>
    <w:basedOn w:val="Normal"/>
    <w:link w:val="BalloonTextChar"/>
    <w:rsid w:val="005A61D2"/>
    <w:rPr>
      <w:rFonts w:ascii="Tahoma" w:hAnsi="Tahoma" w:cs="Tahoma"/>
      <w:sz w:val="16"/>
      <w:szCs w:val="16"/>
    </w:rPr>
  </w:style>
  <w:style w:type="character" w:customStyle="1" w:styleId="BalloonTextChar">
    <w:name w:val="Balloon Text Char"/>
    <w:basedOn w:val="DefaultParagraphFont"/>
    <w:link w:val="BalloonText"/>
    <w:rsid w:val="005A61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61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61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1375</Words>
  <Characters>8437</Characters>
  <Application>Microsoft Office Word</Application>
  <DocSecurity>0</DocSecurity>
  <Lines>318</Lines>
  <Paragraphs>155</Paragraphs>
  <ScaleCrop>false</ScaleCrop>
  <Company>Author-it Software Corporation Ltd.</Company>
  <LinksUpToDate>false</LinksUpToDate>
  <CharactersWithSpaces>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CPCCCM2011A Carry out tilt-up work safely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2012-05-26T05:25:00Z</dcterms:created>
  <dcterms:modified xsi:type="dcterms:W3CDTF">2012-05-26T05:25:00Z</dcterms:modified>
</cp:coreProperties>
</file>