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603" w:rsidP="009A6603">
      <w:pPr>
        <w:pStyle w:val="Title"/>
      </w:pPr>
      <w:r>
        <w:fldChar w:fldCharType="begin"/>
      </w:r>
      <w:r>
        <w:instrText xml:space="preserve"> TITLE   \* MERGEFORMAT </w:instrText>
      </w:r>
      <w:r>
        <w:fldChar w:fldCharType="separate"/>
      </w:r>
      <w:r>
        <w:t>CPCCCM2003B Calculate and cost construction work</w:t>
      </w:r>
      <w:r>
        <w:fldChar w:fldCharType="end"/>
      </w:r>
    </w:p>
    <w:p w:rsidR="009A6603" w:rsidP="009A6603">
      <w:pPr>
        <w:pStyle w:val="Version"/>
        <w:sectPr w:rsidSect="00004C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C4D" w:rsidP="00004C4D">
      <w:pPr>
        <w:pStyle w:val="SuperHeading"/>
      </w:pPr>
      <w:r w:rsidRPr="00004C4D">
        <w:t>CPCCCM2003B Calculate and cost construction work</w:t>
      </w:r>
    </w:p>
    <w:p w:rsidR="00000000" w:rsidRPr="00004C4D" w:rsidP="00004C4D">
      <w:pPr>
        <w:pStyle w:val="Heading1"/>
      </w:pPr>
      <w:bookmarkStart w:id="1" w:name="O_269530"/>
      <w:bookmarkEnd w:id="1"/>
      <w:r w:rsidRPr="00004C4D">
        <w:t>Modification History</w:t>
      </w:r>
    </w:p>
    <w:p w:rsidR="00000000" w:rsidRPr="00004C4D" w:rsidP="00004C4D">
      <w:pPr>
        <w:pStyle w:val="BodyText"/>
      </w:pPr>
      <w:r w:rsidRPr="00004C4D">
        <w:t>Not Applicable</w:t>
      </w:r>
    </w:p>
    <w:p w:rsidR="00000000" w:rsidRPr="00004C4D" w:rsidP="00004C4D">
      <w:pPr>
        <w:pStyle w:val="AllowPageBreak"/>
      </w:pPr>
    </w:p>
    <w:p w:rsidR="00000000" w:rsidRPr="00004C4D" w:rsidP="00004C4D">
      <w:pPr>
        <w:pStyle w:val="Heading1"/>
      </w:pPr>
      <w:bookmarkStart w:id="2" w:name="O_197570"/>
      <w:bookmarkEnd w:id="2"/>
      <w:r w:rsidRPr="00004C4D">
        <w:t>Unit Descriptor</w:t>
      </w:r>
    </w:p>
    <w:tbl>
      <w:tblPr>
        <w:tblW w:w="0" w:type="auto"/>
        <w:tblLayout w:type="fixed"/>
        <w:tblCellMar>
          <w:left w:w="62" w:type="dxa"/>
          <w:right w:w="62" w:type="dxa"/>
        </w:tblCellMar>
        <w:tblLook w:val="0000"/>
      </w:tblPr>
      <w:tblGrid>
        <w:gridCol w:w="2663"/>
        <w:gridCol w:w="5859"/>
      </w:tblGrid>
      <w:tr w:rsidTr="009A6603">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004C4D" w:rsidP="00004C4D">
            <w:pPr>
              <w:pStyle w:val="BodyText"/>
            </w:pPr>
            <w:r w:rsidRPr="00004C4D">
              <w:t xml:space="preserve">This unit of competency specifies the outcomes required to estimate materials, labour and </w:t>
            </w:r>
            <w:r w:rsidRPr="00004C4D">
              <w:t>time requirements and establish costs for provision of services or products in basic construction work. It covers the gaining of information; the estimation of materials, labour and time; the calculation of costs; and the associated documentation.</w:t>
            </w:r>
          </w:p>
        </w:tc>
      </w:tr>
    </w:tbl>
    <w:p w:rsidR="009A6603" w:rsidP="00004C4D">
      <w:pPr>
        <w:pStyle w:val="BodyText"/>
      </w:pPr>
    </w:p>
    <w:p w:rsidR="009A6603" w:rsidP="00004C4D">
      <w:pPr>
        <w:pStyle w:val="BodyText"/>
      </w:pPr>
    </w:p>
    <w:p w:rsidR="00000000" w:rsidRPr="00004C4D" w:rsidP="00004C4D">
      <w:pPr>
        <w:pStyle w:val="Heading1"/>
      </w:pPr>
      <w:bookmarkStart w:id="3" w:name="O_197574"/>
      <w:bookmarkEnd w:id="3"/>
      <w:r w:rsidRPr="00004C4D">
        <w:t>Application of the Unit</w:t>
      </w:r>
    </w:p>
    <w:tbl>
      <w:tblPr>
        <w:tblW w:w="0" w:type="auto"/>
        <w:tblLayout w:type="fixed"/>
        <w:tblCellMar>
          <w:left w:w="62" w:type="dxa"/>
          <w:right w:w="62" w:type="dxa"/>
        </w:tblCellMar>
        <w:tblLook w:val="0000"/>
      </w:tblPr>
      <w:tblGrid>
        <w:gridCol w:w="2732"/>
        <w:gridCol w:w="5790"/>
      </w:tblGrid>
      <w:tr w:rsidTr="009A6603">
        <w:tblPrEx>
          <w:tblW w:w="0" w:type="auto"/>
          <w:tblLayout w:type="fixed"/>
          <w:tblCellMar>
            <w:left w:w="62" w:type="dxa"/>
            <w:right w:w="62" w:type="dxa"/>
          </w:tblCellMar>
          <w:tblLook w:val="0000"/>
        </w:tblPrEx>
        <w:trPr>
          <w:tblHeader/>
        </w:trPr>
        <w:tc>
          <w:tcPr>
            <w:tcW w:w="2732"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Application of the unit</w:t>
            </w:r>
          </w:p>
        </w:tc>
        <w:tc>
          <w:tcPr>
            <w:tcW w:w="5790" w:type="dxa"/>
            <w:tcBorders>
              <w:top w:val="nil"/>
              <w:left w:val="nil"/>
              <w:bottom w:val="nil"/>
              <w:right w:val="nil"/>
            </w:tcBorders>
            <w:tcMar>
              <w:top w:w="0" w:type="dxa"/>
              <w:left w:w="62" w:type="dxa"/>
              <w:bottom w:w="0" w:type="dxa"/>
              <w:right w:w="62" w:type="dxa"/>
            </w:tcMar>
          </w:tcPr>
          <w:p w:rsidR="00000000" w:rsidRPr="00004C4D" w:rsidP="00004C4D">
            <w:pPr>
              <w:pStyle w:val="BodyText"/>
            </w:pPr>
            <w:r w:rsidRPr="00004C4D">
              <w:t xml:space="preserve">The unit supports tradespersons and those in independent construction job roles to undertake basic costing of a minor construction job or a discrete part of a job. Site location for this work </w:t>
            </w:r>
            <w:r w:rsidRPr="00004C4D">
              <w:t xml:space="preserve">application may be either domestic or commercial. </w:t>
            </w:r>
          </w:p>
        </w:tc>
      </w:tr>
    </w:tbl>
    <w:p w:rsidR="009A6603" w:rsidP="00004C4D">
      <w:pPr>
        <w:pStyle w:val="BodyText"/>
      </w:pPr>
    </w:p>
    <w:p w:rsidR="009A6603" w:rsidP="00004C4D">
      <w:pPr>
        <w:pStyle w:val="BodyText"/>
      </w:pPr>
    </w:p>
    <w:p w:rsidR="00000000" w:rsidRPr="00004C4D" w:rsidP="00004C4D">
      <w:pPr>
        <w:pStyle w:val="Heading1"/>
      </w:pPr>
      <w:bookmarkStart w:id="4" w:name="O_277790"/>
      <w:bookmarkEnd w:id="4"/>
      <w:r w:rsidRPr="00004C4D">
        <w:t>Licensing/Regulatory Information</w:t>
      </w:r>
    </w:p>
    <w:p w:rsidR="00000000" w:rsidRPr="00004C4D" w:rsidP="00004C4D">
      <w:pPr>
        <w:pStyle w:val="BodyText"/>
      </w:pPr>
      <w:r w:rsidRPr="00004C4D">
        <w:t>Not Applicable</w:t>
      </w:r>
    </w:p>
    <w:p w:rsidR="00000000" w:rsidRPr="00004C4D" w:rsidP="00004C4D">
      <w:pPr>
        <w:pStyle w:val="AllowPageBreak"/>
      </w:pPr>
    </w:p>
    <w:p w:rsidR="00000000" w:rsidRPr="00004C4D" w:rsidP="00004C4D">
      <w:pPr>
        <w:pStyle w:val="Heading1"/>
      </w:pPr>
      <w:bookmarkStart w:id="5" w:name="O_197572"/>
      <w:bookmarkEnd w:id="5"/>
      <w:r w:rsidRPr="00004C4D">
        <w:t>Pre-Requisites</w:t>
      </w:r>
    </w:p>
    <w:tbl>
      <w:tblPr>
        <w:tblW w:w="0" w:type="auto"/>
        <w:tblLayout w:type="fixed"/>
        <w:tblCellMar>
          <w:left w:w="62" w:type="dxa"/>
          <w:right w:w="62" w:type="dxa"/>
        </w:tblCellMar>
        <w:tblLook w:val="0000"/>
      </w:tblPr>
      <w:tblGrid>
        <w:gridCol w:w="2740"/>
        <w:gridCol w:w="1317"/>
        <w:gridCol w:w="4465"/>
      </w:tblGrid>
      <w:tr w:rsidTr="009A6603">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Prerequisite units</w:t>
            </w:r>
          </w:p>
        </w:tc>
        <w:tc>
          <w:tcPr>
            <w:tcW w:w="5782" w:type="dxa"/>
            <w:gridSpan w:val="2"/>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t>Nil</w:t>
            </w:r>
          </w:p>
        </w:tc>
      </w:tr>
      <w:tr w:rsidTr="009A6603">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5"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p>
        </w:tc>
      </w:tr>
      <w:tr w:rsidTr="009A6603">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5" w:type="dxa"/>
            <w:tcBorders>
              <w:top w:val="nil"/>
              <w:left w:val="nil"/>
              <w:bottom w:val="nil"/>
              <w:right w:val="nil"/>
            </w:tcBorders>
            <w:tcMar>
              <w:top w:w="0" w:type="dxa"/>
              <w:left w:w="62" w:type="dxa"/>
              <w:bottom w:w="0" w:type="dxa"/>
              <w:right w:w="62" w:type="dxa"/>
            </w:tcMar>
          </w:tcPr>
          <w:p w:rsidR="00000000" w:rsidRPr="00004C4D" w:rsidP="00004C4D">
            <w:pPr>
              <w:pStyle w:val="BodyText"/>
            </w:pPr>
          </w:p>
        </w:tc>
      </w:tr>
    </w:tbl>
    <w:p w:rsidR="009A6603" w:rsidP="00004C4D">
      <w:pPr>
        <w:pStyle w:val="BodyText"/>
      </w:pPr>
    </w:p>
    <w:p w:rsidR="009A6603" w:rsidP="00004C4D">
      <w:pPr>
        <w:pStyle w:val="BodyText"/>
      </w:pPr>
    </w:p>
    <w:p w:rsidR="00000000" w:rsidRPr="00004C4D" w:rsidP="00004C4D">
      <w:pPr>
        <w:pStyle w:val="Heading1"/>
      </w:pPr>
      <w:bookmarkStart w:id="6" w:name="O_197571"/>
      <w:bookmarkEnd w:id="6"/>
      <w:r w:rsidRPr="00004C4D">
        <w:t>Employability Skills Information</w:t>
      </w:r>
    </w:p>
    <w:tbl>
      <w:tblPr>
        <w:tblW w:w="0" w:type="auto"/>
        <w:tblLayout w:type="fixed"/>
        <w:tblCellMar>
          <w:left w:w="62" w:type="dxa"/>
          <w:right w:w="62" w:type="dxa"/>
        </w:tblCellMar>
        <w:tblLook w:val="0000"/>
      </w:tblPr>
      <w:tblGrid>
        <w:gridCol w:w="2766"/>
        <w:gridCol w:w="5756"/>
      </w:tblGrid>
      <w:tr w:rsidTr="009A6603">
        <w:tblPrEx>
          <w:tblW w:w="0" w:type="auto"/>
          <w:tblLayout w:type="fixed"/>
          <w:tblCellMar>
            <w:left w:w="62" w:type="dxa"/>
            <w:right w:w="62" w:type="dxa"/>
          </w:tblCellMar>
          <w:tblLook w:val="0000"/>
        </w:tblPrEx>
        <w:trPr>
          <w:tblHeader/>
        </w:trPr>
        <w:tc>
          <w:tcPr>
            <w:tcW w:w="2766"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Employability skills</w:t>
            </w:r>
          </w:p>
        </w:tc>
        <w:tc>
          <w:tcPr>
            <w:tcW w:w="5756" w:type="dxa"/>
            <w:tcBorders>
              <w:top w:val="nil"/>
              <w:left w:val="nil"/>
              <w:bottom w:val="nil"/>
              <w:right w:val="nil"/>
            </w:tcBorders>
            <w:tcMar>
              <w:top w:w="0" w:type="dxa"/>
              <w:left w:w="62" w:type="dxa"/>
              <w:bottom w:w="0" w:type="dxa"/>
              <w:right w:w="62" w:type="dxa"/>
            </w:tcMar>
          </w:tcPr>
          <w:p w:rsidR="00000000" w:rsidRPr="00004C4D" w:rsidP="00004C4D">
            <w:pPr>
              <w:pStyle w:val="BodyText"/>
            </w:pPr>
            <w:r w:rsidRPr="00004C4D">
              <w:t>This unit contains employability skills.</w:t>
            </w:r>
          </w:p>
        </w:tc>
      </w:tr>
    </w:tbl>
    <w:p w:rsidR="009A6603" w:rsidP="00004C4D">
      <w:pPr>
        <w:pStyle w:val="BodyText"/>
      </w:pPr>
    </w:p>
    <w:p w:rsidR="009A6603" w:rsidP="00004C4D">
      <w:pPr>
        <w:pStyle w:val="BodyText"/>
      </w:pPr>
    </w:p>
    <w:p w:rsidR="00000000" w:rsidRPr="00004C4D" w:rsidP="00004C4D">
      <w:pPr>
        <w:pStyle w:val="Heading1"/>
      </w:pPr>
      <w:bookmarkStart w:id="7" w:name="O_287576"/>
      <w:bookmarkEnd w:id="7"/>
      <w:r w:rsidRPr="00004C4D">
        <w:t>Elements and Performance Criteria Pre-Content</w:t>
      </w:r>
    </w:p>
    <w:tbl>
      <w:tblPr>
        <w:tblW w:w="0" w:type="auto"/>
        <w:tblLayout w:type="fixed"/>
        <w:tblCellMar>
          <w:left w:w="62" w:type="dxa"/>
          <w:right w:w="62" w:type="dxa"/>
        </w:tblCellMar>
        <w:tblLook w:val="0000"/>
      </w:tblPr>
      <w:tblGrid>
        <w:gridCol w:w="2576"/>
        <w:gridCol w:w="5946"/>
      </w:tblGrid>
      <w:tr w:rsidTr="009A6603">
        <w:tblPrEx>
          <w:tblW w:w="0" w:type="auto"/>
          <w:tblLayout w:type="fixed"/>
          <w:tblCellMar>
            <w:left w:w="62" w:type="dxa"/>
            <w:right w:w="62" w:type="dxa"/>
          </w:tblCellMar>
          <w:tblLook w:val="0000"/>
        </w:tblPrEx>
        <w:tc>
          <w:tcPr>
            <w:tcW w:w="2576" w:type="dxa"/>
            <w:tcBorders>
              <w:top w:val="single" w:sz="6" w:space="0" w:color="auto"/>
              <w:left w:val="nil"/>
              <w:bottom w:val="nil"/>
              <w:right w:val="nil"/>
            </w:tcBorders>
            <w:tcMar>
              <w:top w:w="0" w:type="dxa"/>
              <w:left w:w="62" w:type="dxa"/>
              <w:bottom w:w="0" w:type="dxa"/>
              <w:right w:w="62" w:type="dxa"/>
            </w:tcMar>
          </w:tcPr>
          <w:p w:rsidR="00000000" w:rsidP="00004C4D">
            <w:pPr>
              <w:pStyle w:val="BodyText"/>
              <w:rPr>
                <w:lang w:val="en-NZ"/>
              </w:rPr>
            </w:pPr>
            <w:r w:rsidRPr="00004C4D">
              <w:t>Elements describe the essential outcomes of a unit of competency.</w:t>
            </w:r>
          </w:p>
        </w:tc>
        <w:tc>
          <w:tcPr>
            <w:tcW w:w="5946" w:type="dxa"/>
            <w:tcBorders>
              <w:top w:val="single" w:sz="6" w:space="0" w:color="auto"/>
              <w:left w:val="nil"/>
              <w:bottom w:val="nil"/>
              <w:right w:val="nil"/>
            </w:tcBorders>
            <w:tcMar>
              <w:top w:w="0" w:type="dxa"/>
              <w:left w:w="62" w:type="dxa"/>
              <w:bottom w:w="0" w:type="dxa"/>
              <w:right w:w="62" w:type="dxa"/>
            </w:tcMar>
          </w:tcPr>
          <w:p w:rsidR="00000000" w:rsidRPr="00004C4D" w:rsidP="00004C4D">
            <w:pPr>
              <w:pStyle w:val="BodyText"/>
            </w:pPr>
            <w:r w:rsidRPr="00004C4D">
              <w:t>Performance criteria describe the performance needed to demonstrate achievement of</w:t>
            </w:r>
            <w:r w:rsidRPr="00004C4D">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004C4D" w:rsidP="00004C4D">
      <w:pPr>
        <w:pStyle w:val="BodyText"/>
      </w:pPr>
    </w:p>
    <w:p w:rsidR="00000000" w:rsidRPr="00004C4D" w:rsidP="00004C4D">
      <w:pPr>
        <w:pStyle w:val="AllowPageBreak"/>
      </w:pPr>
    </w:p>
    <w:p w:rsidR="00000000" w:rsidRPr="00004C4D" w:rsidP="00004C4D">
      <w:pPr>
        <w:pStyle w:val="Heading1"/>
      </w:pPr>
      <w:bookmarkStart w:id="8" w:name="O_234243"/>
      <w:bookmarkEnd w:id="8"/>
      <w:r w:rsidRPr="00004C4D">
        <w:t>Elements and P</w:t>
      </w:r>
      <w:r w:rsidRPr="00004C4D">
        <w:t>erformance Criteria</w:t>
      </w:r>
    </w:p>
    <w:tbl>
      <w:tblPr>
        <w:tblW w:w="0" w:type="auto"/>
        <w:tblLayout w:type="fixed"/>
        <w:tblCellMar>
          <w:left w:w="62" w:type="dxa"/>
          <w:right w:w="62" w:type="dxa"/>
        </w:tblCellMar>
        <w:tblLook w:val="0000"/>
      </w:tblPr>
      <w:tblGrid>
        <w:gridCol w:w="2576"/>
        <w:gridCol w:w="5946"/>
      </w:tblGrid>
      <w:tr w:rsidTr="009A6603">
        <w:tblPrEx>
          <w:tblW w:w="0" w:type="auto"/>
          <w:tblLayout w:type="fixed"/>
          <w:tblCellMar>
            <w:left w:w="62" w:type="dxa"/>
            <w:right w:w="62" w:type="dxa"/>
          </w:tblCellMar>
          <w:tblLook w:val="0000"/>
        </w:tblPrEx>
        <w:trPr>
          <w:tblHeader/>
        </w:trPr>
        <w:tc>
          <w:tcPr>
            <w:tcW w:w="2576" w:type="dxa"/>
            <w:tcBorders>
              <w:top w:val="nil"/>
              <w:left w:val="nil"/>
              <w:bottom w:val="single" w:sz="6" w:space="0" w:color="auto"/>
              <w:right w:val="nil"/>
            </w:tcBorders>
            <w:tcMar>
              <w:top w:w="0" w:type="dxa"/>
              <w:left w:w="62" w:type="dxa"/>
              <w:bottom w:w="0" w:type="dxa"/>
              <w:right w:w="62" w:type="dxa"/>
            </w:tcMar>
          </w:tcPr>
          <w:p w:rsidR="00000000" w:rsidRPr="00004C4D" w:rsidP="00004C4D">
            <w:pPr>
              <w:pStyle w:val="BodyText"/>
            </w:pPr>
            <w:r w:rsidRPr="00004C4D">
              <w:rPr>
                <w:rStyle w:val="SpecialBold"/>
              </w:rPr>
              <w:t>ELEMENT</w:t>
            </w:r>
          </w:p>
        </w:tc>
        <w:tc>
          <w:tcPr>
            <w:tcW w:w="5946" w:type="dxa"/>
            <w:tcBorders>
              <w:top w:val="nil"/>
              <w:left w:val="nil"/>
              <w:bottom w:val="single" w:sz="6" w:space="0" w:color="auto"/>
              <w:right w:val="nil"/>
            </w:tcBorders>
            <w:tcMar>
              <w:top w:w="0" w:type="dxa"/>
              <w:left w:w="62" w:type="dxa"/>
              <w:bottom w:w="0" w:type="dxa"/>
              <w:right w:w="62" w:type="dxa"/>
            </w:tcMar>
          </w:tcPr>
          <w:p w:rsidR="00000000" w:rsidP="00004C4D">
            <w:pPr>
              <w:pStyle w:val="BodyText"/>
              <w:rPr>
                <w:lang w:val="en-NZ"/>
              </w:rPr>
            </w:pPr>
            <w:r w:rsidRPr="00004C4D">
              <w:rPr>
                <w:rStyle w:val="SpecialBold"/>
              </w:rPr>
              <w:t>PERFORMANCE CRITERIA</w:t>
            </w:r>
          </w:p>
        </w:tc>
      </w:tr>
      <w:tr w:rsidTr="009A660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004C4D">
            <w:pPr>
              <w:pStyle w:val="List"/>
              <w:rPr>
                <w:lang w:val="en-NZ"/>
              </w:rPr>
            </w:pPr>
            <w:r w:rsidRPr="00004C4D">
              <w:t>1.</w:t>
            </w:r>
            <w:r w:rsidRPr="00004C4D">
              <w:tab/>
              <w:t>Gather information.</w:t>
            </w:r>
          </w:p>
        </w:tc>
        <w:tc>
          <w:tcPr>
            <w:tcW w:w="5946" w:type="dxa"/>
            <w:tcBorders>
              <w:top w:val="nil"/>
              <w:left w:val="nil"/>
              <w:bottom w:val="nil"/>
              <w:right w:val="nil"/>
            </w:tcBorders>
            <w:tcMar>
              <w:top w:w="0" w:type="dxa"/>
              <w:left w:w="62" w:type="dxa"/>
              <w:bottom w:w="0" w:type="dxa"/>
              <w:right w:w="62" w:type="dxa"/>
            </w:tcMar>
          </w:tcPr>
          <w:p w:rsidR="00000000" w:rsidRPr="00004C4D" w:rsidP="00004C4D">
            <w:pPr>
              <w:pStyle w:val="List2"/>
            </w:pPr>
            <w:r w:rsidRPr="00004C4D">
              <w:t>1.1.</w:t>
            </w:r>
            <w:r w:rsidRPr="00004C4D">
              <w:tab/>
              <w:t>Details of requirements are obtained and understood through discussion with customer or from information supplied.</w:t>
            </w:r>
          </w:p>
          <w:p w:rsidR="00000000" w:rsidRPr="00004C4D" w:rsidP="00004C4D">
            <w:pPr>
              <w:pStyle w:val="List2"/>
            </w:pPr>
            <w:r w:rsidRPr="00004C4D">
              <w:t>1.2.</w:t>
            </w:r>
            <w:r w:rsidRPr="00004C4D">
              <w:tab/>
            </w:r>
            <w:r w:rsidRPr="00004C4D">
              <w:rPr>
                <w:rStyle w:val="BoldandItalics"/>
              </w:rPr>
              <w:t>Plans and specifications</w:t>
            </w:r>
            <w:r w:rsidRPr="00004C4D">
              <w:t xml:space="preserve"> are accessed and site is inspected to confirm full requirements. </w:t>
            </w:r>
          </w:p>
          <w:p w:rsidR="00000000" w:rsidRPr="00004C4D" w:rsidP="00004C4D">
            <w:pPr>
              <w:pStyle w:val="List2"/>
            </w:pPr>
            <w:r w:rsidRPr="00004C4D">
              <w:t>1.3.</w:t>
            </w:r>
            <w:r w:rsidRPr="00004C4D">
              <w:tab/>
              <w:t>Details of products and services to be provided are developed and checked for availability and as fit for purpose.</w:t>
            </w:r>
          </w:p>
          <w:p w:rsidR="00000000" w:rsidRPr="00004C4D" w:rsidP="00004C4D">
            <w:pPr>
              <w:pStyle w:val="List2"/>
            </w:pPr>
            <w:r w:rsidRPr="00004C4D">
              <w:t>1.4.</w:t>
            </w:r>
            <w:r w:rsidRPr="00004C4D">
              <w:tab/>
              <w:t>Delivery point and methods of transportation are determined wher</w:t>
            </w:r>
            <w:r w:rsidRPr="00004C4D">
              <w:t>e necessary.</w:t>
            </w:r>
          </w:p>
          <w:p w:rsidR="00000000" w:rsidP="00004C4D">
            <w:pPr>
              <w:pStyle w:val="List2"/>
              <w:rPr>
                <w:lang w:val="en-NZ"/>
              </w:rPr>
            </w:pPr>
            <w:r w:rsidRPr="00004C4D">
              <w:t>1.5.</w:t>
            </w:r>
            <w:r w:rsidRPr="00004C4D">
              <w:tab/>
              <w:t>Details are accurately recorded and checked in accordance with workplace procedures.</w:t>
            </w:r>
          </w:p>
        </w:tc>
      </w:tr>
      <w:tr w:rsidTr="009A660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004C4D">
            <w:pPr>
              <w:pStyle w:val="List"/>
              <w:rPr>
                <w:lang w:val="en-NZ"/>
              </w:rPr>
            </w:pPr>
            <w:r w:rsidRPr="00004C4D">
              <w:t>2.</w:t>
            </w:r>
            <w:r w:rsidRPr="00004C4D">
              <w:tab/>
              <w:t>Estimate materials, labour and time.</w:t>
            </w:r>
          </w:p>
        </w:tc>
        <w:tc>
          <w:tcPr>
            <w:tcW w:w="5946" w:type="dxa"/>
            <w:tcBorders>
              <w:top w:val="nil"/>
              <w:left w:val="nil"/>
              <w:bottom w:val="nil"/>
              <w:right w:val="nil"/>
            </w:tcBorders>
            <w:tcMar>
              <w:top w:w="0" w:type="dxa"/>
              <w:left w:w="62" w:type="dxa"/>
              <w:bottom w:w="0" w:type="dxa"/>
              <w:right w:w="62" w:type="dxa"/>
            </w:tcMar>
          </w:tcPr>
          <w:p w:rsidR="00000000" w:rsidRPr="00004C4D" w:rsidP="00004C4D">
            <w:pPr>
              <w:pStyle w:val="List2"/>
            </w:pPr>
            <w:r w:rsidRPr="00004C4D">
              <w:t>2.1.</w:t>
            </w:r>
            <w:r w:rsidRPr="00004C4D">
              <w:tab/>
              <w:t>Work, including preparatory tasks, is planned and sequenced to cover all necessary activity.</w:t>
            </w:r>
          </w:p>
          <w:p w:rsidR="00000000" w:rsidRPr="00004C4D" w:rsidP="00004C4D">
            <w:pPr>
              <w:pStyle w:val="List2"/>
            </w:pPr>
            <w:r w:rsidRPr="00004C4D">
              <w:t>2.2.</w:t>
            </w:r>
            <w:r w:rsidRPr="00004C4D">
              <w:tab/>
            </w:r>
            <w:r w:rsidRPr="00004C4D">
              <w:rPr>
                <w:rStyle w:val="BoldandItalics"/>
              </w:rPr>
              <w:t>Types and quantities of materials</w:t>
            </w:r>
            <w:r w:rsidRPr="00004C4D">
              <w:t xml:space="preserve"> required for product work are estimated based on availability, fitness for purpose and current costs. </w:t>
            </w:r>
          </w:p>
          <w:p w:rsidR="00000000" w:rsidRPr="00004C4D" w:rsidP="00004C4D">
            <w:pPr>
              <w:pStyle w:val="List2"/>
            </w:pPr>
            <w:r w:rsidRPr="00004C4D">
              <w:t>2.3.</w:t>
            </w:r>
            <w:r w:rsidRPr="00004C4D">
              <w:tab/>
              <w:t>Labour requirements to perform work are estimated to complete the work activity.</w:t>
            </w:r>
          </w:p>
          <w:p w:rsidR="00000000" w:rsidP="00004C4D">
            <w:pPr>
              <w:pStyle w:val="List2"/>
              <w:rPr>
                <w:lang w:val="en-NZ"/>
              </w:rPr>
            </w:pPr>
            <w:r w:rsidRPr="00004C4D">
              <w:t>2.4.</w:t>
            </w:r>
            <w:r w:rsidRPr="00004C4D">
              <w:tab/>
              <w:t>Time requirements to perform</w:t>
            </w:r>
            <w:r w:rsidRPr="00004C4D">
              <w:t xml:space="preserve"> work are accurately estimated and checked with appropriate personnel.</w:t>
            </w:r>
          </w:p>
        </w:tc>
      </w:tr>
      <w:tr w:rsidTr="009A660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004C4D">
            <w:pPr>
              <w:pStyle w:val="List"/>
              <w:rPr>
                <w:lang w:val="en-NZ"/>
              </w:rPr>
            </w:pPr>
            <w:r w:rsidRPr="00004C4D">
              <w:t>3.</w:t>
            </w:r>
            <w:r w:rsidRPr="00004C4D">
              <w:tab/>
              <w:t>Calculate costs.</w:t>
            </w:r>
          </w:p>
        </w:tc>
        <w:tc>
          <w:tcPr>
            <w:tcW w:w="5946" w:type="dxa"/>
            <w:tcBorders>
              <w:top w:val="nil"/>
              <w:left w:val="nil"/>
              <w:bottom w:val="nil"/>
              <w:right w:val="nil"/>
            </w:tcBorders>
            <w:tcMar>
              <w:top w:w="0" w:type="dxa"/>
              <w:left w:w="62" w:type="dxa"/>
              <w:bottom w:w="0" w:type="dxa"/>
              <w:right w:w="62" w:type="dxa"/>
            </w:tcMar>
          </w:tcPr>
          <w:p w:rsidR="00000000" w:rsidRPr="00004C4D" w:rsidP="00004C4D">
            <w:pPr>
              <w:pStyle w:val="List2"/>
            </w:pPr>
            <w:r w:rsidRPr="00004C4D">
              <w:t>3.1.</w:t>
            </w:r>
            <w:r w:rsidRPr="00004C4D">
              <w:tab/>
              <w:t xml:space="preserve">Total materials, </w:t>
            </w:r>
            <w:r w:rsidRPr="00004C4D">
              <w:rPr>
                <w:rStyle w:val="BoldandItalics"/>
              </w:rPr>
              <w:t>labour and overhead costs</w:t>
            </w:r>
            <w:r w:rsidRPr="00004C4D">
              <w:t xml:space="preserve"> are calculated in accordance with workplace procedures and statutory requirements. </w:t>
            </w:r>
          </w:p>
          <w:p w:rsidR="00000000" w:rsidRPr="00004C4D" w:rsidP="00004C4D">
            <w:pPr>
              <w:pStyle w:val="List2"/>
            </w:pPr>
            <w:r w:rsidRPr="00004C4D">
              <w:t>3.2.</w:t>
            </w:r>
            <w:r w:rsidRPr="00004C4D">
              <w:tab/>
              <w:t>Total work cost is calculat</w:t>
            </w:r>
            <w:r w:rsidRPr="00004C4D">
              <w:t>ed, including overheads and mark-up percentages set by appropriate personnel.</w:t>
            </w:r>
          </w:p>
          <w:p w:rsidR="00000000" w:rsidP="00004C4D">
            <w:pPr>
              <w:pStyle w:val="List2"/>
              <w:rPr>
                <w:lang w:val="en-NZ"/>
              </w:rPr>
            </w:pPr>
            <w:r w:rsidRPr="00004C4D">
              <w:t>3.3.</w:t>
            </w:r>
            <w:r w:rsidRPr="00004C4D">
              <w:tab/>
              <w:t>Final cost for work is calculated and checked for accuracy.</w:t>
            </w:r>
          </w:p>
        </w:tc>
      </w:tr>
      <w:tr w:rsidTr="009A660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004C4D">
            <w:pPr>
              <w:pStyle w:val="List"/>
              <w:rPr>
                <w:lang w:val="en-NZ"/>
              </w:rPr>
            </w:pPr>
            <w:r w:rsidRPr="00004C4D">
              <w:t>4.</w:t>
            </w:r>
            <w:r w:rsidRPr="00004C4D">
              <w:tab/>
              <w:t>Document and verify details.</w:t>
            </w:r>
          </w:p>
        </w:tc>
        <w:tc>
          <w:tcPr>
            <w:tcW w:w="5946" w:type="dxa"/>
            <w:tcBorders>
              <w:top w:val="nil"/>
              <w:left w:val="nil"/>
              <w:bottom w:val="nil"/>
              <w:right w:val="nil"/>
            </w:tcBorders>
            <w:tcMar>
              <w:top w:w="0" w:type="dxa"/>
              <w:left w:w="62" w:type="dxa"/>
              <w:bottom w:w="0" w:type="dxa"/>
              <w:right w:w="62" w:type="dxa"/>
            </w:tcMar>
          </w:tcPr>
          <w:p w:rsidR="00000000" w:rsidRPr="00004C4D" w:rsidP="00004C4D">
            <w:pPr>
              <w:pStyle w:val="List2"/>
            </w:pPr>
            <w:r w:rsidRPr="00004C4D">
              <w:t>4.1.</w:t>
            </w:r>
            <w:r w:rsidRPr="00004C4D">
              <w:tab/>
              <w:t>Details of costs and charges are clearly and accurately documented in accor</w:t>
            </w:r>
            <w:r w:rsidRPr="00004C4D">
              <w:t>dance with workplace procedures.</w:t>
            </w:r>
          </w:p>
          <w:p w:rsidR="00000000" w:rsidRPr="00004C4D" w:rsidP="00004C4D">
            <w:pPr>
              <w:pStyle w:val="List2"/>
            </w:pPr>
            <w:r w:rsidRPr="00004C4D">
              <w:t>4.2.</w:t>
            </w:r>
            <w:r w:rsidRPr="00004C4D">
              <w:tab/>
              <w:t>Costs, calculations or other details are verified in accordance with workplace procedures and current costing data.</w:t>
            </w:r>
          </w:p>
          <w:p w:rsidR="00000000" w:rsidRPr="00004C4D" w:rsidP="00004C4D">
            <w:pPr>
              <w:pStyle w:val="List2"/>
            </w:pPr>
            <w:r w:rsidRPr="00004C4D">
              <w:t>4.3.</w:t>
            </w:r>
            <w:r w:rsidRPr="00004C4D">
              <w:tab/>
              <w:t>Quotation/tender documentation is prepared and verified.</w:t>
            </w:r>
          </w:p>
          <w:p w:rsidR="00000000" w:rsidRPr="00004C4D" w:rsidP="00004C4D">
            <w:pPr>
              <w:pStyle w:val="List2"/>
            </w:pPr>
            <w:r w:rsidRPr="00004C4D">
              <w:t>4.4.</w:t>
            </w:r>
            <w:r w:rsidRPr="00004C4D">
              <w:tab/>
            </w:r>
            <w:r w:rsidRPr="00004C4D">
              <w:rPr>
                <w:rStyle w:val="BoldandItalics"/>
              </w:rPr>
              <w:t>Costing documents</w:t>
            </w:r>
            <w:r w:rsidRPr="00004C4D">
              <w:t xml:space="preserve"> are accurately co</w:t>
            </w:r>
            <w:r w:rsidRPr="00004C4D">
              <w:t xml:space="preserve">mpleted for future reference in accordance with workplace procedures. </w:t>
            </w:r>
          </w:p>
        </w:tc>
      </w:tr>
    </w:tbl>
    <w:p w:rsidR="009A6603" w:rsidP="00004C4D">
      <w:pPr>
        <w:pStyle w:val="BodyText"/>
      </w:pPr>
    </w:p>
    <w:p w:rsidR="009A6603" w:rsidP="00004C4D">
      <w:pPr>
        <w:pStyle w:val="BodyText"/>
      </w:pPr>
    </w:p>
    <w:p w:rsidR="00000000" w:rsidRPr="00004C4D" w:rsidP="00004C4D">
      <w:pPr>
        <w:pStyle w:val="Heading1"/>
      </w:pPr>
      <w:bookmarkStart w:id="9" w:name="O_258193"/>
      <w:bookmarkEnd w:id="9"/>
      <w:r w:rsidRPr="00004C4D">
        <w:t>Required Skills and Knowledge</w:t>
      </w:r>
    </w:p>
    <w:tbl>
      <w:tblPr>
        <w:tblW w:w="0" w:type="auto"/>
        <w:tblLayout w:type="fixed"/>
        <w:tblCellMar>
          <w:left w:w="62" w:type="dxa"/>
          <w:right w:w="62" w:type="dxa"/>
        </w:tblCellMar>
        <w:tblLook w:val="0000"/>
      </w:tblPr>
      <w:tblGrid>
        <w:gridCol w:w="8522"/>
      </w:tblGrid>
      <w:tr w:rsidTr="009A660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REQUIRED SKILLS AND KNOWLEDGE</w:t>
            </w:r>
          </w:p>
        </w:tc>
      </w:tr>
      <w:tr w:rsidTr="009A66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t>This section describes the skills and knowledge required for this unit.</w:t>
            </w:r>
          </w:p>
        </w:tc>
      </w:tr>
      <w:tr w:rsidTr="009A66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Required skills</w:t>
            </w:r>
          </w:p>
        </w:tc>
      </w:tr>
      <w:tr w:rsidTr="009A66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4C4D" w:rsidP="00004C4D">
            <w:pPr>
              <w:pStyle w:val="BodyText"/>
            </w:pPr>
            <w:r w:rsidRPr="00004C4D">
              <w:t>Required skills for this unit are:</w:t>
            </w:r>
          </w:p>
          <w:p w:rsidR="00000000" w:rsidRPr="00004C4D" w:rsidP="00004C4D">
            <w:pPr>
              <w:pStyle w:val="ListBullet"/>
            </w:pPr>
            <w:r w:rsidRPr="00004C4D">
              <w:t>accessing current costing data</w:t>
            </w:r>
          </w:p>
          <w:p w:rsidR="00000000" w:rsidRPr="00004C4D" w:rsidP="00004C4D">
            <w:pPr>
              <w:pStyle w:val="ListBullet"/>
            </w:pPr>
            <w:r w:rsidRPr="00004C4D">
              <w:t>accurately calculating labour costs</w:t>
            </w:r>
          </w:p>
          <w:p w:rsidR="00000000" w:rsidRPr="00004C4D" w:rsidP="00004C4D">
            <w:pPr>
              <w:pStyle w:val="ListBullet"/>
            </w:pPr>
            <w:r w:rsidRPr="00004C4D">
              <w:t>accurately calculating material quantities</w:t>
            </w:r>
          </w:p>
          <w:p w:rsidR="00000000" w:rsidRPr="00004C4D" w:rsidP="00004C4D">
            <w:pPr>
              <w:pStyle w:val="ListBullet"/>
            </w:pPr>
            <w:r w:rsidRPr="00004C4D">
              <w:t>producing accurate written costing information</w:t>
            </w:r>
          </w:p>
          <w:p w:rsidR="00000000" w:rsidP="00004C4D">
            <w:pPr>
              <w:pStyle w:val="ListBullet"/>
              <w:rPr>
                <w:lang w:val="en-NZ"/>
              </w:rPr>
            </w:pPr>
            <w:r w:rsidRPr="00004C4D">
              <w:t>reading and interpreting drawings and material specifications.</w:t>
            </w:r>
          </w:p>
        </w:tc>
      </w:tr>
      <w:tr w:rsidTr="009A66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Required knowledge</w:t>
            </w:r>
          </w:p>
        </w:tc>
      </w:tr>
      <w:tr w:rsidTr="009A66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4C4D" w:rsidP="00004C4D">
            <w:pPr>
              <w:pStyle w:val="BodyText"/>
            </w:pPr>
            <w:r w:rsidRPr="00004C4D">
              <w:t>Required knowledge for this unit is:</w:t>
            </w:r>
          </w:p>
          <w:p w:rsidR="00000000" w:rsidRPr="00004C4D" w:rsidP="00004C4D">
            <w:pPr>
              <w:pStyle w:val="ListBullet"/>
            </w:pPr>
            <w:r w:rsidRPr="00004C4D">
              <w:t>application of GST</w:t>
            </w:r>
          </w:p>
          <w:p w:rsidR="00000000" w:rsidRPr="00004C4D" w:rsidP="00004C4D">
            <w:pPr>
              <w:pStyle w:val="ListBullet"/>
            </w:pPr>
            <w:r w:rsidRPr="00004C4D">
              <w:t>construction terminology</w:t>
            </w:r>
          </w:p>
          <w:p w:rsidR="00000000" w:rsidRPr="00004C4D" w:rsidP="00004C4D">
            <w:pPr>
              <w:pStyle w:val="ListBullet"/>
            </w:pPr>
            <w:r w:rsidRPr="00004C4D">
              <w:t>environmental and sustainability requirements</w:t>
            </w:r>
          </w:p>
          <w:p w:rsidR="00000000" w:rsidRPr="00004C4D" w:rsidP="00004C4D">
            <w:pPr>
              <w:pStyle w:val="ListBullet"/>
            </w:pPr>
            <w:r w:rsidRPr="00004C4D">
              <w:t>estimating and calculating processes</w:t>
            </w:r>
          </w:p>
          <w:p w:rsidR="00000000" w:rsidRPr="00004C4D" w:rsidP="00004C4D">
            <w:pPr>
              <w:pStyle w:val="ListBullet"/>
            </w:pPr>
            <w:r w:rsidRPr="00004C4D">
              <w:t>impact of time on wages and other costs</w:t>
            </w:r>
          </w:p>
          <w:p w:rsidR="00000000" w:rsidRPr="00004C4D" w:rsidP="00004C4D">
            <w:pPr>
              <w:pStyle w:val="ListBullet"/>
            </w:pPr>
            <w:r w:rsidRPr="00004C4D">
              <w:t>international system of units (SI) system of measurements relevant to the construction industry</w:t>
            </w:r>
          </w:p>
          <w:p w:rsidR="00000000" w:rsidRPr="00004C4D" w:rsidP="00004C4D">
            <w:pPr>
              <w:pStyle w:val="ListBullet"/>
            </w:pPr>
            <w:r w:rsidRPr="00004C4D">
              <w:t>process of estimating and costing construction work</w:t>
            </w:r>
          </w:p>
          <w:p w:rsidR="00000000" w:rsidRPr="00004C4D" w:rsidP="00004C4D">
            <w:pPr>
              <w:pStyle w:val="ListBullet"/>
            </w:pPr>
            <w:r w:rsidRPr="00004C4D">
              <w:t>quality requirements of construction projects</w:t>
            </w:r>
          </w:p>
          <w:p w:rsidR="00000000" w:rsidRPr="00004C4D" w:rsidP="00004C4D">
            <w:pPr>
              <w:pStyle w:val="ListBullet"/>
            </w:pPr>
            <w:r w:rsidRPr="00004C4D">
              <w:t>relevant statutory and authority requirements related to estim</w:t>
            </w:r>
            <w:r w:rsidRPr="00004C4D">
              <w:t>ating and costing work</w:t>
            </w:r>
          </w:p>
          <w:p w:rsidR="00000000" w:rsidRPr="00004C4D" w:rsidP="00004C4D">
            <w:pPr>
              <w:pStyle w:val="ListBullet"/>
            </w:pPr>
            <w:r w:rsidRPr="00004C4D">
              <w:t>relevant tendering and contracting documentation</w:t>
            </w:r>
          </w:p>
          <w:p w:rsidR="00000000" w:rsidRPr="00004C4D" w:rsidP="00004C4D">
            <w:pPr>
              <w:pStyle w:val="ListBullet"/>
            </w:pPr>
            <w:r w:rsidRPr="00004C4D">
              <w:t>safe work method statements</w:t>
            </w:r>
          </w:p>
          <w:p w:rsidR="00000000" w:rsidRPr="00004C4D" w:rsidP="00004C4D">
            <w:pPr>
              <w:pStyle w:val="ListBullet"/>
            </w:pPr>
            <w:r w:rsidRPr="00004C4D">
              <w:t>sources of information and the processes for calculating material requirements</w:t>
            </w:r>
          </w:p>
          <w:p w:rsidR="00000000" w:rsidRPr="00004C4D" w:rsidP="00004C4D">
            <w:pPr>
              <w:pStyle w:val="ListBullet"/>
            </w:pPr>
            <w:r w:rsidRPr="00004C4D">
              <w:t xml:space="preserve">standards applicable to the work to be undertaken, e.g. Australian standards </w:t>
            </w:r>
            <w:r w:rsidRPr="00004C4D">
              <w:t>and the Building Code of Australia.</w:t>
            </w:r>
          </w:p>
        </w:tc>
      </w:tr>
    </w:tbl>
    <w:p w:rsidR="009A6603" w:rsidP="00004C4D">
      <w:pPr>
        <w:pStyle w:val="BodyText"/>
      </w:pPr>
    </w:p>
    <w:p w:rsidR="009A6603" w:rsidP="00004C4D">
      <w:pPr>
        <w:pStyle w:val="BodyText"/>
      </w:pPr>
    </w:p>
    <w:p w:rsidR="00000000" w:rsidRPr="00004C4D" w:rsidP="00004C4D">
      <w:pPr>
        <w:pStyle w:val="AllowPageBreak"/>
      </w:pPr>
    </w:p>
    <w:p w:rsidR="00000000" w:rsidRPr="00004C4D" w:rsidP="00004C4D">
      <w:pPr>
        <w:pStyle w:val="Heading1"/>
      </w:pPr>
      <w:bookmarkStart w:id="10" w:name="O_242227"/>
      <w:bookmarkEnd w:id="10"/>
      <w:r w:rsidRPr="00004C4D">
        <w:t>Evidence Guide</w:t>
      </w:r>
    </w:p>
    <w:tbl>
      <w:tblPr>
        <w:tblW w:w="0" w:type="auto"/>
        <w:tblLayout w:type="fixed"/>
        <w:tblCellMar>
          <w:left w:w="62" w:type="dxa"/>
          <w:right w:w="62" w:type="dxa"/>
        </w:tblCellMar>
        <w:tblLook w:val="0000"/>
      </w:tblPr>
      <w:tblGrid>
        <w:gridCol w:w="3485"/>
        <w:gridCol w:w="5037"/>
      </w:tblGrid>
      <w:tr w:rsidTr="009A660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04C4D">
            <w:pPr>
              <w:pStyle w:val="BodyText"/>
              <w:rPr>
                <w:lang w:val="en-NZ"/>
              </w:rPr>
            </w:pPr>
            <w:r w:rsidRPr="00004C4D">
              <w:rPr>
                <w:rStyle w:val="SpecialBold"/>
              </w:rPr>
              <w:t>EVIDENCE GUIDE</w:t>
            </w:r>
          </w:p>
        </w:tc>
      </w:tr>
      <w:tr w:rsidTr="009A660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04C4D">
            <w:pPr>
              <w:pStyle w:val="BodyText"/>
              <w:rPr>
                <w:lang w:val="en-NZ"/>
              </w:rPr>
            </w:pPr>
            <w:r w:rsidRPr="00004C4D">
              <w:t xml:space="preserve">The evidence guide provides advice on assessment and must be read in conjunction with the performance criteria, required skills and knowledge, </w:t>
            </w:r>
            <w:r w:rsidRPr="00004C4D">
              <w:t>range statement and the Assessment Guidelines for the Training Package.</w:t>
            </w:r>
          </w:p>
        </w:tc>
      </w:tr>
      <w:tr w:rsidTr="009A6603">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Overview of assessment</w:t>
            </w:r>
          </w:p>
        </w:tc>
        <w:tc>
          <w:tcPr>
            <w:tcW w:w="5037"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t xml:space="preserve">This unit of competency could be assessed in the workplace or a close simulation of the workplace environment, provided that simulated or project-based </w:t>
            </w:r>
            <w:r w:rsidRPr="00004C4D">
              <w:t xml:space="preserve">assessment techniques fully replicate construction workplace conditions, materials, activities, responsibilities and procedures. </w:t>
            </w:r>
          </w:p>
        </w:tc>
      </w:tr>
      <w:tr w:rsidTr="009A6603">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Critical aspects for assessment and evidence required to demonstrate competency in this unit</w:t>
            </w:r>
          </w:p>
        </w:tc>
        <w:tc>
          <w:tcPr>
            <w:tcW w:w="5037" w:type="dxa"/>
            <w:tcBorders>
              <w:top w:val="nil"/>
              <w:left w:val="nil"/>
              <w:bottom w:val="nil"/>
              <w:right w:val="nil"/>
            </w:tcBorders>
            <w:tcMar>
              <w:top w:w="0" w:type="dxa"/>
              <w:left w:w="62" w:type="dxa"/>
              <w:bottom w:w="0" w:type="dxa"/>
              <w:right w:w="62" w:type="dxa"/>
            </w:tcMar>
          </w:tcPr>
          <w:p w:rsidR="00000000" w:rsidRPr="00004C4D" w:rsidP="00004C4D">
            <w:pPr>
              <w:pStyle w:val="BodyText"/>
            </w:pPr>
            <w:r w:rsidRPr="00004C4D">
              <w:t>A person who demonstrates compet</w:t>
            </w:r>
            <w:r w:rsidRPr="00004C4D">
              <w:t>ency in this unit must be able to provide evidence of the ability to:</w:t>
            </w:r>
          </w:p>
          <w:p w:rsidR="00000000" w:rsidRPr="00004C4D" w:rsidP="00004C4D">
            <w:pPr>
              <w:pStyle w:val="ListBullet"/>
            </w:pPr>
            <w:r w:rsidRPr="00004C4D">
              <w:t>locate, interpret and apply relevant information, standards and specifications to the estimation and costing of work</w:t>
            </w:r>
          </w:p>
          <w:p w:rsidR="00000000" w:rsidRPr="00004C4D" w:rsidP="00004C4D">
            <w:pPr>
              <w:pStyle w:val="ListBullet"/>
            </w:pPr>
            <w:r w:rsidRPr="00004C4D">
              <w:t>as a minimum, estimate and cost three varied jobs, including:</w:t>
            </w:r>
          </w:p>
          <w:p w:rsidR="00000000" w:rsidRPr="00004C4D" w:rsidP="00004C4D">
            <w:pPr>
              <w:pStyle w:val="ListBullet2"/>
            </w:pPr>
            <w:r w:rsidRPr="00004C4D">
              <w:t>estimate quantities of material required</w:t>
            </w:r>
          </w:p>
          <w:p w:rsidR="00000000" w:rsidRPr="00004C4D" w:rsidP="00004C4D">
            <w:pPr>
              <w:pStyle w:val="ListBullet2"/>
            </w:pPr>
            <w:r w:rsidRPr="00004C4D">
              <w:t>determine the types and amount of labour required to complete the work</w:t>
            </w:r>
          </w:p>
          <w:p w:rsidR="00000000" w:rsidRPr="00004C4D" w:rsidP="00004C4D">
            <w:pPr>
              <w:pStyle w:val="ListBullet2"/>
            </w:pPr>
            <w:r w:rsidRPr="00004C4D">
              <w:t>estimate time required to complete the work</w:t>
            </w:r>
          </w:p>
          <w:p w:rsidR="00000000" w:rsidRPr="00004C4D" w:rsidP="00004C4D">
            <w:pPr>
              <w:pStyle w:val="ListBullet2"/>
            </w:pPr>
            <w:r w:rsidRPr="00004C4D">
              <w:t>estimate overheads associated with the job</w:t>
            </w:r>
          </w:p>
          <w:p w:rsidR="00000000" w:rsidP="00004C4D">
            <w:pPr>
              <w:pStyle w:val="ListBullet2"/>
              <w:rPr>
                <w:lang w:val="en-NZ"/>
              </w:rPr>
            </w:pPr>
            <w:r w:rsidRPr="00004C4D">
              <w:t>a written quotation/tender for each of the work requireme</w:t>
            </w:r>
            <w:r w:rsidRPr="00004C4D">
              <w:t>nts.</w:t>
            </w:r>
          </w:p>
        </w:tc>
      </w:tr>
      <w:tr w:rsidTr="009A6603">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Context of and specific resources for assessment</w:t>
            </w:r>
          </w:p>
        </w:tc>
        <w:tc>
          <w:tcPr>
            <w:tcW w:w="5037" w:type="dxa"/>
            <w:tcBorders>
              <w:top w:val="nil"/>
              <w:left w:val="nil"/>
              <w:bottom w:val="nil"/>
              <w:right w:val="nil"/>
            </w:tcBorders>
            <w:tcMar>
              <w:top w:w="0" w:type="dxa"/>
              <w:left w:w="62" w:type="dxa"/>
              <w:bottom w:w="0" w:type="dxa"/>
              <w:right w:w="62" w:type="dxa"/>
            </w:tcMar>
          </w:tcPr>
          <w:p w:rsidR="00000000" w:rsidRPr="00004C4D" w:rsidP="00004C4D">
            <w:pPr>
              <w:pStyle w:val="BodyText"/>
            </w:pPr>
            <w:r w:rsidRPr="00004C4D">
              <w:t>This competency is to be assessed using standard and authorised work practices, safety requirements and environmental constraints.</w:t>
            </w:r>
          </w:p>
          <w:p w:rsidR="00000000" w:rsidRPr="00004C4D" w:rsidP="00004C4D">
            <w:pPr>
              <w:pStyle w:val="BodyText"/>
            </w:pPr>
            <w:r w:rsidRPr="00004C4D">
              <w:t>Assessment of essential underpinning knowledge will usually be conducted in an off-site context.</w:t>
            </w:r>
          </w:p>
          <w:p w:rsidR="00000000" w:rsidRPr="00004C4D" w:rsidP="00004C4D">
            <w:pPr>
              <w:pStyle w:val="BodyText"/>
            </w:pPr>
            <w:r w:rsidRPr="00004C4D">
              <w:t>Assessment is to comply with relevant regulatory or Australian standards' requirements.</w:t>
            </w:r>
          </w:p>
          <w:p w:rsidR="00000000" w:rsidRPr="00004C4D" w:rsidP="00004C4D">
            <w:pPr>
              <w:pStyle w:val="BodyText"/>
            </w:pPr>
            <w:r w:rsidRPr="00004C4D">
              <w:t>Resource implications for assessment include:</w:t>
            </w:r>
          </w:p>
          <w:p w:rsidR="00000000" w:rsidRPr="00004C4D" w:rsidP="00004C4D">
            <w:pPr>
              <w:pStyle w:val="ListBullet"/>
            </w:pPr>
            <w:r w:rsidRPr="00004C4D">
              <w:t>an induction procedure a</w:t>
            </w:r>
            <w:r w:rsidRPr="00004C4D">
              <w:t>nd requirement</w:t>
            </w:r>
          </w:p>
          <w:p w:rsidR="00000000" w:rsidRPr="00004C4D" w:rsidP="00004C4D">
            <w:pPr>
              <w:pStyle w:val="ListBullet"/>
            </w:pPr>
            <w:r w:rsidRPr="00004C4D">
              <w:t>realistic tasks or simulated tasks covering the mandatory task requirements</w:t>
            </w:r>
          </w:p>
          <w:p w:rsidR="00000000" w:rsidRPr="00004C4D" w:rsidP="00004C4D">
            <w:pPr>
              <w:pStyle w:val="ListBullet"/>
            </w:pPr>
            <w:r w:rsidRPr="00004C4D">
              <w:t>relevant specifications and work instructions</w:t>
            </w:r>
          </w:p>
          <w:p w:rsidR="00000000" w:rsidRPr="00004C4D" w:rsidP="00004C4D">
            <w:pPr>
              <w:pStyle w:val="ListBullet"/>
            </w:pPr>
            <w:r w:rsidRPr="00004C4D">
              <w:t>tools and equipment appropriate to applying safe work practices</w:t>
            </w:r>
          </w:p>
          <w:p w:rsidR="00000000" w:rsidRPr="00004C4D" w:rsidP="00004C4D">
            <w:pPr>
              <w:pStyle w:val="ListBullet"/>
            </w:pPr>
            <w:r w:rsidRPr="00004C4D">
              <w:t>support materials appropriate to activity</w:t>
            </w:r>
          </w:p>
          <w:p w:rsidR="00000000" w:rsidRPr="00004C4D" w:rsidP="00004C4D">
            <w:pPr>
              <w:pStyle w:val="ListBullet"/>
            </w:pPr>
            <w:r w:rsidRPr="00004C4D">
              <w:t>workplace ins</w:t>
            </w:r>
            <w:r w:rsidRPr="00004C4D">
              <w:t>tructions relating to safe work practices and addressing hazards and emergencies</w:t>
            </w:r>
          </w:p>
          <w:p w:rsidR="00000000" w:rsidRPr="00004C4D" w:rsidP="00004C4D">
            <w:pPr>
              <w:pStyle w:val="ListBullet"/>
            </w:pPr>
            <w:r w:rsidRPr="00004C4D">
              <w:t>material safety data sheets</w:t>
            </w:r>
          </w:p>
          <w:p w:rsidR="00000000" w:rsidRPr="00004C4D" w:rsidP="00004C4D">
            <w:pPr>
              <w:pStyle w:val="ListBullet"/>
            </w:pPr>
            <w:r w:rsidRPr="00004C4D">
              <w:t>research resources, including industry related systems information.</w:t>
            </w:r>
          </w:p>
          <w:p w:rsidR="00000000" w:rsidP="00004C4D">
            <w:pPr>
              <w:pStyle w:val="BodyText"/>
              <w:rPr>
                <w:lang w:val="en-NZ"/>
              </w:rPr>
            </w:pPr>
            <w:r w:rsidRPr="00004C4D">
              <w:t xml:space="preserve">Reasonable adjustments for people with disabilities must be made to assessment </w:t>
            </w:r>
            <w:r w:rsidRPr="00004C4D">
              <w:t xml:space="preserve">processes where required. This could include access to modified equipment and other physical resources, and the provision of appropriate assessment support. </w:t>
            </w:r>
          </w:p>
        </w:tc>
      </w:tr>
      <w:tr w:rsidTr="009A6603">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Method of assessment</w:t>
            </w:r>
          </w:p>
        </w:tc>
        <w:tc>
          <w:tcPr>
            <w:tcW w:w="5037" w:type="dxa"/>
            <w:tcBorders>
              <w:top w:val="nil"/>
              <w:left w:val="nil"/>
              <w:bottom w:val="nil"/>
              <w:right w:val="nil"/>
            </w:tcBorders>
            <w:tcMar>
              <w:top w:w="0" w:type="dxa"/>
              <w:left w:w="62" w:type="dxa"/>
              <w:bottom w:w="0" w:type="dxa"/>
              <w:right w:w="62" w:type="dxa"/>
            </w:tcMar>
          </w:tcPr>
          <w:p w:rsidR="00000000" w:rsidRPr="00004C4D" w:rsidP="00004C4D">
            <w:pPr>
              <w:pStyle w:val="BodyText"/>
            </w:pPr>
            <w:r w:rsidRPr="00004C4D">
              <w:t>Assessment methods must:</w:t>
            </w:r>
          </w:p>
          <w:p w:rsidR="00000000" w:rsidRPr="00004C4D" w:rsidP="00004C4D">
            <w:pPr>
              <w:pStyle w:val="ListBullet"/>
            </w:pPr>
            <w:r w:rsidRPr="00004C4D">
              <w:t>satisfy the endorsed Assessment Guidelines of the Construction, Plumbing and Services Training Package</w:t>
            </w:r>
          </w:p>
          <w:p w:rsidR="00000000" w:rsidRPr="00004C4D" w:rsidP="00004C4D">
            <w:pPr>
              <w:pStyle w:val="ListBullet"/>
            </w:pPr>
            <w:r w:rsidRPr="00004C4D">
              <w:t xml:space="preserve">include direct observation of tasks in real or simulated work conditions, with questioning to confirm the ability to consistently identify and correctly </w:t>
            </w:r>
            <w:r w:rsidRPr="00004C4D">
              <w:t>interpret the essential underpinning knowledge required for practical application</w:t>
            </w:r>
          </w:p>
          <w:p w:rsidR="00000000" w:rsidRPr="00004C4D" w:rsidP="00004C4D">
            <w:pPr>
              <w:pStyle w:val="ListBullet"/>
            </w:pPr>
            <w:r w:rsidRPr="00004C4D">
              <w:t>reinforce the integration of employability skills with workplace tasks and job roles</w:t>
            </w:r>
          </w:p>
          <w:p w:rsidR="00000000" w:rsidRPr="00004C4D" w:rsidP="00004C4D">
            <w:pPr>
              <w:pStyle w:val="ListBullet"/>
            </w:pPr>
            <w:r w:rsidRPr="00004C4D">
              <w:t>confirm that competency is verified and able to be transferred to other circumstances and</w:t>
            </w:r>
            <w:r w:rsidRPr="00004C4D">
              <w:t xml:space="preserve"> environments.</w:t>
            </w:r>
          </w:p>
          <w:p w:rsidR="00000000" w:rsidRPr="00004C4D" w:rsidP="00004C4D">
            <w:pPr>
              <w:pStyle w:val="BodyText"/>
            </w:pPr>
            <w:r w:rsidRPr="00004C4D">
              <w:t>Validity and sufficiency of evidence requires that:</w:t>
            </w:r>
          </w:p>
          <w:p w:rsidR="00000000" w:rsidRPr="00004C4D" w:rsidP="00004C4D">
            <w:pPr>
              <w:pStyle w:val="ListBullet"/>
            </w:pPr>
            <w:r w:rsidRPr="00004C4D">
              <w:t>competency will need to be demonstrated over a period of time reflecting the scope of the role and the practical requirements of the workplace</w:t>
            </w:r>
          </w:p>
          <w:p w:rsidR="00000000" w:rsidRPr="00004C4D" w:rsidP="00004C4D">
            <w:pPr>
              <w:pStyle w:val="ListBullet"/>
            </w:pPr>
            <w:r w:rsidRPr="00004C4D">
              <w:t xml:space="preserve">where the assessment is part of a structured </w:t>
            </w:r>
            <w:r w:rsidRPr="00004C4D">
              <w:t>learning experience the evidence collected must relate to a number of performances assessed at different points in time and separated by further learning and practice, with a decision on competency only taken at the point when the assessor has complete con</w:t>
            </w:r>
            <w:r w:rsidRPr="00004C4D">
              <w:t>fidence in the person's demonstrated ability and applied knowledge</w:t>
            </w:r>
          </w:p>
          <w:p w:rsidR="00000000" w:rsidRPr="00004C4D" w:rsidP="00004C4D">
            <w:pPr>
              <w:pStyle w:val="ListBullet"/>
            </w:pPr>
            <w:r w:rsidRPr="00004C4D">
              <w:t>all assessment that is part of a structured learning experience must include a combination of direct, indirect and supplementary evidence.</w:t>
            </w:r>
          </w:p>
          <w:p w:rsidR="00000000" w:rsidRPr="00004C4D" w:rsidP="00004C4D">
            <w:pPr>
              <w:pStyle w:val="BodyText"/>
            </w:pPr>
            <w:r w:rsidRPr="00004C4D">
              <w:t xml:space="preserve">Assessment processes and techniques should as far </w:t>
            </w:r>
            <w:r w:rsidRPr="00004C4D">
              <w:t>as is practical take into account the language, literacy and numeracy capacity of the candidate in relation to the competency being assessed.</w:t>
            </w:r>
          </w:p>
          <w:p w:rsidR="00000000" w:rsidRPr="00004C4D" w:rsidP="00004C4D">
            <w:pPr>
              <w:pStyle w:val="BodyText"/>
            </w:pPr>
            <w:r w:rsidRPr="00004C4D">
              <w:t>Supplementary evidence of competency may be obtained from relevant authenticated documentation from third parties,</w:t>
            </w:r>
            <w:r w:rsidRPr="00004C4D">
              <w:t xml:space="preserve"> such as existing supervisors, team leaders or specialist training staff. </w:t>
            </w:r>
          </w:p>
        </w:tc>
      </w:tr>
    </w:tbl>
    <w:p w:rsidR="009A6603" w:rsidP="00004C4D">
      <w:pPr>
        <w:pStyle w:val="BodyText"/>
      </w:pPr>
    </w:p>
    <w:p w:rsidR="009A6603" w:rsidP="00004C4D">
      <w:pPr>
        <w:pStyle w:val="BodyText"/>
      </w:pPr>
    </w:p>
    <w:p w:rsidR="00000000" w:rsidRPr="00004C4D" w:rsidP="00004C4D">
      <w:pPr>
        <w:pStyle w:val="Heading1"/>
      </w:pPr>
      <w:bookmarkStart w:id="11" w:name="O_250210"/>
      <w:bookmarkEnd w:id="11"/>
      <w:r w:rsidRPr="00004C4D">
        <w:t>Range Statement</w:t>
      </w:r>
    </w:p>
    <w:tbl>
      <w:tblPr>
        <w:tblW w:w="0" w:type="auto"/>
        <w:tblLayout w:type="fixed"/>
        <w:tblCellMar>
          <w:left w:w="62" w:type="dxa"/>
          <w:right w:w="62" w:type="dxa"/>
        </w:tblCellMar>
        <w:tblLook w:val="0000"/>
      </w:tblPr>
      <w:tblGrid>
        <w:gridCol w:w="3445"/>
        <w:gridCol w:w="5077"/>
      </w:tblGrid>
      <w:tr w:rsidTr="009A660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04C4D">
            <w:pPr>
              <w:pStyle w:val="BodyText"/>
              <w:rPr>
                <w:lang w:val="en-NZ"/>
              </w:rPr>
            </w:pPr>
            <w:r w:rsidRPr="00004C4D">
              <w:rPr>
                <w:rStyle w:val="SpecialBold"/>
              </w:rPr>
              <w:t>RANGE STATEMENT</w:t>
            </w:r>
          </w:p>
        </w:tc>
      </w:tr>
      <w:tr w:rsidTr="009A660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04C4D">
            <w:pPr>
              <w:pStyle w:val="BodyText"/>
              <w:rPr>
                <w:lang w:val="en-NZ"/>
              </w:rPr>
            </w:pPr>
            <w:r w:rsidRPr="00004C4D">
              <w:t>The range statement relates to the unit of competency as a whole. It allows for different work environments and situations that may affect performance. Bold italicised wording, if used in the performance criteria, is detailed below. Essential operating con</w:t>
            </w:r>
            <w:r w:rsidRPr="00004C4D">
              <w:t>ditions that may be present with training and assessment (depending on the work situation, needs of the candidate, accessibility of the item, and local industry and regional contexts) may also be included.</w:t>
            </w:r>
          </w:p>
        </w:tc>
      </w:tr>
      <w:tr w:rsidTr="009A6603">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BoldandItalics"/>
              </w:rPr>
              <w:t>Plans and specifications</w:t>
            </w:r>
            <w:r w:rsidRPr="00004C4D">
              <w:t xml:space="preserve"> include:</w:t>
            </w:r>
          </w:p>
        </w:tc>
        <w:tc>
          <w:tcPr>
            <w:tcW w:w="5077" w:type="dxa"/>
            <w:tcBorders>
              <w:top w:val="nil"/>
              <w:left w:val="nil"/>
              <w:bottom w:val="nil"/>
              <w:right w:val="nil"/>
            </w:tcBorders>
            <w:tcMar>
              <w:top w:w="0" w:type="dxa"/>
              <w:left w:w="62" w:type="dxa"/>
              <w:bottom w:w="0" w:type="dxa"/>
              <w:right w:w="62" w:type="dxa"/>
            </w:tcMar>
          </w:tcPr>
          <w:p w:rsidR="00000000" w:rsidRPr="00004C4D" w:rsidP="00004C4D">
            <w:pPr>
              <w:pStyle w:val="ListBullet"/>
            </w:pPr>
            <w:r w:rsidRPr="00004C4D">
              <w:t>sketches or drawings</w:t>
            </w:r>
          </w:p>
          <w:p w:rsidR="00000000" w:rsidRPr="00004C4D" w:rsidP="00004C4D">
            <w:pPr>
              <w:pStyle w:val="ListBullet"/>
            </w:pPr>
            <w:r w:rsidRPr="00004C4D">
              <w:t>statements of requirements, including environmental requirements relating to the acquisition, use and disposal of materials</w:t>
            </w:r>
          </w:p>
          <w:p w:rsidR="00000000" w:rsidRPr="00004C4D" w:rsidP="00004C4D">
            <w:pPr>
              <w:pStyle w:val="ListBullet"/>
            </w:pPr>
            <w:r w:rsidRPr="00004C4D">
              <w:t>materials lists and quantity schedules</w:t>
            </w:r>
          </w:p>
          <w:p w:rsidR="00000000" w:rsidRPr="00004C4D" w:rsidP="00004C4D">
            <w:pPr>
              <w:pStyle w:val="ListBullet"/>
            </w:pPr>
            <w:r w:rsidRPr="00004C4D">
              <w:t>building codes</w:t>
            </w:r>
          </w:p>
          <w:p w:rsidR="00000000" w:rsidP="00004C4D">
            <w:pPr>
              <w:pStyle w:val="ListBullet"/>
              <w:rPr>
                <w:lang w:val="en-NZ"/>
              </w:rPr>
            </w:pPr>
            <w:r w:rsidRPr="00004C4D">
              <w:t>materials specifications, including specifications of mat</w:t>
            </w:r>
            <w:r w:rsidRPr="00004C4D">
              <w:t>erial reuse and recycling.</w:t>
            </w:r>
          </w:p>
        </w:tc>
      </w:tr>
      <w:tr w:rsidTr="009A6603">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BoldandItalics"/>
              </w:rPr>
              <w:t>Types and quantities of materials</w:t>
            </w:r>
            <w:r w:rsidRPr="00004C4D">
              <w:t xml:space="preserve"> include consumables such as:</w:t>
            </w:r>
          </w:p>
        </w:tc>
        <w:tc>
          <w:tcPr>
            <w:tcW w:w="5077" w:type="dxa"/>
            <w:tcBorders>
              <w:top w:val="nil"/>
              <w:left w:val="nil"/>
              <w:bottom w:val="nil"/>
              <w:right w:val="nil"/>
            </w:tcBorders>
            <w:tcMar>
              <w:top w:w="0" w:type="dxa"/>
              <w:left w:w="62" w:type="dxa"/>
              <w:bottom w:w="0" w:type="dxa"/>
              <w:right w:w="62" w:type="dxa"/>
            </w:tcMar>
          </w:tcPr>
          <w:p w:rsidR="00000000" w:rsidRPr="00004C4D" w:rsidP="00004C4D">
            <w:pPr>
              <w:pStyle w:val="ListBullet"/>
            </w:pPr>
            <w:r w:rsidRPr="00004C4D">
              <w:t>aluminium and steel framing and steel reinforcing</w:t>
            </w:r>
          </w:p>
          <w:p w:rsidR="00000000" w:rsidRPr="00004C4D" w:rsidP="00004C4D">
            <w:pPr>
              <w:pStyle w:val="ListBullet"/>
            </w:pPr>
            <w:r w:rsidRPr="00004C4D">
              <w:t>bricks, masonry blocks and pavers</w:t>
            </w:r>
          </w:p>
          <w:p w:rsidR="00000000" w:rsidRPr="00004C4D" w:rsidP="00004C4D">
            <w:pPr>
              <w:pStyle w:val="ListBullet"/>
            </w:pPr>
            <w:r w:rsidRPr="00004C4D">
              <w:t>cement, sand, aggregates and bonding agents</w:t>
            </w:r>
          </w:p>
          <w:p w:rsidR="00000000" w:rsidRPr="00004C4D" w:rsidP="00004C4D">
            <w:pPr>
              <w:pStyle w:val="ListBullet"/>
            </w:pPr>
            <w:r w:rsidRPr="00004C4D">
              <w:t>decorative finishing materials, such</w:t>
            </w:r>
            <w:r w:rsidRPr="00004C4D">
              <w:t xml:space="preserve"> as wallpaper, laminates, gilding materials, lacquers and polishes</w:t>
            </w:r>
          </w:p>
          <w:p w:rsidR="00000000" w:rsidRPr="00004C4D" w:rsidP="00004C4D">
            <w:pPr>
              <w:pStyle w:val="ListBullet"/>
            </w:pPr>
            <w:r w:rsidRPr="00004C4D">
              <w:t>fixings, fastenings and adhesives</w:t>
            </w:r>
          </w:p>
          <w:p w:rsidR="00000000" w:rsidRPr="00004C4D" w:rsidP="00004C4D">
            <w:pPr>
              <w:pStyle w:val="ListBullet"/>
            </w:pPr>
            <w:r w:rsidRPr="00004C4D">
              <w:t>fuel and lubricants</w:t>
            </w:r>
          </w:p>
          <w:p w:rsidR="00000000" w:rsidRPr="00004C4D" w:rsidP="00004C4D">
            <w:pPr>
              <w:pStyle w:val="ListBullet"/>
            </w:pPr>
            <w:r w:rsidRPr="00004C4D">
              <w:t>paint, solvents and cleaning agents</w:t>
            </w:r>
          </w:p>
          <w:p w:rsidR="00000000" w:rsidRPr="00004C4D" w:rsidP="00004C4D">
            <w:pPr>
              <w:pStyle w:val="ListBullet"/>
            </w:pPr>
            <w:r w:rsidRPr="00004C4D">
              <w:t>tiles and glass</w:t>
            </w:r>
          </w:p>
          <w:p w:rsidR="00000000" w:rsidRPr="00004C4D" w:rsidP="00004C4D">
            <w:pPr>
              <w:pStyle w:val="ListBullet"/>
            </w:pPr>
            <w:r w:rsidRPr="00004C4D">
              <w:t>timber, plywoods, fibreboard and composites</w:t>
            </w:r>
          </w:p>
          <w:p w:rsidR="00000000" w:rsidP="00004C4D">
            <w:pPr>
              <w:pStyle w:val="ListBullet"/>
              <w:rPr>
                <w:lang w:val="en-NZ"/>
              </w:rPr>
            </w:pPr>
            <w:r w:rsidRPr="00004C4D">
              <w:t>wall and ceiling lining materials, plaster and platers products and external claddings.</w:t>
            </w:r>
          </w:p>
        </w:tc>
      </w:tr>
      <w:tr w:rsidTr="009A6603">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BoldandItalics"/>
              </w:rPr>
              <w:t>Labour and overhead costs</w:t>
            </w:r>
            <w:r w:rsidRPr="00004C4D">
              <w:t xml:space="preserve"> include:</w:t>
            </w:r>
          </w:p>
        </w:tc>
        <w:tc>
          <w:tcPr>
            <w:tcW w:w="5077" w:type="dxa"/>
            <w:tcBorders>
              <w:top w:val="nil"/>
              <w:left w:val="nil"/>
              <w:bottom w:val="nil"/>
              <w:right w:val="nil"/>
            </w:tcBorders>
            <w:tcMar>
              <w:top w:w="0" w:type="dxa"/>
              <w:left w:w="62" w:type="dxa"/>
              <w:bottom w:w="0" w:type="dxa"/>
              <w:right w:w="62" w:type="dxa"/>
            </w:tcMar>
          </w:tcPr>
          <w:p w:rsidR="00000000" w:rsidRPr="00004C4D" w:rsidP="00004C4D">
            <w:pPr>
              <w:pStyle w:val="ListBullet"/>
            </w:pPr>
            <w:r w:rsidRPr="00004C4D">
              <w:t>labour costs, such as:</w:t>
            </w:r>
          </w:p>
          <w:p w:rsidR="00000000" w:rsidRPr="00004C4D" w:rsidP="00004C4D">
            <w:pPr>
              <w:pStyle w:val="ListBullet2"/>
            </w:pPr>
            <w:r w:rsidRPr="00004C4D">
              <w:t>personal protective equipment</w:t>
            </w:r>
          </w:p>
          <w:p w:rsidR="00000000" w:rsidRPr="00004C4D" w:rsidP="00004C4D">
            <w:pPr>
              <w:pStyle w:val="ListBullet2"/>
            </w:pPr>
            <w:r w:rsidRPr="00004C4D">
              <w:t>site facilities</w:t>
            </w:r>
          </w:p>
          <w:p w:rsidR="00000000" w:rsidRPr="00004C4D" w:rsidP="00004C4D">
            <w:pPr>
              <w:pStyle w:val="ListBullet2"/>
            </w:pPr>
            <w:r w:rsidRPr="00004C4D">
              <w:t>wages and on-costs</w:t>
            </w:r>
          </w:p>
          <w:p w:rsidR="00000000" w:rsidRPr="00004C4D" w:rsidP="00004C4D">
            <w:pPr>
              <w:pStyle w:val="ListBullet"/>
            </w:pPr>
            <w:r w:rsidRPr="00004C4D">
              <w:t>overhead costs, such as:</w:t>
            </w:r>
          </w:p>
          <w:p w:rsidR="00000000" w:rsidRPr="00004C4D" w:rsidP="00004C4D">
            <w:pPr>
              <w:pStyle w:val="ListBullet2"/>
            </w:pPr>
            <w:r w:rsidRPr="00004C4D">
              <w:t>administration</w:t>
            </w:r>
          </w:p>
          <w:p w:rsidR="00000000" w:rsidRPr="00004C4D" w:rsidP="00004C4D">
            <w:pPr>
              <w:pStyle w:val="ListBullet2"/>
            </w:pPr>
            <w:r w:rsidRPr="00004C4D">
              <w:t>Insurance</w:t>
            </w:r>
          </w:p>
          <w:p w:rsidR="00000000" w:rsidRPr="00004C4D" w:rsidP="00004C4D">
            <w:pPr>
              <w:pStyle w:val="ListBullet2"/>
            </w:pPr>
            <w:r w:rsidRPr="00004C4D">
              <w:t>local government fees and charges</w:t>
            </w:r>
          </w:p>
          <w:p w:rsidR="00000000" w:rsidRPr="00004C4D" w:rsidP="00004C4D">
            <w:pPr>
              <w:pStyle w:val="ListBullet2"/>
            </w:pPr>
            <w:r w:rsidRPr="00004C4D">
              <w:t>plant and equipment hire</w:t>
            </w:r>
          </w:p>
          <w:p w:rsidR="00000000" w:rsidRPr="00004C4D" w:rsidP="00004C4D">
            <w:pPr>
              <w:pStyle w:val="ListBullet2"/>
            </w:pPr>
            <w:r w:rsidRPr="00004C4D">
              <w:t>transport</w:t>
            </w:r>
          </w:p>
          <w:p w:rsidR="00000000" w:rsidRPr="00004C4D" w:rsidP="00004C4D">
            <w:pPr>
              <w:pStyle w:val="ListBullet2"/>
            </w:pPr>
            <w:r w:rsidRPr="00004C4D">
              <w:t>use of communication technology</w:t>
            </w:r>
          </w:p>
          <w:p w:rsidR="00000000" w:rsidP="00004C4D">
            <w:pPr>
              <w:pStyle w:val="ListBullet2"/>
              <w:rPr>
                <w:lang w:val="en-NZ"/>
              </w:rPr>
            </w:pPr>
            <w:r w:rsidRPr="00004C4D">
              <w:t>waste removal fees.</w:t>
            </w:r>
          </w:p>
        </w:tc>
      </w:tr>
      <w:tr w:rsidTr="009A6603">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BoldandItalics"/>
              </w:rPr>
              <w:t>Costing documents</w:t>
            </w:r>
            <w:r w:rsidRPr="00004C4D">
              <w:t xml:space="preserve"> include:</w:t>
            </w:r>
          </w:p>
        </w:tc>
        <w:tc>
          <w:tcPr>
            <w:tcW w:w="5077" w:type="dxa"/>
            <w:tcBorders>
              <w:top w:val="nil"/>
              <w:left w:val="nil"/>
              <w:bottom w:val="nil"/>
              <w:right w:val="nil"/>
            </w:tcBorders>
            <w:tcMar>
              <w:top w:w="0" w:type="dxa"/>
              <w:left w:w="62" w:type="dxa"/>
              <w:bottom w:w="0" w:type="dxa"/>
              <w:right w:w="62" w:type="dxa"/>
            </w:tcMar>
          </w:tcPr>
          <w:p w:rsidR="00000000" w:rsidRPr="00004C4D" w:rsidP="00004C4D">
            <w:pPr>
              <w:pStyle w:val="ListBullet"/>
            </w:pPr>
            <w:r w:rsidRPr="00004C4D">
              <w:t>job sheets</w:t>
            </w:r>
          </w:p>
          <w:p w:rsidR="00000000" w:rsidRPr="00004C4D" w:rsidP="00004C4D">
            <w:pPr>
              <w:pStyle w:val="ListBullet"/>
            </w:pPr>
            <w:r w:rsidRPr="00004C4D">
              <w:t>materials list and estimates</w:t>
            </w:r>
          </w:p>
          <w:p w:rsidR="00000000" w:rsidRPr="00004C4D" w:rsidP="00004C4D">
            <w:pPr>
              <w:pStyle w:val="ListBullet"/>
            </w:pPr>
            <w:r w:rsidRPr="00004C4D">
              <w:t>quotations and tenders</w:t>
            </w:r>
          </w:p>
          <w:p w:rsidR="00000000" w:rsidRPr="00004C4D" w:rsidP="00004C4D">
            <w:pPr>
              <w:pStyle w:val="ListBullet"/>
            </w:pPr>
            <w:r w:rsidRPr="00004C4D">
              <w:t>work schedules.</w:t>
            </w:r>
          </w:p>
        </w:tc>
      </w:tr>
    </w:tbl>
    <w:p w:rsidR="009A6603" w:rsidP="00004C4D">
      <w:pPr>
        <w:pStyle w:val="BodyText"/>
      </w:pPr>
    </w:p>
    <w:p w:rsidR="009A6603" w:rsidP="00004C4D">
      <w:pPr>
        <w:pStyle w:val="BodyText"/>
      </w:pPr>
    </w:p>
    <w:p w:rsidR="00000000" w:rsidRPr="00004C4D" w:rsidP="00004C4D">
      <w:pPr>
        <w:pStyle w:val="Heading1"/>
      </w:pPr>
      <w:bookmarkStart w:id="12" w:name="O_197576"/>
      <w:bookmarkEnd w:id="12"/>
      <w:r w:rsidRPr="00004C4D">
        <w:t>Unit Sector(s)</w:t>
      </w:r>
    </w:p>
    <w:tbl>
      <w:tblPr>
        <w:tblW w:w="0" w:type="auto"/>
        <w:tblLayout w:type="fixed"/>
        <w:tblCellMar>
          <w:left w:w="62" w:type="dxa"/>
          <w:right w:w="62" w:type="dxa"/>
        </w:tblCellMar>
        <w:tblLook w:val="0000"/>
      </w:tblPr>
      <w:tblGrid>
        <w:gridCol w:w="2631"/>
        <w:gridCol w:w="5891"/>
      </w:tblGrid>
      <w:tr w:rsidTr="009A6603">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Unit sector</w:t>
            </w:r>
          </w:p>
        </w:tc>
        <w:tc>
          <w:tcPr>
            <w:tcW w:w="5891" w:type="dxa"/>
            <w:tcBorders>
              <w:top w:val="nil"/>
              <w:left w:val="nil"/>
              <w:bottom w:val="nil"/>
              <w:right w:val="nil"/>
            </w:tcBorders>
            <w:tcMar>
              <w:top w:w="0" w:type="dxa"/>
              <w:left w:w="62" w:type="dxa"/>
              <w:bottom w:w="0" w:type="dxa"/>
              <w:right w:w="62" w:type="dxa"/>
            </w:tcMar>
          </w:tcPr>
          <w:p w:rsidR="00000000" w:rsidRPr="00004C4D" w:rsidP="00004C4D">
            <w:pPr>
              <w:pStyle w:val="BodyText"/>
            </w:pPr>
            <w:r w:rsidRPr="00004C4D">
              <w:t>Construction</w:t>
            </w:r>
          </w:p>
        </w:tc>
      </w:tr>
    </w:tbl>
    <w:p w:rsidR="009A6603" w:rsidP="00004C4D">
      <w:pPr>
        <w:pStyle w:val="BodyText"/>
      </w:pPr>
    </w:p>
    <w:p w:rsidR="009A6603" w:rsidP="00004C4D">
      <w:pPr>
        <w:pStyle w:val="BodyText"/>
      </w:pPr>
    </w:p>
    <w:p w:rsidR="00000000" w:rsidRPr="00004C4D" w:rsidP="00004C4D">
      <w:pPr>
        <w:pStyle w:val="Heading1"/>
      </w:pPr>
      <w:bookmarkStart w:id="13" w:name="O_197573"/>
      <w:bookmarkEnd w:id="13"/>
      <w:r w:rsidRPr="00004C4D">
        <w:t>Co-requisite units</w:t>
      </w:r>
    </w:p>
    <w:tbl>
      <w:tblPr>
        <w:tblW w:w="0" w:type="auto"/>
        <w:tblLayout w:type="fixed"/>
        <w:tblCellMar>
          <w:left w:w="62" w:type="dxa"/>
          <w:right w:w="62" w:type="dxa"/>
        </w:tblCellMar>
        <w:tblLook w:val="0000"/>
      </w:tblPr>
      <w:tblGrid>
        <w:gridCol w:w="2642"/>
        <w:gridCol w:w="1335"/>
        <w:gridCol w:w="4545"/>
      </w:tblGrid>
      <w:tr w:rsidTr="009A6603">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t>Nil</w:t>
            </w:r>
          </w:p>
        </w:tc>
      </w:tr>
      <w:tr w:rsidTr="009A660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5"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p>
        </w:tc>
      </w:tr>
      <w:tr w:rsidTr="009A660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5" w:type="dxa"/>
            <w:tcBorders>
              <w:top w:val="nil"/>
              <w:left w:val="nil"/>
              <w:bottom w:val="nil"/>
              <w:right w:val="nil"/>
            </w:tcBorders>
            <w:tcMar>
              <w:top w:w="0" w:type="dxa"/>
              <w:left w:w="62" w:type="dxa"/>
              <w:bottom w:w="0" w:type="dxa"/>
              <w:right w:w="62" w:type="dxa"/>
            </w:tcMar>
          </w:tcPr>
          <w:p w:rsidR="00000000" w:rsidRPr="00004C4D" w:rsidP="00004C4D">
            <w:pPr>
              <w:pStyle w:val="BodyText"/>
            </w:pPr>
          </w:p>
        </w:tc>
      </w:tr>
    </w:tbl>
    <w:p w:rsidR="009A6603" w:rsidP="00004C4D">
      <w:pPr>
        <w:pStyle w:val="BodyText"/>
      </w:pPr>
    </w:p>
    <w:p w:rsidR="009A6603" w:rsidP="00004C4D">
      <w:pPr>
        <w:pStyle w:val="BodyText"/>
      </w:pPr>
    </w:p>
    <w:p w:rsidR="00000000" w:rsidRPr="00004C4D" w:rsidP="00004C4D">
      <w:pPr>
        <w:pStyle w:val="Heading1"/>
      </w:pPr>
      <w:bookmarkStart w:id="14" w:name="O_197575"/>
      <w:bookmarkEnd w:id="14"/>
      <w:r w:rsidRPr="00004C4D">
        <w:t>Functional area</w:t>
      </w:r>
    </w:p>
    <w:tbl>
      <w:tblPr>
        <w:tblW w:w="0" w:type="auto"/>
        <w:tblLayout w:type="fixed"/>
        <w:tblCellMar>
          <w:left w:w="62" w:type="dxa"/>
          <w:right w:w="62" w:type="dxa"/>
        </w:tblCellMar>
        <w:tblLook w:val="0000"/>
      </w:tblPr>
      <w:tblGrid>
        <w:gridCol w:w="2732"/>
        <w:gridCol w:w="5790"/>
      </w:tblGrid>
      <w:tr w:rsidTr="009A6603">
        <w:tblPrEx>
          <w:tblW w:w="0" w:type="auto"/>
          <w:tblLayout w:type="fixed"/>
          <w:tblCellMar>
            <w:left w:w="62" w:type="dxa"/>
            <w:right w:w="62" w:type="dxa"/>
          </w:tblCellMar>
          <w:tblLook w:val="0000"/>
        </w:tblPrEx>
        <w:trPr>
          <w:tblHeader/>
        </w:trPr>
        <w:tc>
          <w:tcPr>
            <w:tcW w:w="2732" w:type="dxa"/>
            <w:tcBorders>
              <w:top w:val="nil"/>
              <w:left w:val="nil"/>
              <w:bottom w:val="nil"/>
              <w:right w:val="nil"/>
            </w:tcBorders>
            <w:tcMar>
              <w:top w:w="0" w:type="dxa"/>
              <w:left w:w="62" w:type="dxa"/>
              <w:bottom w:w="0" w:type="dxa"/>
              <w:right w:w="62" w:type="dxa"/>
            </w:tcMar>
          </w:tcPr>
          <w:p w:rsidR="00000000" w:rsidP="00004C4D">
            <w:pPr>
              <w:pStyle w:val="BodyText"/>
              <w:rPr>
                <w:lang w:val="en-NZ"/>
              </w:rPr>
            </w:pPr>
            <w:r w:rsidRPr="00004C4D">
              <w:rPr>
                <w:rStyle w:val="SpecialBold"/>
              </w:rPr>
              <w:t>Functional area</w:t>
            </w:r>
          </w:p>
        </w:tc>
        <w:tc>
          <w:tcPr>
            <w:tcW w:w="5790" w:type="dxa"/>
            <w:tcBorders>
              <w:top w:val="nil"/>
              <w:left w:val="nil"/>
              <w:bottom w:val="nil"/>
              <w:right w:val="nil"/>
            </w:tcBorders>
            <w:tcMar>
              <w:top w:w="0" w:type="dxa"/>
              <w:left w:w="62" w:type="dxa"/>
              <w:bottom w:w="0" w:type="dxa"/>
              <w:right w:w="62" w:type="dxa"/>
            </w:tcMar>
          </w:tcPr>
          <w:p w:rsidR="00000000" w:rsidRPr="00004C4D" w:rsidP="00004C4D">
            <w:pPr>
              <w:pStyle w:val="BodyText"/>
            </w:pPr>
          </w:p>
        </w:tc>
      </w:tr>
    </w:tbl>
    <w:p w:rsidR="009A6603" w:rsidP="00004C4D">
      <w:pPr>
        <w:pStyle w:val="BodyText"/>
      </w:pPr>
    </w:p>
    <w:p w:rsidR="009A6603" w:rsidP="00004C4D">
      <w:pPr>
        <w:pStyle w:val="BodyText"/>
      </w:pPr>
    </w:p>
    <w:p w:rsidR="00000000" w:rsidRPr="00004C4D" w:rsidP="00004C4D"/>
    <w:sectPr w:rsidSect="00004C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603" w:rsidP="009A66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03" w:rsidP="00004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A6603" w:rsidP="00004C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A6603" w:rsidP="00004C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603" w:rsidP="009A660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03" w:rsidP="00004C4D">
    <w:pPr>
      <w:pStyle w:val="Header"/>
      <w:framePr w:wrap="around"/>
    </w:pPr>
    <w:r>
      <w:fldChar w:fldCharType="begin"/>
    </w:r>
    <w:r>
      <w:instrText xml:space="preserve"> TITLE   \* MERGEFORMAT </w:instrText>
    </w:r>
    <w:r>
      <w:fldChar w:fldCharType="separate"/>
    </w:r>
    <w:r>
      <w:t>CPCCCM2003B Calculate and cost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6603" w:rsidP="00004C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CC6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441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584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C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C4D"/>
    <w:pPr>
      <w:spacing w:before="360" w:after="60"/>
      <w:outlineLvl w:val="0"/>
    </w:pPr>
    <w:rPr>
      <w:sz w:val="32"/>
    </w:rPr>
  </w:style>
  <w:style w:type="paragraph" w:styleId="Heading2">
    <w:name w:val="heading 2"/>
    <w:basedOn w:val="HeadingBase"/>
    <w:next w:val="BodyText"/>
    <w:link w:val="Heading2Char"/>
    <w:qFormat/>
    <w:rsid w:val="00004C4D"/>
    <w:pPr>
      <w:keepLines/>
      <w:spacing w:before="240" w:after="120"/>
      <w:outlineLvl w:val="1"/>
    </w:pPr>
    <w:rPr>
      <w:sz w:val="28"/>
      <w:szCs w:val="40"/>
    </w:rPr>
  </w:style>
  <w:style w:type="paragraph" w:styleId="Heading3">
    <w:name w:val="heading 3"/>
    <w:basedOn w:val="HeadingBase"/>
    <w:next w:val="BodyText"/>
    <w:link w:val="Heading3Char"/>
    <w:qFormat/>
    <w:rsid w:val="00004C4D"/>
    <w:pPr>
      <w:spacing w:before="180" w:after="120"/>
      <w:outlineLvl w:val="2"/>
    </w:pPr>
    <w:rPr>
      <w:spacing w:val="-10"/>
      <w:kern w:val="32"/>
    </w:rPr>
  </w:style>
  <w:style w:type="paragraph" w:styleId="Heading4">
    <w:name w:val="heading 4"/>
    <w:basedOn w:val="HeadingBase"/>
    <w:next w:val="BodyText"/>
    <w:link w:val="Heading4Char"/>
    <w:qFormat/>
    <w:rsid w:val="00004C4D"/>
    <w:pPr>
      <w:spacing w:before="160" w:after="120"/>
      <w:outlineLvl w:val="3"/>
    </w:pPr>
    <w:rPr>
      <w:sz w:val="22"/>
    </w:rPr>
  </w:style>
  <w:style w:type="paragraph" w:styleId="Heading5">
    <w:name w:val="heading 5"/>
    <w:basedOn w:val="HeadingBase"/>
    <w:next w:val="Normal"/>
    <w:link w:val="Heading5Char"/>
    <w:qFormat/>
    <w:rsid w:val="00004C4D"/>
    <w:pPr>
      <w:spacing w:before="80"/>
      <w:outlineLvl w:val="4"/>
    </w:pPr>
    <w:rPr>
      <w:color w:val="918585"/>
      <w:sz w:val="20"/>
    </w:rPr>
  </w:style>
  <w:style w:type="paragraph" w:styleId="Heading6">
    <w:name w:val="heading 6"/>
    <w:basedOn w:val="HeadingBase"/>
    <w:next w:val="Normal"/>
    <w:link w:val="Heading6Char"/>
    <w:qFormat/>
    <w:rsid w:val="00004C4D"/>
    <w:pPr>
      <w:spacing w:before="60"/>
      <w:outlineLvl w:val="5"/>
    </w:pPr>
    <w:rPr>
      <w:color w:val="918585"/>
      <w:sz w:val="20"/>
    </w:rPr>
  </w:style>
  <w:style w:type="paragraph" w:styleId="Heading7">
    <w:name w:val="heading 7"/>
    <w:basedOn w:val="Normal"/>
    <w:next w:val="Normal"/>
    <w:link w:val="Heading7Char"/>
    <w:qFormat/>
    <w:rsid w:val="00004C4D"/>
    <w:pPr>
      <w:ind w:left="720"/>
      <w:outlineLvl w:val="6"/>
    </w:pPr>
    <w:rPr>
      <w:i/>
    </w:rPr>
  </w:style>
  <w:style w:type="paragraph" w:styleId="Heading8">
    <w:name w:val="heading 8"/>
    <w:basedOn w:val="Normal"/>
    <w:next w:val="Normal"/>
    <w:link w:val="Heading8Char"/>
    <w:qFormat/>
    <w:rsid w:val="00004C4D"/>
    <w:pPr>
      <w:ind w:left="720"/>
      <w:outlineLvl w:val="7"/>
    </w:pPr>
    <w:rPr>
      <w:i/>
    </w:rPr>
  </w:style>
  <w:style w:type="paragraph" w:styleId="Heading9">
    <w:name w:val="heading 9"/>
    <w:basedOn w:val="Normal"/>
    <w:next w:val="Normal"/>
    <w:link w:val="Heading9Char"/>
    <w:qFormat/>
    <w:rsid w:val="00004C4D"/>
    <w:pPr>
      <w:ind w:left="720"/>
      <w:outlineLvl w:val="8"/>
    </w:pPr>
    <w:rPr>
      <w:i/>
    </w:rPr>
  </w:style>
  <w:style w:type="character" w:default="1" w:styleId="DefaultParagraphFont">
    <w:name w:val="Default Paragraph Font"/>
    <w:uiPriority w:val="1"/>
    <w:unhideWhenUsed/>
    <w:rsid w:val="00004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C4D"/>
  </w:style>
  <w:style w:type="character" w:customStyle="1" w:styleId="Heading1Char">
    <w:name w:val="Heading 1 Char"/>
    <w:link w:val="Heading1"/>
    <w:rsid w:val="00004C4D"/>
    <w:rPr>
      <w:rFonts w:ascii="Times New Roman" w:eastAsia="Times New Roman" w:hAnsi="Times New Roman" w:cs="Times New Roman"/>
      <w:b/>
      <w:sz w:val="32"/>
      <w:szCs w:val="20"/>
      <w:lang w:eastAsia="en-US"/>
    </w:rPr>
  </w:style>
  <w:style w:type="paragraph" w:styleId="BodyText">
    <w:name w:val="Body Text"/>
    <w:basedOn w:val="Normal"/>
    <w:link w:val="BodyTextChar"/>
    <w:rsid w:val="00004C4D"/>
    <w:pPr>
      <w:spacing w:before="120" w:after="120"/>
      <w:contextualSpacing/>
    </w:pPr>
    <w:rPr>
      <w:rFonts w:ascii="Times New Roman" w:hAnsi="Times New Roman"/>
      <w:sz w:val="24"/>
      <w:szCs w:val="22"/>
    </w:rPr>
  </w:style>
  <w:style w:type="character" w:customStyle="1" w:styleId="BodyTextChar">
    <w:name w:val="Body Text Char"/>
    <w:link w:val="BodyText"/>
    <w:rsid w:val="00004C4D"/>
    <w:rPr>
      <w:rFonts w:ascii="Times New Roman" w:eastAsia="Times New Roman" w:hAnsi="Times New Roman" w:cs="Times New Roman"/>
      <w:sz w:val="24"/>
      <w:lang w:val="en-US" w:eastAsia="en-US"/>
    </w:rPr>
  </w:style>
  <w:style w:type="paragraph" w:styleId="Footer">
    <w:name w:val="footer"/>
    <w:basedOn w:val="Normal"/>
    <w:link w:val="FooterChar"/>
    <w:rsid w:val="00004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04C4D"/>
    <w:rPr>
      <w:rFonts w:ascii="Times New Roman" w:eastAsia="Times New Roman" w:hAnsi="Times New Roman" w:cs="Times New Roman"/>
      <w:sz w:val="16"/>
      <w:lang w:val="en-US" w:eastAsia="en-US"/>
    </w:rPr>
  </w:style>
  <w:style w:type="paragraph" w:styleId="List">
    <w:name w:val="List"/>
    <w:basedOn w:val="BodyText"/>
    <w:next w:val="BodyText"/>
    <w:rsid w:val="00004C4D"/>
    <w:pPr>
      <w:tabs>
        <w:tab w:val="left" w:pos="340"/>
      </w:tabs>
      <w:spacing w:before="60" w:after="60"/>
      <w:ind w:left="340" w:hanging="340"/>
    </w:pPr>
  </w:style>
  <w:style w:type="paragraph" w:styleId="ListBullet">
    <w:name w:val="List Bullet"/>
    <w:basedOn w:val="List"/>
    <w:rsid w:val="00004C4D"/>
    <w:pPr>
      <w:numPr>
        <w:numId w:val="13"/>
      </w:numPr>
      <w:tabs>
        <w:tab w:val="clear" w:pos="340"/>
      </w:tabs>
      <w:spacing w:before="40" w:after="40"/>
    </w:pPr>
  </w:style>
  <w:style w:type="character" w:customStyle="1" w:styleId="SpecialBold">
    <w:name w:val="Special Bold"/>
    <w:rsid w:val="00004C4D"/>
    <w:rPr>
      <w:b/>
      <w:spacing w:val="0"/>
    </w:rPr>
  </w:style>
  <w:style w:type="paragraph" w:styleId="ListBullet2">
    <w:name w:val="List Bullet 2"/>
    <w:basedOn w:val="List2"/>
    <w:rsid w:val="00004C4D"/>
    <w:pPr>
      <w:numPr>
        <w:numId w:val="14"/>
      </w:numPr>
      <w:tabs>
        <w:tab w:val="clear" w:pos="680"/>
      </w:tabs>
    </w:pPr>
  </w:style>
  <w:style w:type="paragraph" w:styleId="Header">
    <w:name w:val="header"/>
    <w:basedOn w:val="Normal"/>
    <w:link w:val="HeaderChar"/>
    <w:rsid w:val="00004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04C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4C4D"/>
    <w:pPr>
      <w:spacing w:before="240" w:after="120"/>
      <w:outlineLvl w:val="0"/>
    </w:pPr>
    <w:rPr>
      <w:rFonts w:ascii="Times New Roman" w:hAnsi="Times New Roman"/>
      <w:b/>
      <w:sz w:val="28"/>
    </w:rPr>
  </w:style>
  <w:style w:type="paragraph" w:customStyle="1" w:styleId="AllowPageBreak">
    <w:name w:val="AllowPageBreak"/>
    <w:rsid w:val="00004C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4C4D"/>
    <w:pPr>
      <w:tabs>
        <w:tab w:val="left" w:pos="680"/>
      </w:tabs>
      <w:spacing w:before="60" w:after="60"/>
      <w:ind w:left="680" w:hanging="340"/>
    </w:pPr>
  </w:style>
  <w:style w:type="character" w:customStyle="1" w:styleId="BoldandItalics">
    <w:name w:val="Bold and Italics"/>
    <w:qFormat/>
    <w:rsid w:val="00004C4D"/>
    <w:rPr>
      <w:b/>
      <w:i/>
      <w:u w:val="none"/>
    </w:rPr>
  </w:style>
  <w:style w:type="character" w:customStyle="1" w:styleId="Heading2Char">
    <w:name w:val="Heading 2 Char"/>
    <w:link w:val="Heading2"/>
    <w:rsid w:val="00004C4D"/>
    <w:rPr>
      <w:rFonts w:ascii="Times New Roman" w:eastAsia="Times New Roman" w:hAnsi="Times New Roman" w:cs="Times New Roman"/>
      <w:b/>
      <w:sz w:val="28"/>
      <w:szCs w:val="40"/>
      <w:lang w:eastAsia="en-US"/>
    </w:rPr>
  </w:style>
  <w:style w:type="character" w:customStyle="1" w:styleId="Heading3Char">
    <w:name w:val="Heading 3 Char"/>
    <w:link w:val="Heading3"/>
    <w:rsid w:val="00004C4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04C4D"/>
    <w:rPr>
      <w:rFonts w:ascii="Times New Roman" w:eastAsia="Times New Roman" w:hAnsi="Times New Roman" w:cs="Times New Roman"/>
      <w:b/>
      <w:szCs w:val="20"/>
      <w:lang w:eastAsia="en-US"/>
    </w:rPr>
  </w:style>
  <w:style w:type="character" w:customStyle="1" w:styleId="Heading5Char">
    <w:name w:val="Heading 5 Char"/>
    <w:link w:val="Heading5"/>
    <w:rsid w:val="00004C4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04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C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C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C4D"/>
    <w:rPr>
      <w:rFonts w:ascii="Courier New" w:eastAsia="Times New Roman" w:hAnsi="Courier New" w:cs="Times New Roman"/>
      <w:i/>
      <w:szCs w:val="20"/>
      <w:lang w:val="en-US" w:eastAsia="en-US"/>
    </w:rPr>
  </w:style>
  <w:style w:type="paragraph" w:customStyle="1" w:styleId="HeadingBase">
    <w:name w:val="Heading Base"/>
    <w:rsid w:val="00004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C4D"/>
    <w:pPr>
      <w:tabs>
        <w:tab w:val="right" w:leader="dot" w:pos="9072"/>
      </w:tabs>
      <w:ind w:left="567"/>
    </w:pPr>
    <w:rPr>
      <w:szCs w:val="22"/>
    </w:rPr>
  </w:style>
  <w:style w:type="paragraph" w:customStyle="1" w:styleId="TOCBase">
    <w:name w:val="TOC Base"/>
    <w:rsid w:val="00004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C4D"/>
    <w:pPr>
      <w:tabs>
        <w:tab w:val="right" w:leader="dot" w:pos="9072"/>
      </w:tabs>
      <w:spacing w:before="40" w:after="40"/>
      <w:ind w:left="284"/>
    </w:pPr>
    <w:rPr>
      <w:rFonts w:ascii="Times New Roman" w:hAnsi="Times New Roman"/>
    </w:rPr>
  </w:style>
  <w:style w:type="paragraph" w:styleId="TOC1">
    <w:name w:val="toc 1"/>
    <w:basedOn w:val="TOCBase"/>
    <w:next w:val="Normal"/>
    <w:rsid w:val="00004C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C4D"/>
    <w:pPr>
      <w:spacing w:before="5040"/>
      <w:jc w:val="center"/>
    </w:pPr>
    <w:rPr>
      <w:sz w:val="48"/>
      <w:szCs w:val="72"/>
      <w:lang w:val="en-US"/>
    </w:rPr>
  </w:style>
  <w:style w:type="character" w:customStyle="1" w:styleId="TitleChar">
    <w:name w:val="Title Char"/>
    <w:link w:val="Title"/>
    <w:rsid w:val="00004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C4D"/>
    <w:pPr>
      <w:tabs>
        <w:tab w:val="left" w:pos="3600"/>
        <w:tab w:val="left" w:pos="3958"/>
      </w:tabs>
    </w:pPr>
  </w:style>
  <w:style w:type="paragraph" w:customStyle="1" w:styleId="Note">
    <w:name w:val="Note"/>
    <w:basedOn w:val="BodyText"/>
    <w:rsid w:val="00004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C4D"/>
    <w:pPr>
      <w:framePr w:wrap="auto" w:hAnchor="text" w:y="6049"/>
    </w:pPr>
    <w:rPr>
      <w:color w:val="000000"/>
      <w:sz w:val="40"/>
    </w:rPr>
  </w:style>
  <w:style w:type="paragraph" w:customStyle="1" w:styleId="TOCTitle">
    <w:name w:val="TOCTitle"/>
    <w:basedOn w:val="Heading1"/>
    <w:rsid w:val="00004C4D"/>
    <w:pPr>
      <w:spacing w:after="240"/>
      <w:jc w:val="center"/>
      <w:outlineLvl w:val="9"/>
    </w:pPr>
    <w:rPr>
      <w:caps/>
    </w:rPr>
  </w:style>
  <w:style w:type="paragraph" w:customStyle="1" w:styleId="Version">
    <w:name w:val="Version"/>
    <w:rsid w:val="00004C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C4D"/>
    <w:pPr>
      <w:keepNext w:val="0"/>
      <w:tabs>
        <w:tab w:val="right" w:pos="4176"/>
      </w:tabs>
      <w:ind w:left="198" w:hanging="198"/>
    </w:pPr>
    <w:rPr>
      <w:rFonts w:ascii="Garamond" w:hAnsi="Garamond"/>
    </w:rPr>
  </w:style>
  <w:style w:type="paragraph" w:styleId="IndexHeading">
    <w:name w:val="index heading"/>
    <w:basedOn w:val="Normal"/>
    <w:next w:val="Index1"/>
    <w:semiHidden/>
    <w:rsid w:val="00004C4D"/>
    <w:pPr>
      <w:spacing w:before="120" w:after="120"/>
    </w:pPr>
    <w:rPr>
      <w:rFonts w:ascii="Arial" w:hAnsi="Arial"/>
      <w:b/>
      <w:color w:val="918585"/>
      <w:sz w:val="24"/>
    </w:rPr>
  </w:style>
  <w:style w:type="paragraph" w:customStyle="1" w:styleId="Chapter">
    <w:name w:val="Chapter"/>
    <w:basedOn w:val="Normal"/>
    <w:rsid w:val="00004C4D"/>
    <w:pPr>
      <w:spacing w:before="240"/>
    </w:pPr>
    <w:rPr>
      <w:rFonts w:ascii="Times New Roman" w:hAnsi="Times New Roman"/>
      <w:smallCaps/>
      <w:spacing w:val="80"/>
      <w:sz w:val="28"/>
    </w:rPr>
  </w:style>
  <w:style w:type="paragraph" w:customStyle="1" w:styleId="InChapter">
    <w:name w:val="InChapter"/>
    <w:basedOn w:val="Heading3"/>
    <w:rsid w:val="00004C4D"/>
    <w:pPr>
      <w:spacing w:after="240"/>
      <w:outlineLvl w:val="9"/>
    </w:pPr>
    <w:rPr>
      <w:noProof/>
    </w:rPr>
  </w:style>
  <w:style w:type="paragraph" w:styleId="Index2">
    <w:name w:val="index 2"/>
    <w:basedOn w:val="Normal"/>
    <w:next w:val="Normal"/>
    <w:semiHidden/>
    <w:rsid w:val="00004C4D"/>
    <w:pPr>
      <w:tabs>
        <w:tab w:val="right" w:pos="4176"/>
      </w:tabs>
      <w:ind w:left="568" w:hanging="284"/>
    </w:pPr>
    <w:rPr>
      <w:rFonts w:ascii="Garamond" w:hAnsi="Garamond"/>
    </w:rPr>
  </w:style>
  <w:style w:type="paragraph" w:customStyle="1" w:styleId="Byline">
    <w:name w:val="Byline"/>
    <w:rsid w:val="00004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C4D"/>
    <w:pPr>
      <w:tabs>
        <w:tab w:val="clear" w:pos="3600"/>
        <w:tab w:val="clear" w:pos="3958"/>
      </w:tabs>
      <w:jc w:val="right"/>
    </w:pPr>
  </w:style>
  <w:style w:type="character" w:styleId="Emphasis">
    <w:name w:val="Emphasis"/>
    <w:qFormat/>
    <w:rsid w:val="00004C4D"/>
    <w:rPr>
      <w:i/>
    </w:rPr>
  </w:style>
  <w:style w:type="paragraph" w:styleId="Caption">
    <w:name w:val="caption"/>
    <w:basedOn w:val="BodyText"/>
    <w:next w:val="Normal"/>
    <w:qFormat/>
    <w:rsid w:val="00004C4D"/>
    <w:pPr>
      <w:framePr w:w="2268" w:hSpace="181" w:vSpace="181" w:wrap="around" w:vAnchor="text" w:hAnchor="page" w:x="1135" w:y="285" w:anchorLock="1"/>
    </w:pPr>
    <w:rPr>
      <w:i/>
    </w:rPr>
  </w:style>
  <w:style w:type="paragraph" w:customStyle="1" w:styleId="MiniTOCTitle">
    <w:name w:val="MiniTOCTitle"/>
    <w:basedOn w:val="Heading4"/>
    <w:rsid w:val="00004C4D"/>
    <w:pPr>
      <w:spacing w:before="240"/>
      <w:outlineLvl w:val="9"/>
    </w:pPr>
    <w:rPr>
      <w:noProof/>
      <w:sz w:val="24"/>
    </w:rPr>
  </w:style>
  <w:style w:type="paragraph" w:customStyle="1" w:styleId="MiniTOCItem">
    <w:name w:val="MiniTOCItem"/>
    <w:basedOn w:val="ListBullet"/>
    <w:rsid w:val="00004C4D"/>
    <w:pPr>
      <w:numPr>
        <w:numId w:val="0"/>
      </w:numPr>
      <w:tabs>
        <w:tab w:val="right" w:leader="dot" w:pos="6521"/>
      </w:tabs>
      <w:spacing w:before="0" w:after="0"/>
    </w:pPr>
  </w:style>
  <w:style w:type="paragraph" w:customStyle="1" w:styleId="TOFTitle">
    <w:name w:val="TOFTitle"/>
    <w:basedOn w:val="TOCTitle"/>
    <w:rsid w:val="00004C4D"/>
  </w:style>
  <w:style w:type="paragraph" w:styleId="TableofFigures">
    <w:name w:val="table of figures"/>
    <w:basedOn w:val="Normal"/>
    <w:next w:val="Normal"/>
    <w:semiHidden/>
    <w:rsid w:val="00004C4D"/>
    <w:pPr>
      <w:tabs>
        <w:tab w:val="right" w:leader="dot" w:pos="9072"/>
      </w:tabs>
      <w:ind w:left="970" w:hanging="403"/>
    </w:pPr>
    <w:rPr>
      <w:rFonts w:ascii="Times New Roman" w:hAnsi="Times New Roman"/>
      <w:b/>
    </w:rPr>
  </w:style>
  <w:style w:type="paragraph" w:styleId="ListNumber">
    <w:name w:val="List Number"/>
    <w:basedOn w:val="List"/>
    <w:rsid w:val="00004C4D"/>
    <w:pPr>
      <w:numPr>
        <w:numId w:val="11"/>
      </w:numPr>
    </w:pPr>
  </w:style>
  <w:style w:type="character" w:customStyle="1" w:styleId="WingdingSymbols">
    <w:name w:val="Wingding Symbols"/>
    <w:rsid w:val="00004C4D"/>
    <w:rPr>
      <w:rFonts w:ascii="Wingdings" w:hAnsi="Wingdings"/>
    </w:rPr>
  </w:style>
  <w:style w:type="paragraph" w:customStyle="1" w:styleId="TableHeading">
    <w:name w:val="Table Heading"/>
    <w:basedOn w:val="HeadingBase"/>
    <w:rsid w:val="00004C4D"/>
    <w:pPr>
      <w:keepLines/>
      <w:pBdr>
        <w:bottom w:val="single" w:sz="6" w:space="1" w:color="918585"/>
      </w:pBdr>
      <w:spacing w:before="240"/>
    </w:pPr>
  </w:style>
  <w:style w:type="character" w:customStyle="1" w:styleId="HotSpot">
    <w:name w:val="HotSpot"/>
    <w:rsid w:val="00004C4D"/>
    <w:rPr>
      <w:color w:val="0033CC"/>
      <w:u w:val="none"/>
    </w:rPr>
  </w:style>
  <w:style w:type="paragraph" w:customStyle="1" w:styleId="BodyTextRight">
    <w:name w:val="Body Text Right"/>
    <w:basedOn w:val="BodyText"/>
    <w:rsid w:val="00004C4D"/>
    <w:pPr>
      <w:spacing w:before="0" w:after="0"/>
      <w:jc w:val="right"/>
    </w:pPr>
  </w:style>
  <w:style w:type="paragraph" w:styleId="Index3">
    <w:name w:val="index 3"/>
    <w:basedOn w:val="ListNumber2"/>
    <w:next w:val="Normal"/>
    <w:semiHidden/>
    <w:rsid w:val="00004C4D"/>
    <w:pPr>
      <w:numPr>
        <w:numId w:val="0"/>
      </w:numPr>
      <w:tabs>
        <w:tab w:val="right" w:leader="dot" w:pos="4176"/>
      </w:tabs>
    </w:pPr>
  </w:style>
  <w:style w:type="paragraph" w:styleId="ListNumber2">
    <w:name w:val="List Number 2"/>
    <w:basedOn w:val="List2"/>
    <w:rsid w:val="00004C4D"/>
    <w:pPr>
      <w:numPr>
        <w:numId w:val="10"/>
      </w:numPr>
      <w:tabs>
        <w:tab w:val="clear" w:pos="1060"/>
      </w:tabs>
    </w:pPr>
  </w:style>
  <w:style w:type="paragraph" w:customStyle="1" w:styleId="MarginNote">
    <w:name w:val="Margin Note"/>
    <w:basedOn w:val="BodyText"/>
    <w:rsid w:val="00004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04C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C4D"/>
    <w:rPr>
      <w:sz w:val="32"/>
    </w:rPr>
  </w:style>
  <w:style w:type="paragraph" w:customStyle="1" w:styleId="HeadingProcedure">
    <w:name w:val="Heading Procedure"/>
    <w:basedOn w:val="HeadingBase"/>
    <w:next w:val="Normal"/>
    <w:rsid w:val="00004C4D"/>
    <w:pPr>
      <w:tabs>
        <w:tab w:val="left" w:pos="0"/>
      </w:tabs>
      <w:spacing w:before="120" w:after="60"/>
    </w:pPr>
    <w:rPr>
      <w:i/>
      <w:color w:val="918585"/>
      <w:sz w:val="22"/>
    </w:rPr>
  </w:style>
  <w:style w:type="paragraph" w:customStyle="1" w:styleId="TableBodyText">
    <w:name w:val="Table Body Text"/>
    <w:basedOn w:val="BodyText"/>
    <w:rsid w:val="00004C4D"/>
    <w:pPr>
      <w:spacing w:before="60" w:after="60"/>
    </w:pPr>
  </w:style>
  <w:style w:type="paragraph" w:styleId="ListContinue">
    <w:name w:val="List Continue"/>
    <w:basedOn w:val="List"/>
    <w:rsid w:val="00004C4D"/>
    <w:pPr>
      <w:ind w:firstLine="0"/>
    </w:pPr>
  </w:style>
  <w:style w:type="paragraph" w:customStyle="1" w:styleId="ListNote">
    <w:name w:val="List Note"/>
    <w:basedOn w:val="List"/>
    <w:rsid w:val="00004C4D"/>
    <w:pPr>
      <w:pBdr>
        <w:top w:val="single" w:sz="6" w:space="2" w:color="918585"/>
        <w:bottom w:val="single" w:sz="6" w:space="2" w:color="918585"/>
      </w:pBdr>
      <w:tabs>
        <w:tab w:val="left" w:pos="1021"/>
      </w:tabs>
      <w:ind w:firstLine="0"/>
    </w:pPr>
  </w:style>
  <w:style w:type="paragraph" w:customStyle="1" w:styleId="Warning">
    <w:name w:val="Warning"/>
    <w:basedOn w:val="BodyText"/>
    <w:rsid w:val="00004C4D"/>
    <w:pPr>
      <w:shd w:val="clear" w:color="auto" w:fill="D9D9D9"/>
      <w:tabs>
        <w:tab w:val="left" w:pos="992"/>
      </w:tabs>
      <w:ind w:left="119" w:right="119"/>
    </w:pPr>
    <w:rPr>
      <w:sz w:val="20"/>
    </w:rPr>
  </w:style>
  <w:style w:type="paragraph" w:customStyle="1" w:styleId="MarginIcons">
    <w:name w:val="Margin Icons"/>
    <w:basedOn w:val="BodyText"/>
    <w:rsid w:val="00004C4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04C4D"/>
    <w:rPr>
      <w:rFonts w:ascii="Courier New" w:hAnsi="Courier New"/>
    </w:rPr>
  </w:style>
  <w:style w:type="paragraph" w:customStyle="1" w:styleId="NoteBullet">
    <w:name w:val="Note Bullet"/>
    <w:basedOn w:val="Note"/>
    <w:rsid w:val="00004C4D"/>
    <w:pPr>
      <w:tabs>
        <w:tab w:val="clear" w:pos="680"/>
      </w:tabs>
      <w:spacing w:before="60" w:after="60"/>
    </w:pPr>
  </w:style>
  <w:style w:type="paragraph" w:customStyle="1" w:styleId="SubHeading2">
    <w:name w:val="SubHeading2"/>
    <w:basedOn w:val="HeadingBase"/>
    <w:rsid w:val="00004C4D"/>
    <w:pPr>
      <w:spacing w:before="240" w:after="60"/>
    </w:pPr>
    <w:rPr>
      <w:sz w:val="20"/>
    </w:rPr>
  </w:style>
  <w:style w:type="paragraph" w:customStyle="1" w:styleId="SubHeading1">
    <w:name w:val="SubHeading1"/>
    <w:basedOn w:val="HeadingBase"/>
    <w:rsid w:val="00004C4D"/>
    <w:pPr>
      <w:spacing w:before="240" w:after="60"/>
    </w:pPr>
    <w:rPr>
      <w:color w:val="918585"/>
      <w:sz w:val="22"/>
    </w:rPr>
  </w:style>
  <w:style w:type="paragraph" w:customStyle="1" w:styleId="SideHeading">
    <w:name w:val="Side Heading"/>
    <w:basedOn w:val="HeadingBase"/>
    <w:rsid w:val="00004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C4D"/>
    <w:pPr>
      <w:numPr>
        <w:numId w:val="12"/>
      </w:numPr>
    </w:pPr>
  </w:style>
  <w:style w:type="paragraph" w:styleId="PlainText">
    <w:name w:val="Plain Text"/>
    <w:basedOn w:val="Normal"/>
    <w:link w:val="PlainTextChar"/>
    <w:rsid w:val="00004C4D"/>
    <w:rPr>
      <w:sz w:val="20"/>
    </w:rPr>
  </w:style>
  <w:style w:type="character" w:customStyle="1" w:styleId="PlainTextChar">
    <w:name w:val="Plain Text Char"/>
    <w:basedOn w:val="DefaultParagraphFont"/>
    <w:link w:val="PlainText"/>
    <w:rsid w:val="00004C4D"/>
    <w:rPr>
      <w:rFonts w:ascii="Courier New" w:eastAsia="Times New Roman" w:hAnsi="Courier New" w:cs="Times New Roman"/>
      <w:sz w:val="20"/>
      <w:szCs w:val="20"/>
      <w:lang w:val="en-US" w:eastAsia="en-US"/>
    </w:rPr>
  </w:style>
  <w:style w:type="character" w:customStyle="1" w:styleId="MenuOption">
    <w:name w:val="Menu Option"/>
    <w:rsid w:val="00004C4D"/>
    <w:rPr>
      <w:b/>
      <w:smallCaps/>
    </w:rPr>
  </w:style>
  <w:style w:type="paragraph" w:customStyle="1" w:styleId="TableListNumber">
    <w:name w:val="Table List Number"/>
    <w:basedOn w:val="ListNumber"/>
    <w:rsid w:val="00004C4D"/>
    <w:pPr>
      <w:numPr>
        <w:numId w:val="0"/>
      </w:numPr>
    </w:pPr>
  </w:style>
  <w:style w:type="paragraph" w:styleId="TOC4">
    <w:name w:val="toc 4"/>
    <w:basedOn w:val="TOCBase"/>
    <w:next w:val="Normal"/>
    <w:semiHidden/>
    <w:rsid w:val="00004C4D"/>
    <w:pPr>
      <w:tabs>
        <w:tab w:val="right" w:leader="dot" w:pos="9071"/>
      </w:tabs>
      <w:ind w:left="1701"/>
    </w:pPr>
  </w:style>
  <w:style w:type="paragraph" w:customStyle="1" w:styleId="ListAlpha">
    <w:name w:val="List Alpha"/>
    <w:basedOn w:val="List"/>
    <w:rsid w:val="00004C4D"/>
    <w:pPr>
      <w:numPr>
        <w:numId w:val="9"/>
      </w:numPr>
    </w:pPr>
  </w:style>
  <w:style w:type="paragraph" w:customStyle="1" w:styleId="ListAlpha2">
    <w:name w:val="List Alpha 2"/>
    <w:basedOn w:val="List2"/>
    <w:rsid w:val="00004C4D"/>
    <w:pPr>
      <w:numPr>
        <w:numId w:val="8"/>
      </w:numPr>
    </w:pPr>
  </w:style>
  <w:style w:type="paragraph" w:styleId="List3">
    <w:name w:val="List 3"/>
    <w:basedOn w:val="BodyText"/>
    <w:rsid w:val="00004C4D"/>
    <w:pPr>
      <w:tabs>
        <w:tab w:val="left" w:pos="1021"/>
      </w:tabs>
      <w:spacing w:before="60" w:after="60"/>
      <w:ind w:left="1020" w:hanging="340"/>
    </w:pPr>
  </w:style>
  <w:style w:type="paragraph" w:styleId="List4">
    <w:name w:val="List 4"/>
    <w:basedOn w:val="BodyText"/>
    <w:rsid w:val="00004C4D"/>
    <w:pPr>
      <w:tabs>
        <w:tab w:val="left" w:pos="1361"/>
      </w:tabs>
      <w:spacing w:before="60" w:after="60"/>
      <w:ind w:left="1361" w:hanging="340"/>
    </w:pPr>
  </w:style>
  <w:style w:type="paragraph" w:styleId="List5">
    <w:name w:val="List 5"/>
    <w:basedOn w:val="BodyText"/>
    <w:rsid w:val="00004C4D"/>
    <w:pPr>
      <w:tabs>
        <w:tab w:val="left" w:pos="1701"/>
      </w:tabs>
      <w:spacing w:before="60" w:after="60"/>
      <w:ind w:left="1701" w:hanging="340"/>
    </w:pPr>
  </w:style>
  <w:style w:type="paragraph" w:styleId="ListBullet3">
    <w:name w:val="List Bullet 3"/>
    <w:basedOn w:val="List3"/>
    <w:rsid w:val="00004C4D"/>
    <w:pPr>
      <w:numPr>
        <w:numId w:val="15"/>
      </w:numPr>
      <w:tabs>
        <w:tab w:val="clear" w:pos="1021"/>
      </w:tabs>
      <w:ind w:left="1037" w:hanging="357"/>
    </w:pPr>
  </w:style>
  <w:style w:type="paragraph" w:styleId="ListBullet4">
    <w:name w:val="List Bullet 4"/>
    <w:basedOn w:val="List4"/>
    <w:rsid w:val="00004C4D"/>
    <w:pPr>
      <w:numPr>
        <w:numId w:val="3"/>
      </w:numPr>
    </w:pPr>
  </w:style>
  <w:style w:type="paragraph" w:styleId="ListBullet5">
    <w:name w:val="List Bullet 5"/>
    <w:basedOn w:val="List5"/>
    <w:rsid w:val="00004C4D"/>
    <w:pPr>
      <w:numPr>
        <w:numId w:val="4"/>
      </w:numPr>
    </w:pPr>
  </w:style>
  <w:style w:type="paragraph" w:styleId="ListContinue2">
    <w:name w:val="List Continue 2"/>
    <w:basedOn w:val="List2"/>
    <w:rsid w:val="00004C4D"/>
    <w:pPr>
      <w:ind w:firstLine="0"/>
    </w:pPr>
  </w:style>
  <w:style w:type="paragraph" w:styleId="ListContinue3">
    <w:name w:val="List Continue 3"/>
    <w:basedOn w:val="List3"/>
    <w:rsid w:val="00004C4D"/>
    <w:pPr>
      <w:ind w:left="1021" w:firstLine="0"/>
    </w:pPr>
  </w:style>
  <w:style w:type="paragraph" w:styleId="ListContinue4">
    <w:name w:val="List Continue 4"/>
    <w:basedOn w:val="List4"/>
    <w:rsid w:val="00004C4D"/>
    <w:pPr>
      <w:ind w:firstLine="0"/>
    </w:pPr>
  </w:style>
  <w:style w:type="paragraph" w:styleId="ListContinue5">
    <w:name w:val="List Continue 5"/>
    <w:basedOn w:val="List5"/>
    <w:rsid w:val="00004C4D"/>
    <w:pPr>
      <w:ind w:firstLine="0"/>
    </w:pPr>
  </w:style>
  <w:style w:type="paragraph" w:styleId="ListNumber3">
    <w:name w:val="List Number 3"/>
    <w:basedOn w:val="List3"/>
    <w:rsid w:val="00004C4D"/>
    <w:pPr>
      <w:numPr>
        <w:numId w:val="5"/>
      </w:numPr>
    </w:pPr>
  </w:style>
  <w:style w:type="paragraph" w:styleId="ListNumber4">
    <w:name w:val="List Number 4"/>
    <w:basedOn w:val="List4"/>
    <w:rsid w:val="00004C4D"/>
    <w:pPr>
      <w:numPr>
        <w:numId w:val="6"/>
      </w:numPr>
    </w:pPr>
  </w:style>
  <w:style w:type="paragraph" w:styleId="ListNumber5">
    <w:name w:val="List Number 5"/>
    <w:basedOn w:val="List5"/>
    <w:rsid w:val="00004C4D"/>
    <w:pPr>
      <w:numPr>
        <w:numId w:val="7"/>
      </w:numPr>
    </w:pPr>
  </w:style>
  <w:style w:type="paragraph" w:styleId="BlockText">
    <w:name w:val="Block Text"/>
    <w:basedOn w:val="Normal"/>
    <w:rsid w:val="00004C4D"/>
    <w:pPr>
      <w:spacing w:after="120"/>
      <w:ind w:left="1440" w:right="1440"/>
    </w:pPr>
  </w:style>
  <w:style w:type="character" w:customStyle="1" w:styleId="Subscript">
    <w:name w:val="Subscript"/>
    <w:rsid w:val="00004C4D"/>
    <w:rPr>
      <w:sz w:val="16"/>
      <w:vertAlign w:val="subscript"/>
    </w:rPr>
  </w:style>
  <w:style w:type="character" w:customStyle="1" w:styleId="Superscript">
    <w:name w:val="Superscript"/>
    <w:rsid w:val="00004C4D"/>
    <w:rPr>
      <w:sz w:val="16"/>
      <w:vertAlign w:val="superscript"/>
    </w:rPr>
  </w:style>
  <w:style w:type="character" w:customStyle="1" w:styleId="Symbols">
    <w:name w:val="Symbols"/>
    <w:rsid w:val="00004C4D"/>
    <w:rPr>
      <w:rFonts w:ascii="Symbol" w:hAnsi="Symbol"/>
    </w:rPr>
  </w:style>
  <w:style w:type="character" w:customStyle="1" w:styleId="MenuOptions">
    <w:name w:val="Menu Options"/>
    <w:rsid w:val="00004C4D"/>
    <w:rPr>
      <w:rFonts w:ascii="Arial Narrow" w:hAnsi="Arial Narrow"/>
      <w:smallCaps/>
    </w:rPr>
  </w:style>
  <w:style w:type="character" w:customStyle="1" w:styleId="Buttons">
    <w:name w:val="Buttons"/>
    <w:rsid w:val="00004C4D"/>
    <w:rPr>
      <w:b/>
    </w:rPr>
  </w:style>
  <w:style w:type="character" w:customStyle="1" w:styleId="Underlined">
    <w:name w:val="Underlined"/>
    <w:rsid w:val="00004C4D"/>
    <w:rPr>
      <w:u w:val="single"/>
    </w:rPr>
  </w:style>
  <w:style w:type="paragraph" w:customStyle="1" w:styleId="TableBodyTextRight">
    <w:name w:val="Table Body Text Right"/>
    <w:basedOn w:val="TableBodyText"/>
    <w:rsid w:val="00004C4D"/>
    <w:pPr>
      <w:widowControl w:val="0"/>
      <w:autoSpaceDE w:val="0"/>
      <w:autoSpaceDN w:val="0"/>
      <w:adjustRightInd w:val="0"/>
      <w:jc w:val="right"/>
    </w:pPr>
    <w:rPr>
      <w:rFonts w:cs="Arial"/>
      <w:szCs w:val="18"/>
    </w:rPr>
  </w:style>
  <w:style w:type="paragraph" w:customStyle="1" w:styleId="CopyrightText">
    <w:name w:val="Copyright Text"/>
    <w:basedOn w:val="BodyText"/>
    <w:rsid w:val="00004C4D"/>
    <w:rPr>
      <w:sz w:val="18"/>
    </w:rPr>
  </w:style>
  <w:style w:type="paragraph" w:customStyle="1" w:styleId="BodySmallRight">
    <w:name w:val="Body Small Right"/>
    <w:basedOn w:val="BodyTextRight"/>
    <w:rsid w:val="00004C4D"/>
    <w:rPr>
      <w:sz w:val="18"/>
      <w:szCs w:val="18"/>
    </w:rPr>
  </w:style>
  <w:style w:type="paragraph" w:customStyle="1" w:styleId="MarginEdition">
    <w:name w:val="Margin Edition"/>
    <w:basedOn w:val="MarginNote"/>
    <w:rsid w:val="00004C4D"/>
    <w:pPr>
      <w:spacing w:before="0" w:after="0"/>
    </w:pPr>
    <w:rPr>
      <w:rFonts w:ascii="Times New Roman" w:hAnsi="Times New Roman"/>
      <w:color w:val="999999"/>
    </w:rPr>
  </w:style>
  <w:style w:type="paragraph" w:customStyle="1" w:styleId="Spacer">
    <w:name w:val="Spacer"/>
    <w:basedOn w:val="Normal"/>
    <w:rsid w:val="00004C4D"/>
    <w:rPr>
      <w:sz w:val="2"/>
      <w:szCs w:val="2"/>
    </w:rPr>
  </w:style>
  <w:style w:type="character" w:customStyle="1" w:styleId="Small">
    <w:name w:val="Small"/>
    <w:rsid w:val="00004C4D"/>
    <w:rPr>
      <w:sz w:val="16"/>
    </w:rPr>
  </w:style>
  <w:style w:type="paragraph" w:customStyle="1" w:styleId="WideTable">
    <w:name w:val="Wide Table"/>
    <w:basedOn w:val="Normal"/>
    <w:rsid w:val="00004C4D"/>
    <w:pPr>
      <w:ind w:left="-1418"/>
    </w:pPr>
    <w:rPr>
      <w:sz w:val="2"/>
      <w:szCs w:val="2"/>
    </w:rPr>
  </w:style>
  <w:style w:type="character" w:styleId="PageNumber">
    <w:name w:val="page number"/>
    <w:rsid w:val="00004C4D"/>
  </w:style>
  <w:style w:type="paragraph" w:styleId="Quote">
    <w:name w:val="Quote"/>
    <w:basedOn w:val="Heading1"/>
    <w:link w:val="QuoteChar"/>
    <w:qFormat/>
    <w:rsid w:val="00004C4D"/>
    <w:rPr>
      <w:b w:val="0"/>
      <w:sz w:val="72"/>
      <w:szCs w:val="72"/>
      <w:lang w:val="en-NZ"/>
    </w:rPr>
  </w:style>
  <w:style w:type="character" w:customStyle="1" w:styleId="QuoteChar">
    <w:name w:val="Quote Char"/>
    <w:link w:val="Quote"/>
    <w:rsid w:val="00004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C4D"/>
    <w:pPr>
      <w:pageBreakBefore/>
    </w:pPr>
  </w:style>
  <w:style w:type="paragraph" w:customStyle="1" w:styleId="Border">
    <w:name w:val="Border"/>
    <w:basedOn w:val="Normal"/>
    <w:qFormat/>
    <w:rsid w:val="00004C4D"/>
    <w:pPr>
      <w:pBdr>
        <w:top w:val="single" w:sz="18" w:space="1" w:color="auto"/>
      </w:pBdr>
    </w:pPr>
    <w:rPr>
      <w:rFonts w:ascii="Times New Roman" w:hAnsi="Times New Roman"/>
      <w:color w:val="FFFFFF"/>
      <w:sz w:val="2"/>
    </w:rPr>
  </w:style>
  <w:style w:type="character" w:styleId="IntenseEmphasis">
    <w:name w:val="Intense Emphasis"/>
    <w:uiPriority w:val="21"/>
    <w:qFormat/>
    <w:rsid w:val="00004C4D"/>
    <w:rPr>
      <w:b/>
      <w:bCs/>
      <w:i/>
      <w:iCs/>
      <w:color w:val="auto"/>
    </w:rPr>
  </w:style>
  <w:style w:type="paragraph" w:styleId="IntenseQuote">
    <w:name w:val="Intense Quote"/>
    <w:basedOn w:val="Normal"/>
    <w:next w:val="Normal"/>
    <w:link w:val="IntenseQuoteChar"/>
    <w:uiPriority w:val="30"/>
    <w:qFormat/>
    <w:rsid w:val="00004C4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04C4D"/>
    <w:rPr>
      <w:rFonts w:ascii="Courier New" w:eastAsia="Times New Roman" w:hAnsi="Courier New" w:cs="Times New Roman"/>
      <w:b/>
      <w:bCs/>
      <w:i/>
      <w:iCs/>
      <w:szCs w:val="20"/>
      <w:lang w:val="en-US" w:eastAsia="en-US"/>
    </w:rPr>
  </w:style>
  <w:style w:type="character" w:styleId="SubtleReference">
    <w:name w:val="Subtle Reference"/>
    <w:uiPriority w:val="31"/>
    <w:qFormat/>
    <w:rsid w:val="00004C4D"/>
    <w:rPr>
      <w:smallCaps/>
      <w:color w:val="auto"/>
      <w:u w:val="single"/>
    </w:rPr>
  </w:style>
  <w:style w:type="character" w:styleId="IntenseReference">
    <w:name w:val="Intense Reference"/>
    <w:uiPriority w:val="32"/>
    <w:qFormat/>
    <w:rsid w:val="00004C4D"/>
    <w:rPr>
      <w:b/>
      <w:bCs/>
      <w:smallCaps/>
      <w:color w:val="auto"/>
      <w:spacing w:val="5"/>
      <w:u w:val="single"/>
    </w:rPr>
  </w:style>
  <w:style w:type="paragraph" w:customStyle="1" w:styleId="2ColumnHeading">
    <w:name w:val="2Column Heading"/>
    <w:basedOn w:val="BodyText"/>
    <w:qFormat/>
    <w:rsid w:val="00004C4D"/>
    <w:pPr>
      <w:spacing w:after="60"/>
      <w:ind w:left="-2268"/>
    </w:pPr>
    <w:rPr>
      <w:b/>
    </w:rPr>
  </w:style>
  <w:style w:type="paragraph" w:customStyle="1" w:styleId="Heading1TOC">
    <w:name w:val="Heading1 TOC"/>
    <w:basedOn w:val="Normal"/>
    <w:qFormat/>
    <w:rsid w:val="00004C4D"/>
    <w:pPr>
      <w:spacing w:before="240" w:after="120"/>
    </w:pPr>
    <w:rPr>
      <w:rFonts w:ascii="Times New Roman" w:hAnsi="Times New Roman"/>
      <w:b/>
      <w:sz w:val="32"/>
    </w:rPr>
  </w:style>
  <w:style w:type="paragraph" w:customStyle="1" w:styleId="Heading2TOC">
    <w:name w:val="Heading2 TOC"/>
    <w:basedOn w:val="Normal"/>
    <w:qFormat/>
    <w:rsid w:val="00004C4D"/>
    <w:pPr>
      <w:spacing w:before="240" w:after="60"/>
    </w:pPr>
    <w:rPr>
      <w:rFonts w:ascii="Times New Roman" w:hAnsi="Times New Roman"/>
      <w:b/>
      <w:sz w:val="28"/>
    </w:rPr>
  </w:style>
  <w:style w:type="character" w:customStyle="1" w:styleId="Underline">
    <w:name w:val="Underline"/>
    <w:qFormat/>
    <w:rsid w:val="00004C4D"/>
    <w:rPr>
      <w:u w:val="single"/>
    </w:rPr>
  </w:style>
  <w:style w:type="paragraph" w:styleId="BalloonText">
    <w:name w:val="Balloon Text"/>
    <w:basedOn w:val="Normal"/>
    <w:link w:val="BalloonTextChar"/>
    <w:rsid w:val="00004C4D"/>
    <w:rPr>
      <w:rFonts w:ascii="Tahoma" w:hAnsi="Tahoma" w:cs="Tahoma"/>
      <w:sz w:val="16"/>
      <w:szCs w:val="16"/>
    </w:rPr>
  </w:style>
  <w:style w:type="character" w:customStyle="1" w:styleId="BalloonTextChar">
    <w:name w:val="Balloon Text Char"/>
    <w:link w:val="BalloonText"/>
    <w:rsid w:val="00004C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C4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04C4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1403</Words>
  <Characters>8871</Characters>
  <Application>Microsoft Office Word</Application>
  <DocSecurity>0</DocSecurity>
  <Lines>320</Lines>
  <Paragraphs>156</Paragraphs>
  <ScaleCrop>false</ScaleCrop>
  <Company>Author-it Software Corporation Ltd.</Company>
  <LinksUpToDate>false</LinksUpToDate>
  <CharactersWithSpaces>10196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CPCCCM2003B Calculate and cost construction work</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2012-05-26T05:27:00Z</dcterms:created>
  <dcterms:modified xsi:type="dcterms:W3CDTF">2012-05-26T05:27:00Z</dcterms:modified>
</cp:coreProperties>
</file>