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308" w:rsidP="003E3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CPCCCM1016A Identify requirements for safe tilt-up work</w:t>
      </w:r>
      <w:r>
        <w:fldChar w:fldCharType="end"/>
      </w:r>
    </w:p>
    <w:p w:rsidR="003E3308" w:rsidP="003E3308">
      <w:pPr>
        <w:pStyle w:val="Version"/>
        <w:sectPr w:rsidSect="00034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34170" w:rsidP="00034170">
      <w:pPr>
        <w:pStyle w:val="SuperHeading"/>
      </w:pPr>
      <w:r w:rsidRPr="00034170">
        <w:t>CPCCCM1016A Identify requirements for safe tilt-up work</w:t>
      </w:r>
    </w:p>
    <w:p w:rsidR="00000000" w:rsidRPr="00034170" w:rsidP="00034170">
      <w:pPr>
        <w:pStyle w:val="Heading1"/>
      </w:pPr>
      <w:bookmarkStart w:id="1" w:name="O_498430"/>
      <w:bookmarkEnd w:id="1"/>
      <w:r w:rsidRPr="00034170">
        <w:t>Modification History</w:t>
      </w:r>
    </w:p>
    <w:p w:rsidR="00000000" w:rsidRPr="00034170" w:rsidP="00034170">
      <w:pPr>
        <w:pStyle w:val="BodyText"/>
      </w:pPr>
      <w:r w:rsidRPr="00034170">
        <w:t>Nominal AQF level of unit and unit title changed to better reflect unit outcomes</w:t>
      </w:r>
    </w:p>
    <w:p w:rsidR="00000000" w:rsidRPr="00034170" w:rsidP="00034170">
      <w:pPr>
        <w:pStyle w:val="BodyText"/>
      </w:pPr>
      <w:r w:rsidRPr="00034170">
        <w:t>Prerequisite unit requirement removed</w:t>
      </w:r>
    </w:p>
    <w:p w:rsidR="00000000" w:rsidRPr="00034170" w:rsidP="00034170">
      <w:pPr>
        <w:pStyle w:val="BodyText"/>
      </w:pPr>
      <w:r w:rsidRPr="00034170">
        <w:t>Changes to wording of elements and required skills</w:t>
      </w:r>
    </w:p>
    <w:p w:rsidR="00000000" w:rsidRPr="00034170" w:rsidP="00034170">
      <w:pPr>
        <w:pStyle w:val="BodyText"/>
      </w:pPr>
      <w:r w:rsidRPr="00034170">
        <w:t>Not equivalent to CPCCCM2011A</w:t>
      </w:r>
    </w:p>
    <w:p w:rsidR="00000000" w:rsidRPr="00034170" w:rsidP="00034170">
      <w:pPr>
        <w:pStyle w:val="AllowPageBreak"/>
      </w:pPr>
    </w:p>
    <w:p w:rsidR="00000000" w:rsidRPr="00034170" w:rsidP="00034170">
      <w:pPr>
        <w:pStyle w:val="Heading1"/>
      </w:pPr>
      <w:bookmarkStart w:id="2" w:name="O_498431"/>
      <w:bookmarkEnd w:id="2"/>
      <w:r w:rsidRPr="00034170">
        <w:t>Un</w:t>
      </w:r>
      <w:r w:rsidRPr="00034170">
        <w:t>it Descriptor</w:t>
      </w:r>
    </w:p>
    <w:p w:rsidR="00000000" w:rsidRPr="00034170" w:rsidP="00034170">
      <w:pPr>
        <w:pStyle w:val="BodyText"/>
      </w:pPr>
      <w:r w:rsidRPr="00034170">
        <w:t>This unit of competency specifies the outcomes required for tilt-up work induction training within the construction industry. Licensing requirements will apply to this unit of competency depending on the regulatory requirements of each jurisd</w:t>
      </w:r>
      <w:r w:rsidRPr="00034170">
        <w:t>iction.</w:t>
      </w:r>
    </w:p>
    <w:p w:rsidR="00000000" w:rsidRPr="00034170" w:rsidP="00034170">
      <w:pPr>
        <w:pStyle w:val="AllowPageBreak"/>
      </w:pPr>
    </w:p>
    <w:p w:rsidR="00000000" w:rsidRPr="00034170" w:rsidP="00034170">
      <w:pPr>
        <w:pStyle w:val="Heading1"/>
      </w:pPr>
      <w:bookmarkStart w:id="3" w:name="O_498432"/>
      <w:bookmarkEnd w:id="3"/>
      <w:r w:rsidRPr="00034170">
        <w:t>Application of the Unit</w:t>
      </w:r>
    </w:p>
    <w:p w:rsidR="00000000" w:rsidRPr="00034170" w:rsidP="00034170">
      <w:pPr>
        <w:pStyle w:val="BodyText"/>
      </w:pPr>
      <w:r w:rsidRPr="00034170">
        <w:t>This unit of competency supports achievement of tilt-up work knowledge required prior to entering tilt-up workplaces. It meets the needs of workers requiring tilt-up work induction training according to legi</w:t>
      </w:r>
      <w:r w:rsidRPr="00034170">
        <w:t xml:space="preserve">slative requirements. </w:t>
      </w:r>
    </w:p>
    <w:p w:rsidR="00000000" w:rsidRPr="00034170" w:rsidP="00034170">
      <w:pPr>
        <w:pStyle w:val="AllowPageBreak"/>
      </w:pPr>
    </w:p>
    <w:p w:rsidR="00000000" w:rsidRPr="00034170" w:rsidP="00034170">
      <w:pPr>
        <w:pStyle w:val="Heading1"/>
      </w:pPr>
      <w:bookmarkStart w:id="4" w:name="O_498433"/>
      <w:bookmarkEnd w:id="4"/>
      <w:r w:rsidRPr="00034170">
        <w:t>Licensing/Regulatory Information</w:t>
      </w:r>
    </w:p>
    <w:p w:rsidR="00000000" w:rsidRPr="00034170" w:rsidP="00034170">
      <w:pPr>
        <w:pStyle w:val="BodyText"/>
      </w:pPr>
      <w:r w:rsidRPr="00034170">
        <w:t>Not applicable.</w:t>
      </w:r>
    </w:p>
    <w:p w:rsidR="00000000" w:rsidRPr="00034170" w:rsidP="00034170">
      <w:pPr>
        <w:pStyle w:val="AllowPageBreak"/>
      </w:pPr>
    </w:p>
    <w:p w:rsidR="00000000" w:rsidRPr="00034170" w:rsidP="00034170">
      <w:pPr>
        <w:pStyle w:val="Heading1"/>
      </w:pPr>
      <w:bookmarkStart w:id="5" w:name="O_498434"/>
      <w:bookmarkEnd w:id="5"/>
      <w:r w:rsidRPr="00034170">
        <w:t>Pre-Requisites</w:t>
      </w:r>
    </w:p>
    <w:p w:rsidR="003E3308" w:rsidP="00034170">
      <w:pPr>
        <w:pStyle w:val="BodyText"/>
      </w:pPr>
      <w:r w:rsidRPr="00034170">
        <w:t>Nil</w:t>
      </w:r>
    </w:p>
    <w:p w:rsidR="003E3308" w:rsidP="00034170">
      <w:pPr>
        <w:pStyle w:val="BodyText"/>
      </w:pPr>
    </w:p>
    <w:p w:rsidR="00000000" w:rsidRPr="00034170" w:rsidP="00034170">
      <w:pPr>
        <w:pStyle w:val="Heading1"/>
      </w:pPr>
      <w:bookmarkStart w:id="6" w:name="O_498435"/>
      <w:bookmarkEnd w:id="6"/>
      <w:r w:rsidRPr="00034170">
        <w:t>Employability Skills Information</w:t>
      </w:r>
    </w:p>
    <w:p w:rsidR="00000000" w:rsidRPr="00034170" w:rsidP="00034170">
      <w:pPr>
        <w:pStyle w:val="BodyText"/>
      </w:pPr>
      <w:r w:rsidRPr="00034170">
        <w:t>This unit contains employability skills.</w:t>
      </w:r>
    </w:p>
    <w:p w:rsidR="00000000" w:rsidRPr="00034170" w:rsidP="00034170">
      <w:pPr>
        <w:pStyle w:val="AllowPageBreak"/>
      </w:pPr>
    </w:p>
    <w:p w:rsidR="00000000" w:rsidRPr="00034170" w:rsidP="00034170">
      <w:pPr>
        <w:pStyle w:val="Heading1"/>
      </w:pPr>
      <w:bookmarkStart w:id="7" w:name="O_498436"/>
      <w:bookmarkEnd w:id="7"/>
      <w:r w:rsidRPr="00034170">
        <w:t>Elements and Performan</w:t>
      </w:r>
      <w:r w:rsidRPr="00034170">
        <w:t>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Elements describe the essential outcomes of a unit of competency.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BodyText"/>
            </w:pPr>
            <w:r w:rsidRPr="00034170">
              <w:t>Performance criteria describe the performance needed to demonstrate achievement of the element. Where bold italicised text is used, further information is detailed in</w:t>
            </w:r>
            <w:r w:rsidRPr="00034170">
              <w:t xml:space="preserve"> the required skills and knowledge section and the range statement. Assessment of performance is to be consistent with the evidence guide.</w:t>
            </w:r>
          </w:p>
        </w:tc>
      </w:tr>
    </w:tbl>
    <w:p w:rsidR="00000000" w:rsidRPr="00034170" w:rsidP="00034170">
      <w:pPr>
        <w:pStyle w:val="BodyText"/>
      </w:pPr>
    </w:p>
    <w:p w:rsidR="00000000" w:rsidRPr="00034170" w:rsidP="00034170">
      <w:pPr>
        <w:pStyle w:val="AllowPageBreak"/>
      </w:pPr>
    </w:p>
    <w:p w:rsidR="00000000" w:rsidRPr="00034170" w:rsidP="00034170">
      <w:pPr>
        <w:pStyle w:val="Heading1"/>
      </w:pPr>
      <w:bookmarkStart w:id="8" w:name="O_498437"/>
      <w:bookmarkEnd w:id="8"/>
      <w:r w:rsidRPr="00034170">
        <w:t>Elements and Performance Criteria</w:t>
      </w:r>
    </w:p>
    <w:p w:rsidR="00000000" w:rsidRPr="00034170" w:rsidP="0003417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Identify tilt-up construction and risk management processes.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 xml:space="preserve">Relationship is identified between each </w:t>
            </w:r>
            <w:r w:rsidRPr="00034170">
              <w:rPr>
                <w:rStyle w:val="BoldandItalics"/>
              </w:rPr>
              <w:t>stage of the tilt-up construction process</w:t>
            </w:r>
            <w:r w:rsidRPr="00034170">
              <w:t xml:space="preserve"> and the following stage, and typical faults, problems, hazards and possible effects if design and safety requirements are not met. 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Basic principles of risk manage</w:t>
            </w:r>
            <w:r w:rsidRPr="00034170">
              <w:t>ment and duty holders responsible are identified.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 xml:space="preserve">Minimum requirements for a safe work method statement for each task as outlined in the </w:t>
            </w:r>
            <w:r w:rsidRPr="00034170">
              <w:rPr>
                <w:rStyle w:val="BoldandItalics"/>
              </w:rPr>
              <w:t>national code of practice</w:t>
            </w:r>
            <w:r w:rsidRPr="00034170">
              <w:t xml:space="preserve">, and the duty holder responsible for its preparation and compliance are identified. 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Minimum requirements are identified for a work plan and/or work health and safety (WHS) management plan for tilt-up construction, as outlined in the national code of practice.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BodyText"/>
            </w:pPr>
            <w:r w:rsidRPr="00034170">
              <w:t xml:space="preserve">Available </w:t>
            </w:r>
            <w:r w:rsidRPr="00034170">
              <w:rPr>
                <w:rStyle w:val="BoldandItalics"/>
              </w:rPr>
              <w:t>skills training</w:t>
            </w:r>
            <w:r w:rsidRPr="00034170">
              <w:t xml:space="preserve"> opportunities relevant to own work, role </w:t>
            </w:r>
            <w:r w:rsidRPr="00034170">
              <w:t xml:space="preserve">and responsibilities are identified. </w:t>
            </w:r>
          </w:p>
        </w:tc>
      </w:tr>
    </w:tbl>
    <w:p w:rsidR="00000000" w:rsidRPr="00034170" w:rsidP="0003417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Identify information relating to safe tilt-up construction.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BodyText"/>
            </w:pPr>
            <w:r w:rsidRPr="0003417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BoldandItalics"/>
              </w:rPr>
              <w:t>Regulatory information</w:t>
            </w:r>
            <w:r w:rsidRPr="00034170">
              <w:t xml:space="preserve"> relevant to own work, role and responsibilities is identified. 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Roles and responsibilities of self and others relevant to own work and role in tilt-up construction are identified.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 xml:space="preserve">General work procedures, </w:t>
            </w:r>
            <w:r w:rsidRPr="00034170">
              <w:rPr>
                <w:rStyle w:val="BoldandItalics"/>
              </w:rPr>
              <w:t>documentation, drawings and plans</w:t>
            </w:r>
            <w:r w:rsidRPr="00034170">
              <w:t xml:space="preserve"> for carrying out the tilt-up construction process relevant to own work, ro</w:t>
            </w:r>
            <w:r w:rsidRPr="00034170">
              <w:t xml:space="preserve">le and responsibilities are identified. 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BodyText"/>
            </w:pPr>
            <w:r w:rsidRPr="00034170">
              <w:t xml:space="preserve">General safety requirements for </w:t>
            </w:r>
            <w:r w:rsidRPr="00034170">
              <w:rPr>
                <w:rStyle w:val="BoldandItalics"/>
              </w:rPr>
              <w:t>equipment and tools</w:t>
            </w:r>
            <w:r w:rsidRPr="00034170">
              <w:t xml:space="preserve"> used in the tilt-up construction process relevant to own work, role and responsibilities are identified. </w:t>
            </w:r>
          </w:p>
        </w:tc>
      </w:tr>
    </w:tbl>
    <w:p w:rsidR="00000000" w:rsidRPr="00034170" w:rsidP="0003417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Identify procedures to maintain safety of self and others.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Communication with others is undertaken to establish that key safety requirements have been met for preceding stages of tilt-up construction.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General procedures for responding to, rectif</w:t>
            </w:r>
            <w:r w:rsidRPr="00034170">
              <w:t>ying and reporting faults, problems and hazards relevant to own work, role and responsibilities are identified.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 xml:space="preserve">Methods and procedures used to control tilt-up construction </w:t>
            </w:r>
            <w:r w:rsidRPr="00034170">
              <w:rPr>
                <w:rStyle w:val="BoldandItalics"/>
              </w:rPr>
              <w:t>hazards</w:t>
            </w:r>
            <w:r w:rsidRPr="00034170">
              <w:t xml:space="preserve"> are identified, including the content of the work plan and/or WHS man</w:t>
            </w:r>
            <w:r w:rsidRPr="00034170">
              <w:t xml:space="preserve">agement plan and </w:t>
            </w:r>
            <w:r w:rsidRPr="00034170">
              <w:rPr>
                <w:rStyle w:val="BoldandItalics"/>
              </w:rPr>
              <w:t>safe work method statements</w:t>
            </w:r>
            <w:r w:rsidRPr="00034170">
              <w:t xml:space="preserve"> relevant to own work, role and responsibilities. 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BodyText"/>
            </w:pPr>
            <w:r w:rsidRPr="00034170">
              <w:t xml:space="preserve">Sequence of tasks and activities relevant to own work is identified and adequacy of the associated safe work method statement is reviewed by conducting a </w:t>
            </w:r>
            <w:r w:rsidRPr="00034170">
              <w:rPr>
                <w:rStyle w:val="BoldandItalics"/>
              </w:rPr>
              <w:t>job safety analysis</w:t>
            </w:r>
            <w:r w:rsidRPr="00034170">
              <w:t xml:space="preserve">. </w:t>
            </w:r>
          </w:p>
        </w:tc>
      </w:tr>
    </w:tbl>
    <w:p w:rsidR="003E3308" w:rsidP="00034170">
      <w:pPr>
        <w:pStyle w:val="BodyText"/>
      </w:pPr>
    </w:p>
    <w:p w:rsidR="003E3308" w:rsidP="00034170">
      <w:pPr>
        <w:pStyle w:val="BodyText"/>
      </w:pPr>
    </w:p>
    <w:p w:rsidR="00000000" w:rsidRPr="00034170" w:rsidP="00034170">
      <w:pPr>
        <w:pStyle w:val="Heading1"/>
      </w:pPr>
      <w:bookmarkStart w:id="9" w:name="O_498438"/>
      <w:bookmarkEnd w:id="9"/>
      <w:r w:rsidRPr="0003417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78"/>
      </w:tblGrid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This section describes the skills and knowledge required for this unit.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SpecialBold"/>
              </w:rPr>
              <w:t>Required skills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ListBullet"/>
            </w:pPr>
            <w:r w:rsidRPr="00034170">
              <w:t>communication and interpersonal skills to:</w:t>
            </w:r>
          </w:p>
          <w:p w:rsidR="00000000" w:rsidRPr="00034170" w:rsidP="00034170">
            <w:pPr>
              <w:pStyle w:val="ListBullet2"/>
            </w:pPr>
            <w:r w:rsidRPr="00034170">
              <w:t>contribute to the discussion of workplace hazards and risks</w:t>
            </w:r>
          </w:p>
          <w:p w:rsidR="00000000" w:rsidRPr="00034170" w:rsidP="00034170">
            <w:pPr>
              <w:pStyle w:val="ListBullet2"/>
            </w:pPr>
            <w:r w:rsidRPr="00034170">
              <w:t>ask effective questions</w:t>
            </w:r>
          </w:p>
          <w:p w:rsidR="00000000" w:rsidRPr="00034170" w:rsidP="00034170">
            <w:pPr>
              <w:pStyle w:val="ListBullet2"/>
            </w:pPr>
            <w:r w:rsidRPr="00034170">
              <w:t>collaborate with colleagues</w:t>
            </w:r>
          </w:p>
          <w:p w:rsidR="00000000" w:rsidRPr="00034170" w:rsidP="00034170">
            <w:pPr>
              <w:pStyle w:val="ListBullet2"/>
            </w:pPr>
            <w:r w:rsidRPr="00034170">
              <w:t>relay information to others</w:t>
            </w:r>
          </w:p>
          <w:p w:rsidR="00000000" w:rsidRPr="00034170" w:rsidP="00034170">
            <w:pPr>
              <w:pStyle w:val="ListBullet2"/>
            </w:pPr>
            <w:r w:rsidRPr="00034170">
              <w:t>report on WHS issues</w:t>
            </w:r>
          </w:p>
          <w:p w:rsidR="00000000" w:rsidRPr="00034170" w:rsidP="00034170">
            <w:pPr>
              <w:pStyle w:val="ListBullet"/>
            </w:pPr>
            <w:r w:rsidRPr="00034170">
              <w:t>language and literacy skills to understand plans and procedures, including WHS requirements, s</w:t>
            </w:r>
            <w:r w:rsidRPr="00034170">
              <w:t>uch as:</w:t>
            </w:r>
          </w:p>
          <w:p w:rsidR="00000000" w:rsidRPr="00034170" w:rsidP="00034170">
            <w:pPr>
              <w:pStyle w:val="ListBullet2"/>
            </w:pPr>
            <w:r w:rsidRPr="00034170">
              <w:t>safety signs and symbols</w:t>
            </w:r>
          </w:p>
          <w:p w:rsidR="00000000" w:rsidRPr="00034170" w:rsidP="00034170">
            <w:pPr>
              <w:pStyle w:val="ListBullet2"/>
            </w:pPr>
            <w:r w:rsidRPr="00034170">
              <w:t>safe work method statements</w:t>
            </w:r>
          </w:p>
          <w:p w:rsidR="00000000" w:rsidRPr="00034170" w:rsidP="00034170">
            <w:pPr>
              <w:pStyle w:val="ListBullet2"/>
            </w:pPr>
            <w:r w:rsidRPr="00034170">
              <w:t>safe working procedures</w:t>
            </w:r>
          </w:p>
          <w:p w:rsidR="00000000" w:rsidP="00034170">
            <w:pPr>
              <w:pStyle w:val="BodyText"/>
              <w:rPr>
                <w:lang w:val="en-NZ"/>
              </w:rPr>
            </w:pP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SpecialBold"/>
              </w:rPr>
              <w:t>Required knowledge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ListBullet"/>
            </w:pPr>
            <w:r w:rsidRPr="00034170">
              <w:t>construction terminology</w:t>
            </w:r>
          </w:p>
          <w:p w:rsidR="00000000" w:rsidRPr="00034170" w:rsidP="00034170">
            <w:pPr>
              <w:pStyle w:val="ListBullet"/>
            </w:pPr>
            <w:r w:rsidRPr="00034170">
              <w:t>hazard identification and risk control related to tilt-up work</w:t>
            </w:r>
          </w:p>
          <w:p w:rsidR="00000000" w:rsidRPr="00034170" w:rsidP="00034170">
            <w:pPr>
              <w:pStyle w:val="ListBullet"/>
            </w:pPr>
            <w:r w:rsidRPr="00034170">
              <w:t>job safety analysis (JSA) and safe work method statements (SWMS)</w:t>
            </w:r>
          </w:p>
          <w:p w:rsidR="00000000" w:rsidRPr="00034170" w:rsidP="00034170">
            <w:pPr>
              <w:pStyle w:val="ListBullet"/>
            </w:pPr>
            <w:r w:rsidRPr="00034170">
              <w:t>requirements for planning, preparing and carrying out the tilt-up construction process as relevant to own work, role and responsibilities</w:t>
            </w:r>
          </w:p>
          <w:p w:rsidR="00000000" w:rsidRPr="00034170" w:rsidP="00034170">
            <w:pPr>
              <w:pStyle w:val="ListBullet"/>
            </w:pPr>
            <w:r w:rsidRPr="00034170">
              <w:t>safety equipment used on construction work sites</w:t>
            </w:r>
          </w:p>
          <w:p w:rsidR="00000000" w:rsidRPr="00034170" w:rsidP="00034170">
            <w:pPr>
              <w:pStyle w:val="ListBullet"/>
            </w:pPr>
            <w:r w:rsidRPr="00034170">
              <w:t>stag</w:t>
            </w:r>
            <w:r w:rsidRPr="00034170">
              <w:t>es in the tilt-up construction process</w:t>
            </w:r>
          </w:p>
          <w:p w:rsidR="00000000" w:rsidRPr="00034170" w:rsidP="00034170">
            <w:pPr>
              <w:pStyle w:val="ListBullet"/>
            </w:pPr>
            <w:r w:rsidRPr="00034170">
              <w:t>WHS standards, legislative requirements and codes of practice related to tilt-up work</w:t>
            </w:r>
          </w:p>
        </w:tc>
      </w:tr>
    </w:tbl>
    <w:p w:rsidR="00000000" w:rsidRPr="00034170" w:rsidP="00034170">
      <w:pPr>
        <w:pStyle w:val="BodyText"/>
      </w:pPr>
    </w:p>
    <w:p w:rsidR="00000000" w:rsidRPr="00034170" w:rsidP="00034170">
      <w:pPr>
        <w:pStyle w:val="AllowPageBreak"/>
      </w:pPr>
    </w:p>
    <w:p w:rsidR="00000000" w:rsidRPr="00034170" w:rsidP="00034170">
      <w:pPr>
        <w:pStyle w:val="Heading1"/>
      </w:pPr>
      <w:bookmarkStart w:id="10" w:name="O_498439"/>
      <w:bookmarkEnd w:id="10"/>
      <w:r w:rsidRPr="0003417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97"/>
        <w:gridCol w:w="5481"/>
      </w:tblGrid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gridSpan w:val="2"/>
            <w:tcBorders>
              <w:top w:val="single" w:sz="4" w:space="0" w:color="C0C0C0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>The evidence guide provides advice on assessment and must be read in conjunction with the perform</w:t>
            </w:r>
            <w:r w:rsidRPr="00034170">
              <w:t>ance criteria, required skills and knowledge, range statement and the Assessment Guidelines for the Training Package.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SpecialBold"/>
              </w:rPr>
              <w:t>Overview of assessment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BodyText"/>
            </w:pPr>
            <w:r w:rsidRPr="00034170">
              <w:t xml:space="preserve">Competency is to be assessed only after completion of the General Induction Training Program specified by the National Code of Practice for Induction for Construction Work. </w:t>
            </w:r>
          </w:p>
          <w:p w:rsidR="00000000" w:rsidP="00034170">
            <w:pPr>
              <w:pStyle w:val="BodyText"/>
              <w:rPr>
                <w:lang w:val="en-NZ"/>
              </w:rPr>
            </w:pP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SpecialBold"/>
              </w:rPr>
              <w:t xml:space="preserve">Critical aspects for assessment and evidence required to demonstrate competency </w:t>
            </w:r>
            <w:r w:rsidRPr="00034170">
              <w:rPr>
                <w:rStyle w:val="SpecialBold"/>
              </w:rPr>
              <w:t>in this unit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BodyText"/>
            </w:pPr>
            <w:r w:rsidRPr="00034170">
              <w:t xml:space="preserve">Evidence must confirm understanding and knowledge of the following: </w:t>
            </w:r>
          </w:p>
          <w:p w:rsidR="00000000" w:rsidRPr="00034170" w:rsidP="00034170">
            <w:pPr>
              <w:pStyle w:val="ListBullet"/>
            </w:pPr>
            <w:r w:rsidRPr="00034170">
              <w:t>relevant legal responsibilities, codes of practice and standards for tilt-up construction work</w:t>
            </w:r>
          </w:p>
          <w:p w:rsidR="00000000" w:rsidRPr="00034170" w:rsidP="00034170">
            <w:pPr>
              <w:pStyle w:val="ListBullet"/>
            </w:pPr>
            <w:r w:rsidRPr="00034170">
              <w:t>the range of common tilt-up construction hazards and procedures for the assessment of risks and application of the hierarchy of control</w:t>
            </w:r>
          </w:p>
          <w:p w:rsidR="00000000" w:rsidRPr="00034170" w:rsidP="00034170">
            <w:pPr>
              <w:pStyle w:val="ListBullet"/>
            </w:pPr>
            <w:r w:rsidRPr="00034170">
              <w:t>an understanding of job safety analysis and safe work method statements.</w:t>
            </w:r>
          </w:p>
          <w:p w:rsidR="00000000" w:rsidP="00034170">
            <w:pPr>
              <w:pStyle w:val="BodyText"/>
              <w:rPr>
                <w:lang w:val="en-NZ"/>
              </w:rPr>
            </w:pP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SpecialBold"/>
              </w:rPr>
              <w:t>Context of and specific resources for assessm</w:t>
            </w:r>
            <w:r w:rsidRPr="00034170">
              <w:rPr>
                <w:rStyle w:val="SpecialBold"/>
              </w:rPr>
              <w:t>ent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BodyText"/>
            </w:pPr>
            <w:r w:rsidRPr="00034170">
              <w:t>The relevant WHS authority may have specific requirements concerning the expertise necessary to be a subject expert for assessment of this unit. Assessment must be made according to any such requirements.</w:t>
            </w:r>
          </w:p>
          <w:p w:rsidR="00000000" w:rsidRPr="00034170" w:rsidP="00034170">
            <w:pPr>
              <w:pStyle w:val="BodyText"/>
            </w:pPr>
            <w:r w:rsidRPr="00034170">
              <w:t>Procedures and documentation should cover those</w:t>
            </w:r>
            <w:r w:rsidRPr="00034170">
              <w:t xml:space="preserve"> used in the workplace.</w:t>
            </w:r>
          </w:p>
          <w:p w:rsidR="00000000" w:rsidRPr="00034170" w:rsidP="00034170">
            <w:pPr>
              <w:pStyle w:val="BodyText"/>
            </w:pPr>
            <w:r w:rsidRPr="00034170">
              <w:t>Resources must be available to support the program including:</w:t>
            </w:r>
          </w:p>
          <w:p w:rsidR="00000000" w:rsidRPr="00034170" w:rsidP="00034170">
            <w:pPr>
              <w:pStyle w:val="ListBullet"/>
            </w:pPr>
            <w:r w:rsidRPr="00034170">
              <w:t xml:space="preserve">relevant standards, regulations and code of practice for tilt-up construction </w:t>
            </w:r>
          </w:p>
          <w:p w:rsidR="00000000" w:rsidRPr="00034170" w:rsidP="00034170">
            <w:pPr>
              <w:pStyle w:val="ListBullet"/>
            </w:pPr>
            <w:r w:rsidRPr="00034170">
              <w:t xml:space="preserve">Australian standards AS3850 and AS3600 </w:t>
            </w:r>
          </w:p>
          <w:p w:rsidR="00000000" w:rsidRPr="00034170" w:rsidP="00034170">
            <w:pPr>
              <w:pStyle w:val="ListBullet"/>
            </w:pPr>
            <w:r w:rsidRPr="00034170">
              <w:t xml:space="preserve">participant materials and other information </w:t>
            </w:r>
          </w:p>
          <w:p w:rsidR="00000000" w:rsidRPr="00034170" w:rsidP="00034170">
            <w:pPr>
              <w:pStyle w:val="ListBullet"/>
            </w:pPr>
            <w:r w:rsidRPr="00034170">
              <w:t>drawi</w:t>
            </w:r>
            <w:r w:rsidRPr="00034170">
              <w:t xml:space="preserve">ngs and specifications </w:t>
            </w:r>
          </w:p>
          <w:p w:rsidR="00000000" w:rsidRPr="00034170" w:rsidP="00034170">
            <w:pPr>
              <w:pStyle w:val="ListBullet"/>
            </w:pPr>
            <w:r w:rsidRPr="00034170">
              <w:t xml:space="preserve">tilt-up slab related plans </w:t>
            </w:r>
          </w:p>
          <w:p w:rsidR="00000000" w:rsidRPr="00034170" w:rsidP="00034170">
            <w:pPr>
              <w:pStyle w:val="ListBullet"/>
            </w:pPr>
            <w:r w:rsidRPr="00034170">
              <w:t xml:space="preserve">safe load tables </w:t>
            </w:r>
          </w:p>
          <w:p w:rsidR="00000000" w:rsidRPr="00034170" w:rsidP="00034170">
            <w:pPr>
              <w:pStyle w:val="ListBullet"/>
            </w:pPr>
            <w:r w:rsidRPr="00034170">
              <w:t xml:space="preserve">safe work method statements </w:t>
            </w:r>
          </w:p>
          <w:p w:rsidR="00000000" w:rsidRPr="00034170" w:rsidP="00034170">
            <w:pPr>
              <w:pStyle w:val="ListBullet"/>
            </w:pPr>
            <w:r w:rsidRPr="00034170">
              <w:t xml:space="preserve">JSA materials. </w:t>
            </w:r>
          </w:p>
          <w:p w:rsidR="00000000" w:rsidRPr="00034170" w:rsidP="00034170">
            <w:pPr>
              <w:pStyle w:val="BodyText"/>
            </w:pPr>
            <w:r w:rsidRPr="00034170">
              <w:t xml:space="preserve">A range of assessment tools and resources should be used to suit the learning preferences or special learning needs of individual participants. </w:t>
            </w:r>
          </w:p>
          <w:p w:rsidR="00000000" w:rsidP="00034170">
            <w:pPr>
              <w:pStyle w:val="BodyText"/>
              <w:rPr>
                <w:lang w:val="en-NZ"/>
              </w:rPr>
            </w:pP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SpecialBold"/>
              </w:rPr>
              <w:t>Method of assessment</w:t>
            </w:r>
          </w:p>
        </w:tc>
        <w:tc>
          <w:tcPr>
            <w:tcW w:w="5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BodyText"/>
            </w:pPr>
            <w:r w:rsidRPr="00034170">
              <w:t>Assessment methods may include more than one of the following:</w:t>
            </w:r>
          </w:p>
          <w:p w:rsidR="00000000" w:rsidRPr="00034170" w:rsidP="00034170">
            <w:pPr>
              <w:pStyle w:val="ListBullet"/>
            </w:pPr>
            <w:r w:rsidRPr="00034170">
              <w:t>practical assessment</w:t>
            </w:r>
          </w:p>
          <w:p w:rsidR="00000000" w:rsidRPr="00034170" w:rsidP="00034170">
            <w:pPr>
              <w:pStyle w:val="ListBullet"/>
            </w:pPr>
            <w:r w:rsidRPr="00034170">
              <w:t>ora</w:t>
            </w:r>
            <w:r w:rsidRPr="00034170">
              <w:t>l questioning</w:t>
            </w:r>
          </w:p>
          <w:p w:rsidR="00000000" w:rsidRPr="00034170" w:rsidP="00034170">
            <w:pPr>
              <w:pStyle w:val="ListBullet"/>
            </w:pPr>
            <w:r w:rsidRPr="00034170">
              <w:t>written test</w:t>
            </w:r>
          </w:p>
          <w:p w:rsidR="00000000" w:rsidRPr="00034170" w:rsidP="00034170">
            <w:pPr>
              <w:pStyle w:val="ListBullet"/>
            </w:pPr>
            <w:r w:rsidRPr="00034170">
              <w:t>work-based activities</w:t>
            </w:r>
          </w:p>
          <w:p w:rsidR="00000000" w:rsidRPr="00034170" w:rsidP="00034170">
            <w:pPr>
              <w:pStyle w:val="ListBullet"/>
            </w:pPr>
            <w:r w:rsidRPr="00034170">
              <w:t>problem solving scenarios</w:t>
            </w:r>
          </w:p>
          <w:p w:rsidR="00000000" w:rsidRPr="00034170" w:rsidP="00034170">
            <w:pPr>
              <w:pStyle w:val="ListBullet"/>
            </w:pPr>
            <w:r w:rsidRPr="00034170">
              <w:t>simulated project based activity.</w:t>
            </w:r>
          </w:p>
          <w:p w:rsidR="00000000" w:rsidRPr="00034170" w:rsidP="00034170">
            <w:pPr>
              <w:pStyle w:val="BodyText"/>
            </w:pPr>
          </w:p>
        </w:tc>
      </w:tr>
    </w:tbl>
    <w:p w:rsidR="003E3308" w:rsidP="00034170">
      <w:pPr>
        <w:pStyle w:val="BodyText"/>
      </w:pPr>
    </w:p>
    <w:p w:rsidR="003E3308" w:rsidP="00034170">
      <w:pPr>
        <w:pStyle w:val="BodyText"/>
      </w:pPr>
    </w:p>
    <w:p w:rsidR="00000000" w:rsidRPr="00034170" w:rsidP="00034170">
      <w:pPr>
        <w:pStyle w:val="Heading1"/>
      </w:pPr>
      <w:bookmarkStart w:id="11" w:name="O_498440"/>
      <w:bookmarkEnd w:id="11"/>
      <w:r w:rsidRPr="0003417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96"/>
        <w:gridCol w:w="5482"/>
      </w:tblGrid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8" w:type="dxa"/>
            <w:gridSpan w:val="2"/>
            <w:tcBorders>
              <w:top w:val="single" w:sz="4" w:space="0" w:color="C0C0C0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t xml:space="preserve">The range statement relates </w:t>
            </w:r>
            <w:r w:rsidRPr="00034170">
              <w:t xml:space="preserve">to the unit of competency as a whole. It allows for different work environments and situations that may affect performance. Bold italicised wording, if used in the performance criteria, is detailed below. Essential operating conditions that may be present </w:t>
            </w:r>
            <w:r w:rsidRPr="00034170">
              <w:t>with training and assessment (depending on the work situation, needs of the candidate, accessibility of the item, and local industry and regional contexts) may also be included.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BoldandItalics"/>
              </w:rPr>
              <w:t>Stages of the tilt-up construction process</w:t>
            </w:r>
            <w:r w:rsidRPr="00034170">
              <w:t xml:space="preserve"> cover: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ListBullet"/>
            </w:pPr>
            <w:r w:rsidRPr="00034170">
              <w:t>design and manufacture</w:t>
            </w:r>
          </w:p>
          <w:p w:rsidR="00000000" w:rsidRPr="00034170" w:rsidP="00034170">
            <w:pPr>
              <w:pStyle w:val="ListBullet"/>
            </w:pPr>
            <w:r w:rsidRPr="00034170">
              <w:t>ha</w:t>
            </w:r>
            <w:r w:rsidRPr="00034170">
              <w:t>ndling, storage and transportation</w:t>
            </w:r>
          </w:p>
          <w:p w:rsidR="00000000" w:rsidRPr="00034170" w:rsidP="00034170">
            <w:pPr>
              <w:pStyle w:val="ListBullet"/>
            </w:pPr>
            <w:r w:rsidRPr="00034170">
              <w:t>cranage and erection</w:t>
            </w:r>
          </w:p>
          <w:p w:rsidR="00000000" w:rsidRPr="00034170" w:rsidP="00034170">
            <w:pPr>
              <w:pStyle w:val="ListBullet"/>
            </w:pPr>
            <w:r w:rsidRPr="00034170">
              <w:t>temporary bracing, stabilisation and incorporation of concrete panels</w:t>
            </w:r>
          </w:p>
          <w:p w:rsidR="00000000" w:rsidRPr="00034170" w:rsidP="00034170">
            <w:pPr>
              <w:pStyle w:val="ListBullet"/>
            </w:pPr>
            <w:r w:rsidRPr="00034170">
              <w:t>demolition</w:t>
            </w:r>
          </w:p>
          <w:p w:rsidR="00000000" w:rsidP="00034170">
            <w:pPr>
              <w:pStyle w:val="BodyText"/>
              <w:rPr>
                <w:lang w:val="en-NZ"/>
              </w:rPr>
            </w:pP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BoldandItalics"/>
              </w:rPr>
              <w:t>National code of practice</w:t>
            </w:r>
            <w:r w:rsidRPr="00034170">
              <w:t xml:space="preserve"> refers to: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ListBullet"/>
            </w:pPr>
            <w:r w:rsidRPr="00034170">
              <w:t>National Code of Practice for Precast, Tilt-Up and Concrete Elements in Building Construction.</w:t>
            </w:r>
          </w:p>
          <w:p w:rsidR="00000000" w:rsidP="00034170">
            <w:pPr>
              <w:pStyle w:val="BodyText"/>
              <w:rPr>
                <w:lang w:val="en-NZ"/>
              </w:rPr>
            </w:pP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BoldandItalics"/>
              </w:rPr>
              <w:t>Skills training</w:t>
            </w:r>
            <w:r w:rsidRPr="00034170">
              <w:t xml:space="preserve"> opportunities could include completing further training, including: 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ListBullet"/>
            </w:pPr>
            <w:r w:rsidRPr="00034170">
              <w:t xml:space="preserve">CPCCBC4022A Supervise tilt-up work </w:t>
            </w:r>
          </w:p>
          <w:p w:rsidR="00000000" w:rsidRPr="00034170" w:rsidP="00034170">
            <w:pPr>
              <w:pStyle w:val="ListBullet"/>
            </w:pPr>
            <w:r w:rsidRPr="00034170">
              <w:t>CPCCCO3028A Carry out tilt panel cons</w:t>
            </w:r>
            <w:r w:rsidRPr="00034170">
              <w:t>truction</w:t>
            </w:r>
          </w:p>
          <w:p w:rsidR="00000000" w:rsidP="00034170">
            <w:pPr>
              <w:pStyle w:val="ListBullet"/>
              <w:rPr>
                <w:lang w:val="en-NZ"/>
              </w:rPr>
            </w:pPr>
            <w:r w:rsidRPr="00034170">
              <w:t>CPCCRI3015A Perform advanced tilt-up slab erection.</w:t>
            </w: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BoldandItalics"/>
              </w:rPr>
              <w:t>Regulatory information</w:t>
            </w:r>
            <w:r w:rsidRPr="00034170">
              <w:t xml:space="preserve"> includes general WHS requirements, such as: 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ListBullet"/>
            </w:pPr>
            <w:r w:rsidRPr="00034170">
              <w:t>Australian standards AS3850 and AS3600</w:t>
            </w:r>
          </w:p>
          <w:p w:rsidR="00000000" w:rsidRPr="00034170" w:rsidP="00034170">
            <w:pPr>
              <w:pStyle w:val="ListBullet"/>
            </w:pPr>
            <w:r w:rsidRPr="00034170">
              <w:t>duty holder responsibilities</w:t>
            </w:r>
          </w:p>
          <w:p w:rsidR="00000000" w:rsidRPr="00034170" w:rsidP="00034170">
            <w:pPr>
              <w:pStyle w:val="ListBullet"/>
            </w:pPr>
            <w:r w:rsidRPr="00034170">
              <w:t>emergency procedures</w:t>
            </w:r>
          </w:p>
          <w:p w:rsidR="00000000" w:rsidRPr="00034170" w:rsidP="00034170">
            <w:pPr>
              <w:pStyle w:val="ListBullet"/>
            </w:pPr>
            <w:r w:rsidRPr="00034170">
              <w:t xml:space="preserve">relevant standards, regulations and </w:t>
            </w:r>
            <w:r w:rsidRPr="00034170">
              <w:t>codes of practice for tilt-up and pre-cast concrete construction</w:t>
            </w:r>
          </w:p>
          <w:p w:rsidR="00000000" w:rsidRPr="00034170" w:rsidP="00034170">
            <w:pPr>
              <w:pStyle w:val="ListBullet"/>
            </w:pPr>
            <w:r w:rsidRPr="00034170">
              <w:t>training, supervision and risk management in the context of tilt-up and pre-cast concrete construction.</w:t>
            </w:r>
          </w:p>
          <w:p w:rsidR="00000000" w:rsidP="00034170">
            <w:pPr>
              <w:pStyle w:val="BodyText"/>
              <w:rPr>
                <w:lang w:val="en-NZ"/>
              </w:rPr>
            </w:pP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BoldandItalics"/>
              </w:rPr>
              <w:t>Documentation, drawings and plans</w:t>
            </w:r>
            <w:r w:rsidRPr="00034170">
              <w:t xml:space="preserve"> include: 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ListBullet"/>
            </w:pPr>
            <w:r w:rsidRPr="00034170">
              <w:t>design provisions and drawings</w:t>
            </w:r>
          </w:p>
          <w:p w:rsidR="00000000" w:rsidRPr="00034170" w:rsidP="00034170">
            <w:pPr>
              <w:pStyle w:val="ListBullet"/>
            </w:pPr>
            <w:r w:rsidRPr="00034170">
              <w:t>erection and crane drawings and documentation</w:t>
            </w:r>
          </w:p>
          <w:p w:rsidR="00000000" w:rsidRPr="00034170" w:rsidP="00034170">
            <w:pPr>
              <w:pStyle w:val="ListBullet"/>
            </w:pPr>
            <w:r w:rsidRPr="00034170">
              <w:t>JSA documentation</w:t>
            </w:r>
          </w:p>
          <w:p w:rsidR="00000000" w:rsidRPr="00034170" w:rsidP="00034170">
            <w:pPr>
              <w:pStyle w:val="ListBullet"/>
            </w:pPr>
            <w:r w:rsidRPr="00034170">
              <w:t>marking plan and shop drawings</w:t>
            </w:r>
          </w:p>
          <w:p w:rsidR="00000000" w:rsidRPr="00034170" w:rsidP="00034170">
            <w:pPr>
              <w:pStyle w:val="ListBullet"/>
            </w:pPr>
            <w:r w:rsidRPr="00034170">
              <w:t>prefabricators and engineers' inspection reports and statements</w:t>
            </w:r>
          </w:p>
          <w:p w:rsidR="00000000" w:rsidRPr="00034170" w:rsidP="00034170">
            <w:pPr>
              <w:pStyle w:val="ListBullet"/>
            </w:pPr>
            <w:r w:rsidRPr="00034170">
              <w:t>safe work method statements</w:t>
            </w:r>
          </w:p>
          <w:p w:rsidR="00000000" w:rsidRPr="00034170" w:rsidP="00034170">
            <w:pPr>
              <w:pStyle w:val="ListBullet"/>
            </w:pPr>
            <w:r w:rsidRPr="00034170">
              <w:t>specifications</w:t>
            </w:r>
          </w:p>
          <w:p w:rsidR="00000000" w:rsidRPr="00034170" w:rsidP="00034170">
            <w:pPr>
              <w:pStyle w:val="ListBullet"/>
            </w:pPr>
            <w:r w:rsidRPr="00034170">
              <w:t>transport management plan</w:t>
            </w:r>
          </w:p>
          <w:p w:rsidR="00000000" w:rsidRPr="00034170" w:rsidP="00034170">
            <w:pPr>
              <w:pStyle w:val="ListBullet"/>
            </w:pPr>
            <w:r w:rsidRPr="00034170">
              <w:t>work plan and/or WHS managem</w:t>
            </w:r>
            <w:r w:rsidRPr="00034170">
              <w:t>ent plan.</w:t>
            </w:r>
          </w:p>
          <w:p w:rsidR="00000000" w:rsidP="00034170">
            <w:pPr>
              <w:pStyle w:val="BodyText"/>
              <w:rPr>
                <w:lang w:val="en-NZ"/>
              </w:rPr>
            </w:pP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BoldandItalics"/>
              </w:rPr>
              <w:t>Equipment and tools</w:t>
            </w:r>
            <w:r w:rsidRPr="00034170">
              <w:t xml:space="preserve"> include: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ListBullet"/>
            </w:pPr>
            <w:r w:rsidRPr="00034170">
              <w:t>bracing</w:t>
            </w:r>
          </w:p>
          <w:p w:rsidR="00000000" w:rsidRPr="00034170" w:rsidP="00034170">
            <w:pPr>
              <w:pStyle w:val="ListBullet"/>
            </w:pPr>
            <w:r w:rsidRPr="00034170">
              <w:t>cranes</w:t>
            </w:r>
          </w:p>
          <w:p w:rsidR="00000000" w:rsidRPr="00034170" w:rsidP="00034170">
            <w:pPr>
              <w:pStyle w:val="ListBullet"/>
            </w:pPr>
            <w:r w:rsidRPr="00034170">
              <w:t>elevated work platforms</w:t>
            </w:r>
          </w:p>
          <w:p w:rsidR="00000000" w:rsidRPr="00034170" w:rsidP="00034170">
            <w:pPr>
              <w:pStyle w:val="ListBullet"/>
            </w:pPr>
            <w:r w:rsidRPr="00034170">
              <w:t>manual tools</w:t>
            </w:r>
          </w:p>
          <w:p w:rsidR="00000000" w:rsidRPr="00034170" w:rsidP="00034170">
            <w:pPr>
              <w:pStyle w:val="ListBullet"/>
            </w:pPr>
            <w:r w:rsidRPr="00034170">
              <w:t>mobile scaffolding</w:t>
            </w:r>
          </w:p>
          <w:p w:rsidR="00000000" w:rsidRPr="00034170" w:rsidP="00034170">
            <w:pPr>
              <w:pStyle w:val="ListBullet"/>
            </w:pPr>
            <w:r w:rsidRPr="00034170">
              <w:t>portable electric and pneumatic tools</w:t>
            </w:r>
          </w:p>
          <w:p w:rsidR="00000000" w:rsidRPr="00034170" w:rsidP="00034170">
            <w:pPr>
              <w:pStyle w:val="ListBullet"/>
            </w:pPr>
            <w:r w:rsidRPr="00034170">
              <w:t>props</w:t>
            </w:r>
          </w:p>
          <w:p w:rsidR="00000000" w:rsidRPr="00034170" w:rsidP="00034170">
            <w:pPr>
              <w:pStyle w:val="ListBullet"/>
            </w:pPr>
            <w:r w:rsidRPr="00034170">
              <w:t>rigging equipment</w:t>
            </w:r>
          </w:p>
          <w:p w:rsidR="00000000" w:rsidRPr="00034170" w:rsidP="00034170">
            <w:pPr>
              <w:pStyle w:val="ListBullet"/>
            </w:pPr>
            <w:r w:rsidRPr="00034170">
              <w:t>rigging gear</w:t>
            </w:r>
          </w:p>
          <w:p w:rsidR="00000000" w:rsidRPr="00034170" w:rsidP="00034170">
            <w:pPr>
              <w:pStyle w:val="ListBullet"/>
            </w:pPr>
            <w:r w:rsidRPr="00034170">
              <w:t>safety net and static lines.</w:t>
            </w:r>
          </w:p>
          <w:p w:rsidR="00000000" w:rsidP="00034170">
            <w:pPr>
              <w:pStyle w:val="BodyText"/>
              <w:rPr>
                <w:lang w:val="en-NZ"/>
              </w:rPr>
            </w:pP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BoldandItalics"/>
              </w:rPr>
              <w:t>Hazards</w:t>
            </w:r>
            <w:r w:rsidRPr="00034170">
              <w:t xml:space="preserve"> include anything with the potential to cause injury, harm or ill health, such as: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ListBullet"/>
            </w:pPr>
            <w:r w:rsidRPr="00034170">
              <w:t>environmental factors, e.g. wind, temperature, noise and lighting</w:t>
            </w:r>
          </w:p>
          <w:p w:rsidR="00000000" w:rsidRPr="00034170" w:rsidP="00034170">
            <w:pPr>
              <w:pStyle w:val="ListBullet"/>
            </w:pPr>
            <w:r w:rsidRPr="00034170">
              <w:t>overhead or underground services</w:t>
            </w:r>
          </w:p>
          <w:p w:rsidR="00000000" w:rsidRPr="00034170" w:rsidP="00034170">
            <w:pPr>
              <w:pStyle w:val="ListBullet"/>
            </w:pPr>
            <w:r w:rsidRPr="00034170">
              <w:t>trees, buildings and structures</w:t>
            </w:r>
          </w:p>
          <w:p w:rsidR="00000000" w:rsidRPr="00034170" w:rsidP="00034170">
            <w:pPr>
              <w:pStyle w:val="ListBullet"/>
            </w:pPr>
            <w:r w:rsidRPr="00034170">
              <w:t>uneven or unstable ground</w:t>
            </w:r>
          </w:p>
          <w:p w:rsidR="00000000" w:rsidRPr="00034170" w:rsidP="00034170">
            <w:pPr>
              <w:pStyle w:val="ListBullet"/>
            </w:pPr>
            <w:r w:rsidRPr="00034170">
              <w:t>unstable panels during lifting.</w:t>
            </w:r>
          </w:p>
          <w:p w:rsidR="00000000" w:rsidP="00034170">
            <w:pPr>
              <w:pStyle w:val="BodyText"/>
              <w:rPr>
                <w:lang w:val="en-NZ"/>
              </w:rPr>
            </w:pP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BoldandItalics"/>
              </w:rPr>
              <w:t>Safe work method statement</w:t>
            </w:r>
            <w:r w:rsidRPr="00034170">
              <w:t xml:space="preserve"> is a statement that: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ListBullet"/>
            </w:pPr>
            <w:r w:rsidRPr="00034170">
              <w:t>describes how safety measures will be implemented to do the work safely</w:t>
            </w:r>
          </w:p>
          <w:p w:rsidR="00000000" w:rsidRPr="00034170" w:rsidP="00034170">
            <w:pPr>
              <w:pStyle w:val="ListBullet"/>
            </w:pPr>
            <w:r w:rsidRPr="00034170">
              <w:t>describes the control measures that will be applied to the work activities</w:t>
            </w:r>
          </w:p>
          <w:p w:rsidR="00000000" w:rsidRPr="00034170" w:rsidP="00034170">
            <w:pPr>
              <w:pStyle w:val="ListBullet"/>
            </w:pPr>
            <w:r w:rsidRPr="00034170">
              <w:t>identifies work activities</w:t>
            </w:r>
            <w:r w:rsidRPr="00034170">
              <w:t xml:space="preserve"> assessed as having safety risk or risks</w:t>
            </w:r>
          </w:p>
          <w:p w:rsidR="00000000" w:rsidRPr="00034170" w:rsidP="00034170">
            <w:pPr>
              <w:pStyle w:val="ListBullet"/>
            </w:pPr>
            <w:r w:rsidRPr="00034170">
              <w:t>includes a description of the equipment used in the work, the qualifications of the personnel doing the work, and the training required to do the work safely</w:t>
            </w:r>
          </w:p>
          <w:p w:rsidR="00000000" w:rsidRPr="00034170" w:rsidP="00034170">
            <w:pPr>
              <w:pStyle w:val="ListBullet"/>
            </w:pPr>
            <w:r w:rsidRPr="00034170">
              <w:t>states the safety risk or risks.</w:t>
            </w:r>
          </w:p>
          <w:p w:rsidR="00000000" w:rsidP="00034170">
            <w:pPr>
              <w:pStyle w:val="BodyText"/>
              <w:rPr>
                <w:lang w:val="en-NZ"/>
              </w:rPr>
            </w:pP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BoldandItalics"/>
              </w:rPr>
              <w:t>Job safety analysis</w:t>
            </w:r>
            <w:r w:rsidRPr="00034170">
              <w:t xml:space="preserve"> is</w:t>
            </w:r>
            <w:r w:rsidRPr="00034170">
              <w:t>: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ListBullet"/>
            </w:pPr>
            <w:r w:rsidRPr="00034170">
              <w:t>a technique that breaks a task into steps</w:t>
            </w:r>
          </w:p>
          <w:p w:rsidR="00000000" w:rsidRPr="00034170" w:rsidP="00034170">
            <w:pPr>
              <w:pStyle w:val="ListBullet"/>
            </w:pPr>
            <w:r w:rsidRPr="00034170">
              <w:t>identifies the hazards and appropriate control measures for each step.</w:t>
            </w:r>
          </w:p>
        </w:tc>
      </w:tr>
    </w:tbl>
    <w:p w:rsidR="00000000" w:rsidRPr="00034170" w:rsidP="00034170">
      <w:pPr>
        <w:pStyle w:val="BodyText"/>
      </w:pPr>
    </w:p>
    <w:p w:rsidR="00000000" w:rsidRPr="00034170" w:rsidP="00034170">
      <w:pPr>
        <w:pStyle w:val="AllowPageBreak"/>
      </w:pPr>
    </w:p>
    <w:p w:rsidR="00000000" w:rsidRPr="00034170" w:rsidP="00034170">
      <w:pPr>
        <w:pStyle w:val="Heading1"/>
      </w:pPr>
      <w:bookmarkStart w:id="12" w:name="O_498441"/>
      <w:bookmarkEnd w:id="12"/>
      <w:r w:rsidRPr="00034170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9"/>
        <w:gridCol w:w="6561"/>
      </w:tblGrid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SpecialBold"/>
              </w:rPr>
              <w:t>Functional area</w:t>
            </w:r>
          </w:p>
        </w:tc>
        <w:tc>
          <w:tcPr>
            <w:tcW w:w="6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</w:p>
        </w:tc>
      </w:tr>
      <w:tr w:rsidTr="0003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170">
            <w:pPr>
              <w:pStyle w:val="BodyText"/>
              <w:rPr>
                <w:lang w:val="en-NZ"/>
              </w:rPr>
            </w:pPr>
            <w:r w:rsidRPr="00034170">
              <w:rPr>
                <w:rStyle w:val="SpecialBold"/>
              </w:rPr>
              <w:t>Unit sector</w:t>
            </w:r>
          </w:p>
        </w:tc>
        <w:tc>
          <w:tcPr>
            <w:tcW w:w="65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170" w:rsidP="00034170">
            <w:pPr>
              <w:pStyle w:val="BodyText"/>
            </w:pPr>
            <w:r w:rsidRPr="00034170">
              <w:t>Construction</w:t>
            </w:r>
          </w:p>
        </w:tc>
      </w:tr>
    </w:tbl>
    <w:p w:rsidR="00000000" w:rsidRPr="00034170" w:rsidP="00034170">
      <w:pPr>
        <w:pStyle w:val="BodyText"/>
      </w:pPr>
    </w:p>
    <w:p w:rsidR="00000000" w:rsidRPr="00034170" w:rsidP="00034170">
      <w:pPr>
        <w:pStyle w:val="AllowPageBreak"/>
      </w:pPr>
    </w:p>
    <w:p w:rsidR="00000000" w:rsidRPr="00034170" w:rsidP="00034170">
      <w:pPr>
        <w:pStyle w:val="Heading1"/>
      </w:pPr>
      <w:bookmarkStart w:id="13" w:name="O_498442"/>
      <w:bookmarkEnd w:id="13"/>
      <w:r w:rsidRPr="00034170">
        <w:t>Custom Content Section</w:t>
      </w:r>
    </w:p>
    <w:p w:rsidR="00000000" w:rsidRPr="00034170" w:rsidP="00034170">
      <w:pPr>
        <w:pStyle w:val="BodyText"/>
      </w:pPr>
      <w:r w:rsidRPr="00034170">
        <w:t>Not applicable.</w:t>
      </w:r>
    </w:p>
    <w:p w:rsidR="00000000" w:rsidRPr="00034170" w:rsidP="00034170"/>
    <w:sectPr w:rsidSect="000341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70" w:rsidRPr="003E3308" w:rsidP="003E3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308" w:rsidP="00034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E3308" w:rsidP="00034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3E3308" w:rsidP="00034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70" w:rsidRPr="003E3308" w:rsidP="003E33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308" w:rsidRPr="002D2AF8" w:rsidP="00034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CPCCCM1016A Identify requirements for safe tilt-up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7/02/2013</w:t>
    </w:r>
    <w:r>
      <w:fldChar w:fldCharType="end"/>
    </w:r>
  </w:p>
  <w:p w:rsidR="003E3308" w:rsidP="00034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FAA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F40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3636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170"/>
  </w:style>
  <w:style w:type="character" w:customStyle="1" w:styleId="Heading1Char">
    <w:name w:val="Heading 1 Char"/>
    <w:basedOn w:val="DefaultParagraphFont"/>
    <w:link w:val="Heading1"/>
    <w:rsid w:val="00034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1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417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170"/>
    <w:rPr>
      <w:b/>
      <w:spacing w:val="0"/>
    </w:rPr>
  </w:style>
  <w:style w:type="paragraph" w:styleId="ListBullet2">
    <w:name w:val="List Bullet 2"/>
    <w:basedOn w:val="List2"/>
    <w:rsid w:val="000341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4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3417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4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4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1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170"/>
    <w:rPr>
      <w:i/>
    </w:rPr>
  </w:style>
  <w:style w:type="paragraph" w:styleId="Caption">
    <w:name w:val="caption"/>
    <w:basedOn w:val="BodyText"/>
    <w:next w:val="Normal"/>
    <w:qFormat/>
    <w:rsid w:val="00034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170"/>
  </w:style>
  <w:style w:type="paragraph" w:styleId="TableofFigures">
    <w:name w:val="table of figures"/>
    <w:basedOn w:val="Normal"/>
    <w:next w:val="Normal"/>
    <w:semiHidden/>
    <w:rsid w:val="00034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170"/>
    <w:pPr>
      <w:numPr>
        <w:numId w:val="11"/>
      </w:numPr>
    </w:pPr>
  </w:style>
  <w:style w:type="character" w:customStyle="1" w:styleId="WingdingSymbols">
    <w:name w:val="Wingding Symbols"/>
    <w:rsid w:val="00034170"/>
    <w:rPr>
      <w:rFonts w:ascii="Wingdings" w:hAnsi="Wingdings"/>
    </w:rPr>
  </w:style>
  <w:style w:type="paragraph" w:customStyle="1" w:styleId="TableHeading">
    <w:name w:val="Table Heading"/>
    <w:basedOn w:val="HeadingBase"/>
    <w:rsid w:val="00034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170"/>
    <w:rPr>
      <w:color w:val="0033CC"/>
      <w:u w:val="none"/>
    </w:rPr>
  </w:style>
  <w:style w:type="paragraph" w:customStyle="1" w:styleId="BodyTextRight">
    <w:name w:val="Body Text Right"/>
    <w:basedOn w:val="BodyText"/>
    <w:rsid w:val="00034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1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170"/>
    <w:rPr>
      <w:sz w:val="32"/>
    </w:rPr>
  </w:style>
  <w:style w:type="paragraph" w:customStyle="1" w:styleId="HeadingProcedure">
    <w:name w:val="Heading Procedure"/>
    <w:basedOn w:val="HeadingBase"/>
    <w:next w:val="Normal"/>
    <w:rsid w:val="00034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170"/>
    <w:pPr>
      <w:spacing w:before="60" w:after="60"/>
    </w:pPr>
  </w:style>
  <w:style w:type="paragraph" w:styleId="ListContinue">
    <w:name w:val="List Continue"/>
    <w:basedOn w:val="List"/>
    <w:rsid w:val="00034170"/>
    <w:pPr>
      <w:ind w:firstLine="0"/>
    </w:pPr>
  </w:style>
  <w:style w:type="paragraph" w:customStyle="1" w:styleId="ListNote">
    <w:name w:val="List Note"/>
    <w:basedOn w:val="List"/>
    <w:rsid w:val="00034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170"/>
    <w:rPr>
      <w:rFonts w:ascii="Courier New" w:hAnsi="Courier New"/>
    </w:rPr>
  </w:style>
  <w:style w:type="paragraph" w:customStyle="1" w:styleId="NoteBullet">
    <w:name w:val="Note Bullet"/>
    <w:basedOn w:val="Note"/>
    <w:rsid w:val="00034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1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4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170"/>
    <w:rPr>
      <w:b/>
      <w:smallCaps/>
    </w:rPr>
  </w:style>
  <w:style w:type="paragraph" w:customStyle="1" w:styleId="TableListNumber">
    <w:name w:val="Table List Number"/>
    <w:basedOn w:val="ListNumber"/>
    <w:rsid w:val="00034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170"/>
    <w:pPr>
      <w:numPr>
        <w:numId w:val="9"/>
      </w:numPr>
    </w:pPr>
  </w:style>
  <w:style w:type="paragraph" w:customStyle="1" w:styleId="ListAlpha2">
    <w:name w:val="List Alpha 2"/>
    <w:basedOn w:val="List2"/>
    <w:rsid w:val="00034170"/>
    <w:pPr>
      <w:numPr>
        <w:numId w:val="8"/>
      </w:numPr>
    </w:pPr>
  </w:style>
  <w:style w:type="paragraph" w:styleId="List2">
    <w:name w:val="List 2"/>
    <w:basedOn w:val="BodyText"/>
    <w:rsid w:val="00034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17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170"/>
    <w:pPr>
      <w:numPr>
        <w:numId w:val="3"/>
      </w:numPr>
    </w:pPr>
  </w:style>
  <w:style w:type="paragraph" w:styleId="ListBullet5">
    <w:name w:val="List Bullet 5"/>
    <w:basedOn w:val="List5"/>
    <w:rsid w:val="00034170"/>
    <w:pPr>
      <w:numPr>
        <w:numId w:val="4"/>
      </w:numPr>
    </w:pPr>
  </w:style>
  <w:style w:type="paragraph" w:styleId="ListContinue2">
    <w:name w:val="List Continue 2"/>
    <w:basedOn w:val="List2"/>
    <w:rsid w:val="00034170"/>
    <w:pPr>
      <w:ind w:firstLine="0"/>
    </w:pPr>
  </w:style>
  <w:style w:type="paragraph" w:styleId="ListContinue3">
    <w:name w:val="List Continue 3"/>
    <w:basedOn w:val="List3"/>
    <w:rsid w:val="00034170"/>
    <w:pPr>
      <w:ind w:left="1021" w:firstLine="0"/>
    </w:pPr>
  </w:style>
  <w:style w:type="paragraph" w:styleId="ListContinue4">
    <w:name w:val="List Continue 4"/>
    <w:basedOn w:val="List4"/>
    <w:rsid w:val="00034170"/>
    <w:pPr>
      <w:ind w:firstLine="0"/>
    </w:pPr>
  </w:style>
  <w:style w:type="paragraph" w:styleId="ListContinue5">
    <w:name w:val="List Continue 5"/>
    <w:basedOn w:val="List5"/>
    <w:rsid w:val="00034170"/>
    <w:pPr>
      <w:ind w:firstLine="0"/>
    </w:pPr>
  </w:style>
  <w:style w:type="paragraph" w:styleId="ListNumber3">
    <w:name w:val="List Number 3"/>
    <w:basedOn w:val="List3"/>
    <w:rsid w:val="00034170"/>
    <w:pPr>
      <w:numPr>
        <w:numId w:val="5"/>
      </w:numPr>
    </w:pPr>
  </w:style>
  <w:style w:type="paragraph" w:styleId="ListNumber4">
    <w:name w:val="List Number 4"/>
    <w:basedOn w:val="List4"/>
    <w:rsid w:val="00034170"/>
    <w:pPr>
      <w:numPr>
        <w:numId w:val="6"/>
      </w:numPr>
    </w:pPr>
  </w:style>
  <w:style w:type="paragraph" w:styleId="ListNumber5">
    <w:name w:val="List Number 5"/>
    <w:basedOn w:val="List5"/>
    <w:rsid w:val="00034170"/>
    <w:pPr>
      <w:numPr>
        <w:numId w:val="7"/>
      </w:numPr>
    </w:pPr>
  </w:style>
  <w:style w:type="paragraph" w:styleId="BlockText">
    <w:name w:val="Block Text"/>
    <w:basedOn w:val="Normal"/>
    <w:rsid w:val="00034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170"/>
    <w:rPr>
      <w:sz w:val="16"/>
      <w:vertAlign w:val="superscript"/>
    </w:rPr>
  </w:style>
  <w:style w:type="character" w:customStyle="1" w:styleId="Symbols">
    <w:name w:val="Symbols"/>
    <w:basedOn w:val="DefaultParagraphFont"/>
    <w:rsid w:val="00034170"/>
    <w:rPr>
      <w:rFonts w:ascii="Symbol" w:hAnsi="Symbol"/>
    </w:rPr>
  </w:style>
  <w:style w:type="character" w:customStyle="1" w:styleId="MenuOptions">
    <w:name w:val="Menu Options"/>
    <w:basedOn w:val="DefaultParagraphFont"/>
    <w:rsid w:val="00034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170"/>
    <w:rPr>
      <w:b/>
    </w:rPr>
  </w:style>
  <w:style w:type="character" w:customStyle="1" w:styleId="Underlined">
    <w:name w:val="Underlined"/>
    <w:basedOn w:val="DefaultParagraphFont"/>
    <w:rsid w:val="00034170"/>
    <w:rPr>
      <w:u w:val="single"/>
    </w:rPr>
  </w:style>
  <w:style w:type="paragraph" w:customStyle="1" w:styleId="TableBodyTextRight">
    <w:name w:val="Table Body Text Right"/>
    <w:basedOn w:val="TableBodyText"/>
    <w:rsid w:val="00034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170"/>
    <w:rPr>
      <w:sz w:val="18"/>
    </w:rPr>
  </w:style>
  <w:style w:type="paragraph" w:customStyle="1" w:styleId="BodySmallRight">
    <w:name w:val="Body Small Right"/>
    <w:basedOn w:val="BodyTextRight"/>
    <w:rsid w:val="00034170"/>
    <w:rPr>
      <w:sz w:val="18"/>
      <w:szCs w:val="18"/>
    </w:rPr>
  </w:style>
  <w:style w:type="paragraph" w:customStyle="1" w:styleId="MarginEdition">
    <w:name w:val="Margin Edition"/>
    <w:basedOn w:val="MarginNote"/>
    <w:rsid w:val="00034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170"/>
    <w:rPr>
      <w:sz w:val="2"/>
      <w:szCs w:val="2"/>
    </w:rPr>
  </w:style>
  <w:style w:type="character" w:customStyle="1" w:styleId="Small">
    <w:name w:val="Small"/>
    <w:basedOn w:val="DefaultParagraphFont"/>
    <w:rsid w:val="00034170"/>
    <w:rPr>
      <w:sz w:val="16"/>
    </w:rPr>
  </w:style>
  <w:style w:type="paragraph" w:customStyle="1" w:styleId="WideTable">
    <w:name w:val="Wide Table"/>
    <w:basedOn w:val="Normal"/>
    <w:rsid w:val="00034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170"/>
  </w:style>
  <w:style w:type="paragraph" w:styleId="Quote">
    <w:name w:val="Quote"/>
    <w:basedOn w:val="Heading1"/>
    <w:link w:val="QuoteChar"/>
    <w:qFormat/>
    <w:rsid w:val="00034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170"/>
    <w:pPr>
      <w:pageBreakBefore/>
    </w:pPr>
  </w:style>
  <w:style w:type="paragraph" w:customStyle="1" w:styleId="Border">
    <w:name w:val="Border"/>
    <w:basedOn w:val="Normal"/>
    <w:qFormat/>
    <w:rsid w:val="00034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170"/>
    <w:rPr>
      <w:u w:val="single"/>
    </w:rPr>
  </w:style>
  <w:style w:type="paragraph" w:styleId="BalloonText">
    <w:name w:val="Balloon Text"/>
    <w:basedOn w:val="Normal"/>
    <w:link w:val="BalloonTextChar"/>
    <w:rsid w:val="00034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1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1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1338</Words>
  <Characters>8252</Characters>
  <Application>Microsoft Office Word</Application>
  <DocSecurity>0</DocSecurity>
  <Lines>324</Lines>
  <Paragraphs>167</Paragraphs>
  <ScaleCrop>false</ScaleCrop>
  <Company>Author-it Software Corporation Ltd.</Company>
  <LinksUpToDate>false</LinksUpToDate>
  <CharactersWithSpaces>9526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CPCCCM1016A Identify requirements for safe tilt-up work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2013-02-06T06:51:00Z</dcterms:created>
  <dcterms:modified xsi:type="dcterms:W3CDTF">2013-02-06T06:51:00Z</dcterms:modified>
</cp:coreProperties>
</file>