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705" w:rsidP="001B1705">
      <w:pPr>
        <w:pStyle w:val="Title"/>
      </w:pPr>
      <w:r>
        <w:fldChar w:fldCharType="begin"/>
      </w:r>
      <w:r>
        <w:instrText xml:space="preserve"> TITLE   \* MERGEFORMAT </w:instrText>
      </w:r>
      <w:r>
        <w:fldChar w:fldCharType="separate"/>
      </w:r>
      <w:r>
        <w:t>CPCCCM1014A Conduct workplace communication</w:t>
      </w:r>
      <w:r>
        <w:fldChar w:fldCharType="end"/>
      </w:r>
    </w:p>
    <w:p w:rsidR="001B1705" w:rsidP="001B1705">
      <w:pPr>
        <w:pStyle w:val="Version"/>
        <w:sectPr w:rsidSect="00C03E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EC9" w:rsidP="00C03EC9">
      <w:pPr>
        <w:pStyle w:val="SuperHeading"/>
      </w:pPr>
      <w:r w:rsidRPr="00C03EC9">
        <w:t>CPCCCM1014A Conduct workplace communication</w:t>
      </w:r>
    </w:p>
    <w:p w:rsidR="00000000" w:rsidRPr="00C03EC9" w:rsidP="00C03EC9">
      <w:pPr>
        <w:pStyle w:val="Heading1"/>
      </w:pPr>
      <w:bookmarkStart w:id="1" w:name="O_269526"/>
      <w:bookmarkEnd w:id="1"/>
      <w:r w:rsidRPr="00C03EC9">
        <w:t>Modification History</w:t>
      </w:r>
    </w:p>
    <w:p w:rsidR="00000000" w:rsidRPr="00C03EC9" w:rsidP="00C03EC9">
      <w:pPr>
        <w:pStyle w:val="BodyText"/>
      </w:pPr>
      <w:r w:rsidRPr="00C03EC9">
        <w:t>Not Applicable</w:t>
      </w:r>
    </w:p>
    <w:p w:rsidR="00000000" w:rsidRPr="00C03EC9" w:rsidP="00C03EC9">
      <w:pPr>
        <w:pStyle w:val="AllowPageBreak"/>
      </w:pPr>
    </w:p>
    <w:p w:rsidR="00000000" w:rsidRPr="00C03EC9" w:rsidP="00C03EC9">
      <w:pPr>
        <w:pStyle w:val="Heading1"/>
      </w:pPr>
      <w:bookmarkStart w:id="2" w:name="O_197542"/>
      <w:bookmarkEnd w:id="2"/>
      <w:r w:rsidRPr="00C03EC9">
        <w:t>Unit Descriptor</w:t>
      </w:r>
    </w:p>
    <w:tbl>
      <w:tblPr>
        <w:tblW w:w="0" w:type="auto"/>
        <w:tblLayout w:type="fixed"/>
        <w:tblCellMar>
          <w:left w:w="62" w:type="dxa"/>
          <w:right w:w="62" w:type="dxa"/>
        </w:tblCellMar>
        <w:tblLook w:val="0000"/>
      </w:tblPr>
      <w:tblGrid>
        <w:gridCol w:w="2602"/>
        <w:gridCol w:w="5920"/>
      </w:tblGrid>
      <w:tr w:rsidTr="001B1705">
        <w:tblPrEx>
          <w:tblW w:w="0" w:type="auto"/>
          <w:tblLayout w:type="fixed"/>
          <w:tblCellMar>
            <w:left w:w="62" w:type="dxa"/>
            <w:right w:w="62" w:type="dxa"/>
          </w:tblCellMar>
          <w:tblLook w:val="0000"/>
        </w:tblPrEx>
        <w:trPr>
          <w:tblHeader/>
        </w:trPr>
        <w:tc>
          <w:tcPr>
            <w:tcW w:w="260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Unit descriptor</w:t>
            </w:r>
          </w:p>
        </w:tc>
        <w:tc>
          <w:tcPr>
            <w:tcW w:w="5920"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 xml:space="preserve">This unit of competency specifies the outcomes required to communicate effectively with other workers in a </w:t>
            </w:r>
            <w:r w:rsidRPr="00C03EC9">
              <w:t>construction workplace environment. It includes gathering, conveying and receiving information through verbal and written forms of communication.</w:t>
            </w:r>
          </w:p>
        </w:tc>
      </w:tr>
    </w:tbl>
    <w:p w:rsidR="001B1705" w:rsidP="00C03EC9">
      <w:pPr>
        <w:pStyle w:val="BodyText"/>
      </w:pPr>
    </w:p>
    <w:p w:rsidR="001B1705" w:rsidP="00C03EC9">
      <w:pPr>
        <w:pStyle w:val="BodyText"/>
      </w:pPr>
    </w:p>
    <w:p w:rsidR="00000000" w:rsidRPr="00C03EC9" w:rsidP="00C03EC9">
      <w:pPr>
        <w:pStyle w:val="Heading1"/>
      </w:pPr>
      <w:bookmarkStart w:id="3" w:name="O_197546"/>
      <w:bookmarkEnd w:id="3"/>
      <w:r w:rsidRPr="00C03EC9">
        <w:t>Application of the Unit</w:t>
      </w:r>
    </w:p>
    <w:tbl>
      <w:tblPr>
        <w:tblW w:w="0" w:type="auto"/>
        <w:tblLayout w:type="fixed"/>
        <w:tblCellMar>
          <w:left w:w="62" w:type="dxa"/>
          <w:right w:w="62" w:type="dxa"/>
        </w:tblCellMar>
        <w:tblLook w:val="0000"/>
      </w:tblPr>
      <w:tblGrid>
        <w:gridCol w:w="2671"/>
        <w:gridCol w:w="5851"/>
      </w:tblGrid>
      <w:tr w:rsidTr="001B1705">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Application of the unit</w:t>
            </w:r>
          </w:p>
        </w:tc>
        <w:tc>
          <w:tcPr>
            <w:tcW w:w="5851"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 xml:space="preserve">This unit of competency supports achievement of communication skills carried out as an integral part of routine work. </w:t>
            </w:r>
          </w:p>
        </w:tc>
      </w:tr>
    </w:tbl>
    <w:p w:rsidR="001B1705" w:rsidP="00C03EC9">
      <w:pPr>
        <w:pStyle w:val="BodyText"/>
      </w:pPr>
    </w:p>
    <w:p w:rsidR="001B1705" w:rsidP="00C03EC9">
      <w:pPr>
        <w:pStyle w:val="BodyText"/>
      </w:pPr>
    </w:p>
    <w:p w:rsidR="00000000" w:rsidRPr="00C03EC9" w:rsidP="00C03EC9">
      <w:pPr>
        <w:pStyle w:val="Heading1"/>
      </w:pPr>
      <w:bookmarkStart w:id="4" w:name="O_277786"/>
      <w:bookmarkEnd w:id="4"/>
      <w:r w:rsidRPr="00C03EC9">
        <w:t>Licensing/Regulatory Information</w:t>
      </w:r>
    </w:p>
    <w:p w:rsidR="00000000" w:rsidRPr="00C03EC9" w:rsidP="00C03EC9">
      <w:pPr>
        <w:pStyle w:val="BodyText"/>
      </w:pPr>
      <w:r w:rsidRPr="00C03EC9">
        <w:t>Not Applicable</w:t>
      </w:r>
    </w:p>
    <w:p w:rsidR="00000000" w:rsidRPr="00C03EC9" w:rsidP="00C03EC9">
      <w:pPr>
        <w:pStyle w:val="AllowPageBreak"/>
      </w:pPr>
    </w:p>
    <w:p w:rsidR="00000000" w:rsidRPr="00C03EC9" w:rsidP="00C03EC9">
      <w:pPr>
        <w:pStyle w:val="Heading1"/>
      </w:pPr>
      <w:bookmarkStart w:id="5" w:name="O_197544"/>
      <w:bookmarkEnd w:id="5"/>
      <w:r w:rsidRPr="00C03EC9">
        <w:t>Pre-Requisites</w:t>
      </w:r>
    </w:p>
    <w:tbl>
      <w:tblPr>
        <w:tblW w:w="0" w:type="auto"/>
        <w:tblLayout w:type="fixed"/>
        <w:tblCellMar>
          <w:left w:w="62" w:type="dxa"/>
          <w:right w:w="62" w:type="dxa"/>
        </w:tblCellMar>
        <w:tblLook w:val="0000"/>
      </w:tblPr>
      <w:tblGrid>
        <w:gridCol w:w="2681"/>
        <w:gridCol w:w="2095"/>
        <w:gridCol w:w="3746"/>
      </w:tblGrid>
      <w:tr w:rsidTr="001B1705">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Prerequisite units</w:t>
            </w:r>
          </w:p>
        </w:tc>
        <w:tc>
          <w:tcPr>
            <w:tcW w:w="5841" w:type="dxa"/>
            <w:gridSpan w:val="2"/>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t>Nil</w:t>
            </w:r>
          </w:p>
        </w:tc>
      </w:tr>
      <w:tr w:rsidTr="001B1705">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46"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p>
        </w:tc>
      </w:tr>
      <w:tr w:rsidTr="001B1705">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46" w:type="dxa"/>
            <w:tcBorders>
              <w:top w:val="nil"/>
              <w:left w:val="nil"/>
              <w:bottom w:val="nil"/>
              <w:right w:val="nil"/>
            </w:tcBorders>
            <w:tcMar>
              <w:top w:w="0" w:type="dxa"/>
              <w:left w:w="62" w:type="dxa"/>
              <w:bottom w:w="0" w:type="dxa"/>
              <w:right w:w="62" w:type="dxa"/>
            </w:tcMar>
          </w:tcPr>
          <w:p w:rsidR="00000000" w:rsidRPr="00C03EC9" w:rsidP="00C03EC9">
            <w:pPr>
              <w:pStyle w:val="BodyText"/>
            </w:pPr>
          </w:p>
        </w:tc>
      </w:tr>
    </w:tbl>
    <w:p w:rsidR="001B1705" w:rsidP="00C03EC9">
      <w:pPr>
        <w:pStyle w:val="BodyText"/>
      </w:pPr>
    </w:p>
    <w:p w:rsidR="001B1705" w:rsidP="00C03EC9">
      <w:pPr>
        <w:pStyle w:val="BodyText"/>
      </w:pPr>
    </w:p>
    <w:p w:rsidR="00000000" w:rsidRPr="00C03EC9" w:rsidP="00C03EC9">
      <w:pPr>
        <w:pStyle w:val="Heading1"/>
      </w:pPr>
      <w:bookmarkStart w:id="6" w:name="O_197543"/>
      <w:bookmarkEnd w:id="6"/>
      <w:r w:rsidRPr="00C03EC9">
        <w:t>Employability Skills Information</w:t>
      </w:r>
    </w:p>
    <w:tbl>
      <w:tblPr>
        <w:tblW w:w="0" w:type="auto"/>
        <w:tblLayout w:type="fixed"/>
        <w:tblCellMar>
          <w:left w:w="62" w:type="dxa"/>
          <w:right w:w="62" w:type="dxa"/>
        </w:tblCellMar>
        <w:tblLook w:val="0000"/>
      </w:tblPr>
      <w:tblGrid>
        <w:gridCol w:w="2708"/>
        <w:gridCol w:w="5814"/>
      </w:tblGrid>
      <w:tr w:rsidTr="001B1705">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Employability skills</w:t>
            </w:r>
          </w:p>
        </w:tc>
        <w:tc>
          <w:tcPr>
            <w:tcW w:w="5814"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This unit contains employability skills.</w:t>
            </w:r>
          </w:p>
        </w:tc>
      </w:tr>
    </w:tbl>
    <w:p w:rsidR="001B1705" w:rsidP="00C03EC9">
      <w:pPr>
        <w:pStyle w:val="BodyText"/>
      </w:pPr>
    </w:p>
    <w:p w:rsidR="001B1705" w:rsidP="00C03EC9">
      <w:pPr>
        <w:pStyle w:val="BodyText"/>
      </w:pPr>
    </w:p>
    <w:p w:rsidR="00000000" w:rsidRPr="00C03EC9" w:rsidP="00C03EC9">
      <w:pPr>
        <w:pStyle w:val="Heading1"/>
      </w:pPr>
      <w:bookmarkStart w:id="7" w:name="O_287572"/>
      <w:bookmarkEnd w:id="7"/>
      <w:r w:rsidRPr="00C03EC9">
        <w:t>Elements and Performance Criteria Pre-Content</w:t>
      </w:r>
    </w:p>
    <w:tbl>
      <w:tblPr>
        <w:tblW w:w="0" w:type="auto"/>
        <w:tblLayout w:type="fixed"/>
        <w:tblCellMar>
          <w:left w:w="62" w:type="dxa"/>
          <w:right w:w="62" w:type="dxa"/>
        </w:tblCellMar>
        <w:tblLook w:val="0000"/>
      </w:tblPr>
      <w:tblGrid>
        <w:gridCol w:w="2598"/>
        <w:gridCol w:w="5924"/>
      </w:tblGrid>
      <w:tr w:rsidTr="001B1705">
        <w:tblPrEx>
          <w:tblW w:w="0" w:type="auto"/>
          <w:tblLayout w:type="fixed"/>
          <w:tblCellMar>
            <w:left w:w="62" w:type="dxa"/>
            <w:right w:w="62" w:type="dxa"/>
          </w:tblCellMar>
          <w:tblLook w:val="0000"/>
        </w:tblPrEx>
        <w:tc>
          <w:tcPr>
            <w:tcW w:w="2598" w:type="dxa"/>
            <w:tcBorders>
              <w:top w:val="single" w:sz="6" w:space="0" w:color="auto"/>
              <w:left w:val="nil"/>
              <w:bottom w:val="nil"/>
              <w:right w:val="nil"/>
            </w:tcBorders>
            <w:tcMar>
              <w:top w:w="0" w:type="dxa"/>
              <w:left w:w="62" w:type="dxa"/>
              <w:bottom w:w="0" w:type="dxa"/>
              <w:right w:w="62" w:type="dxa"/>
            </w:tcMar>
          </w:tcPr>
          <w:p w:rsidR="00000000" w:rsidP="00C03EC9">
            <w:pPr>
              <w:pStyle w:val="BodyText"/>
              <w:rPr>
                <w:lang w:val="en-NZ"/>
              </w:rPr>
            </w:pPr>
            <w:r w:rsidRPr="00C03EC9">
              <w:t>Elements describe the essential outcomes of a unit of competency.</w:t>
            </w:r>
          </w:p>
        </w:tc>
        <w:tc>
          <w:tcPr>
            <w:tcW w:w="5924" w:type="dxa"/>
            <w:tcBorders>
              <w:top w:val="single" w:sz="6" w:space="0" w:color="auto"/>
              <w:left w:val="nil"/>
              <w:bottom w:val="nil"/>
              <w:right w:val="nil"/>
            </w:tcBorders>
            <w:tcMar>
              <w:top w:w="0" w:type="dxa"/>
              <w:left w:w="62" w:type="dxa"/>
              <w:bottom w:w="0" w:type="dxa"/>
              <w:right w:w="62" w:type="dxa"/>
            </w:tcMar>
          </w:tcPr>
          <w:p w:rsidR="00000000" w:rsidRPr="00C03EC9" w:rsidP="00C03EC9">
            <w:pPr>
              <w:pStyle w:val="BodyText"/>
            </w:pPr>
            <w:r w:rsidRPr="00C03EC9">
              <w:t>Performance criteria describe the performance needed to demonstrate achievement of the element. Where bold italicised text is used, further information is detailed in the required skills and knowledge section and the range statement. Assessment of performa</w:t>
            </w:r>
            <w:r w:rsidRPr="00C03EC9">
              <w:t>nce is to be consistent with the evidence guide.</w:t>
            </w:r>
          </w:p>
        </w:tc>
      </w:tr>
    </w:tbl>
    <w:p w:rsidR="00000000" w:rsidRPr="00C03EC9" w:rsidP="00C03EC9">
      <w:pPr>
        <w:pStyle w:val="BodyText"/>
      </w:pPr>
    </w:p>
    <w:p w:rsidR="00000000" w:rsidRPr="00C03EC9" w:rsidP="00C03EC9">
      <w:pPr>
        <w:pStyle w:val="AllowPageBreak"/>
      </w:pPr>
    </w:p>
    <w:p w:rsidR="00000000" w:rsidRPr="00C03EC9" w:rsidP="00C03EC9">
      <w:pPr>
        <w:pStyle w:val="Heading1"/>
      </w:pPr>
      <w:bookmarkStart w:id="8" w:name="O_234239"/>
      <w:bookmarkEnd w:id="8"/>
      <w:r w:rsidRPr="00C03EC9">
        <w:t>Elements and Performance Criteria</w:t>
      </w:r>
    </w:p>
    <w:tbl>
      <w:tblPr>
        <w:tblW w:w="0" w:type="auto"/>
        <w:tblLayout w:type="fixed"/>
        <w:tblCellMar>
          <w:left w:w="62" w:type="dxa"/>
          <w:right w:w="62" w:type="dxa"/>
        </w:tblCellMar>
        <w:tblLook w:val="0000"/>
      </w:tblPr>
      <w:tblGrid>
        <w:gridCol w:w="2598"/>
        <w:gridCol w:w="5924"/>
      </w:tblGrid>
      <w:tr w:rsidTr="001B1705">
        <w:tblPrEx>
          <w:tblW w:w="0" w:type="auto"/>
          <w:tblLayout w:type="fixed"/>
          <w:tblCellMar>
            <w:left w:w="62" w:type="dxa"/>
            <w:right w:w="62" w:type="dxa"/>
          </w:tblCellMar>
          <w:tblLook w:val="0000"/>
        </w:tblPrEx>
        <w:trPr>
          <w:tblHeader/>
        </w:trPr>
        <w:tc>
          <w:tcPr>
            <w:tcW w:w="2598" w:type="dxa"/>
            <w:tcBorders>
              <w:top w:val="nil"/>
              <w:left w:val="nil"/>
              <w:bottom w:val="single" w:sz="6" w:space="0" w:color="auto"/>
              <w:right w:val="nil"/>
            </w:tcBorders>
            <w:tcMar>
              <w:top w:w="0" w:type="dxa"/>
              <w:left w:w="62" w:type="dxa"/>
              <w:bottom w:w="0" w:type="dxa"/>
              <w:right w:w="62" w:type="dxa"/>
            </w:tcMar>
          </w:tcPr>
          <w:p w:rsidR="00000000" w:rsidRPr="00C03EC9" w:rsidP="00C03EC9">
            <w:pPr>
              <w:pStyle w:val="BodyText"/>
            </w:pPr>
            <w:r w:rsidRPr="00C03EC9">
              <w:rPr>
                <w:rStyle w:val="SpecialBold"/>
              </w:rPr>
              <w:t>ELEMENT</w:t>
            </w:r>
          </w:p>
        </w:tc>
        <w:tc>
          <w:tcPr>
            <w:tcW w:w="5924" w:type="dxa"/>
            <w:tcBorders>
              <w:top w:val="nil"/>
              <w:left w:val="nil"/>
              <w:bottom w:val="single" w:sz="6" w:space="0" w:color="auto"/>
              <w:right w:val="nil"/>
            </w:tcBorders>
            <w:tcMar>
              <w:top w:w="0" w:type="dxa"/>
              <w:left w:w="62" w:type="dxa"/>
              <w:bottom w:w="0" w:type="dxa"/>
              <w:right w:w="62" w:type="dxa"/>
            </w:tcMar>
          </w:tcPr>
          <w:p w:rsidR="00000000" w:rsidP="00C03EC9">
            <w:pPr>
              <w:pStyle w:val="BodyText"/>
              <w:rPr>
                <w:lang w:val="en-NZ"/>
              </w:rPr>
            </w:pPr>
            <w:r w:rsidRPr="00C03EC9">
              <w:rPr>
                <w:rStyle w:val="SpecialBold"/>
              </w:rPr>
              <w:t>PERFORMANCE CRITERIA</w:t>
            </w:r>
          </w:p>
        </w:tc>
      </w:tr>
      <w:tr w:rsidTr="001B1705">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C03EC9">
            <w:pPr>
              <w:pStyle w:val="List"/>
              <w:rPr>
                <w:lang w:val="en-NZ"/>
              </w:rPr>
            </w:pPr>
            <w:r w:rsidRPr="00C03EC9">
              <w:t>1.</w:t>
            </w:r>
            <w:r w:rsidRPr="00C03EC9">
              <w:tab/>
              <w:t>Gather, convey and receive information.</w:t>
            </w:r>
          </w:p>
        </w:tc>
        <w:tc>
          <w:tcPr>
            <w:tcW w:w="5924" w:type="dxa"/>
            <w:tcBorders>
              <w:top w:val="nil"/>
              <w:left w:val="nil"/>
              <w:bottom w:val="nil"/>
              <w:right w:val="nil"/>
            </w:tcBorders>
            <w:tcMar>
              <w:top w:w="0" w:type="dxa"/>
              <w:left w:w="62" w:type="dxa"/>
              <w:bottom w:w="0" w:type="dxa"/>
              <w:right w:w="62" w:type="dxa"/>
            </w:tcMar>
          </w:tcPr>
          <w:p w:rsidR="00000000" w:rsidRPr="00C03EC9" w:rsidP="00C03EC9">
            <w:pPr>
              <w:pStyle w:val="List2"/>
            </w:pPr>
            <w:r w:rsidRPr="00C03EC9">
              <w:t>1.1.</w:t>
            </w:r>
            <w:r w:rsidRPr="00C03EC9">
              <w:tab/>
              <w:t>Verbal and w</w:t>
            </w:r>
            <w:r w:rsidRPr="00C03EC9">
              <w:t>ritten instructions are gathered, received and responded to with correct actions.</w:t>
            </w:r>
          </w:p>
          <w:p w:rsidR="00000000" w:rsidRPr="00C03EC9" w:rsidP="00C03EC9">
            <w:pPr>
              <w:pStyle w:val="List2"/>
            </w:pPr>
            <w:r w:rsidRPr="00C03EC9">
              <w:t>1.2.</w:t>
            </w:r>
            <w:r w:rsidRPr="00C03EC9">
              <w:tab/>
              <w:t>Instructions are conveyed accurately.</w:t>
            </w:r>
          </w:p>
          <w:p w:rsidR="00000000" w:rsidRPr="00C03EC9" w:rsidP="00C03EC9">
            <w:pPr>
              <w:pStyle w:val="List2"/>
            </w:pPr>
            <w:r w:rsidRPr="00C03EC9">
              <w:t>1.3.</w:t>
            </w:r>
            <w:r w:rsidRPr="00C03EC9">
              <w:tab/>
              <w:t xml:space="preserve">Work </w:t>
            </w:r>
            <w:r w:rsidRPr="00C03EC9">
              <w:rPr>
                <w:rStyle w:val="BoldandItalics"/>
              </w:rPr>
              <w:t>signage interpretation</w:t>
            </w:r>
            <w:r w:rsidRPr="00C03EC9">
              <w:t xml:space="preserve"> and other </w:t>
            </w:r>
            <w:r w:rsidRPr="00C03EC9">
              <w:rPr>
                <w:rStyle w:val="BoldandItalics"/>
              </w:rPr>
              <w:t>safety</w:t>
            </w:r>
            <w:r w:rsidRPr="00C03EC9">
              <w:t xml:space="preserve"> (</w:t>
            </w:r>
            <w:r w:rsidRPr="00C03EC9">
              <w:rPr>
                <w:rStyle w:val="BoldandItalics"/>
              </w:rPr>
              <w:t>OHS</w:t>
            </w:r>
            <w:r w:rsidRPr="00C03EC9">
              <w:t xml:space="preserve">) requirements are responded to with correct action. </w:t>
            </w:r>
          </w:p>
          <w:p w:rsidR="00000000" w:rsidRPr="00C03EC9" w:rsidP="00C03EC9">
            <w:pPr>
              <w:pStyle w:val="List2"/>
            </w:pPr>
            <w:r w:rsidRPr="00C03EC9">
              <w:t>1.4.</w:t>
            </w:r>
            <w:r w:rsidRPr="00C03EC9">
              <w:tab/>
            </w:r>
            <w:r w:rsidRPr="00C03EC9">
              <w:rPr>
                <w:rStyle w:val="BoldandItalics"/>
              </w:rPr>
              <w:t>Information</w:t>
            </w:r>
            <w:r w:rsidRPr="00C03EC9">
              <w:t xml:space="preserve"> is con</w:t>
            </w:r>
            <w:r w:rsidRPr="00C03EC9">
              <w:t xml:space="preserve">veyed in English, and the information is </w:t>
            </w:r>
            <w:r w:rsidRPr="00C03EC9">
              <w:rPr>
                <w:rStyle w:val="BoldandItalics"/>
              </w:rPr>
              <w:t>interpreted</w:t>
            </w:r>
            <w:r w:rsidRPr="00C03EC9">
              <w:t xml:space="preserve"> and message confirmed. </w:t>
            </w:r>
          </w:p>
          <w:p w:rsidR="00000000" w:rsidP="00C03EC9">
            <w:pPr>
              <w:pStyle w:val="List2"/>
              <w:rPr>
                <w:lang w:val="en-NZ"/>
              </w:rPr>
            </w:pPr>
            <w:r w:rsidRPr="00C03EC9">
              <w:t>1.5.</w:t>
            </w:r>
            <w:r w:rsidRPr="00C03EC9">
              <w:tab/>
              <w:t xml:space="preserve">Questions are used to gain additional information and to clarify understanding, using appropriate </w:t>
            </w:r>
            <w:r w:rsidRPr="00C03EC9">
              <w:rPr>
                <w:rStyle w:val="BoldandItalics"/>
              </w:rPr>
              <w:t>communication transfer</w:t>
            </w:r>
            <w:r w:rsidRPr="00C03EC9">
              <w:t xml:space="preserve"> techniques. </w:t>
            </w:r>
          </w:p>
        </w:tc>
      </w:tr>
      <w:tr w:rsidTr="001B1705">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C03EC9">
            <w:pPr>
              <w:pStyle w:val="List"/>
              <w:rPr>
                <w:lang w:val="en-NZ"/>
              </w:rPr>
            </w:pPr>
            <w:r w:rsidRPr="00C03EC9">
              <w:t>2.</w:t>
            </w:r>
            <w:r w:rsidRPr="00C03EC9">
              <w:tab/>
              <w:t>Carry out face-to-face routine commu</w:t>
            </w:r>
            <w:r w:rsidRPr="00C03EC9">
              <w:t>nication.</w:t>
            </w:r>
          </w:p>
        </w:tc>
        <w:tc>
          <w:tcPr>
            <w:tcW w:w="5924" w:type="dxa"/>
            <w:tcBorders>
              <w:top w:val="nil"/>
              <w:left w:val="nil"/>
              <w:bottom w:val="nil"/>
              <w:right w:val="nil"/>
            </w:tcBorders>
            <w:tcMar>
              <w:top w:w="0" w:type="dxa"/>
              <w:left w:w="62" w:type="dxa"/>
              <w:bottom w:w="0" w:type="dxa"/>
              <w:right w:w="62" w:type="dxa"/>
            </w:tcMar>
          </w:tcPr>
          <w:p w:rsidR="00000000" w:rsidRPr="00C03EC9" w:rsidP="00C03EC9">
            <w:pPr>
              <w:pStyle w:val="List2"/>
            </w:pPr>
            <w:r w:rsidRPr="00C03EC9">
              <w:t>2.1.</w:t>
            </w:r>
            <w:r w:rsidRPr="00C03EC9">
              <w:tab/>
              <w:t>Routine instructions and messages are received and followed.</w:t>
            </w:r>
          </w:p>
          <w:p w:rsidR="00000000" w:rsidRPr="00C03EC9" w:rsidP="00C03EC9">
            <w:pPr>
              <w:pStyle w:val="List2"/>
            </w:pPr>
            <w:r w:rsidRPr="00C03EC9">
              <w:t>2.2.</w:t>
            </w:r>
            <w:r w:rsidRPr="00C03EC9">
              <w:tab/>
              <w:t xml:space="preserve">Workplace procedures are carried out to company requirements in </w:t>
            </w:r>
            <w:r w:rsidRPr="00C03EC9">
              <w:rPr>
                <w:rStyle w:val="BoldandItalics"/>
              </w:rPr>
              <w:t>communication with others</w:t>
            </w:r>
            <w:r w:rsidRPr="00C03EC9">
              <w:t xml:space="preserve">. </w:t>
            </w:r>
          </w:p>
          <w:p w:rsidR="00000000" w:rsidRPr="00C03EC9" w:rsidP="00C03EC9">
            <w:pPr>
              <w:pStyle w:val="List2"/>
            </w:pPr>
            <w:r w:rsidRPr="00C03EC9">
              <w:t>2.3.</w:t>
            </w:r>
            <w:r w:rsidRPr="00C03EC9">
              <w:tab/>
              <w:t>Inf</w:t>
            </w:r>
            <w:r w:rsidRPr="00C03EC9">
              <w:t xml:space="preserve">ormation from a range of sources is accessed and interpreted using a variety of </w:t>
            </w:r>
            <w:r w:rsidRPr="00C03EC9">
              <w:rPr>
                <w:rStyle w:val="BoldandItalics"/>
              </w:rPr>
              <w:t>communication modes</w:t>
            </w:r>
            <w:r w:rsidRPr="00C03EC9">
              <w:t xml:space="preserve">. </w:t>
            </w:r>
          </w:p>
          <w:p w:rsidR="00000000" w:rsidRPr="00C03EC9" w:rsidP="00C03EC9">
            <w:pPr>
              <w:pStyle w:val="List2"/>
            </w:pPr>
            <w:r w:rsidRPr="00C03EC9">
              <w:t>2.4.</w:t>
            </w:r>
            <w:r w:rsidRPr="00C03EC9">
              <w:tab/>
              <w:t>Information is selected and sequenced correctly.</w:t>
            </w:r>
          </w:p>
          <w:p w:rsidR="00000000" w:rsidP="00C03EC9">
            <w:pPr>
              <w:pStyle w:val="List2"/>
              <w:rPr>
                <w:lang w:val="en-NZ"/>
              </w:rPr>
            </w:pPr>
            <w:r w:rsidRPr="00C03EC9">
              <w:t>2.5.</w:t>
            </w:r>
            <w:r w:rsidRPr="00C03EC9">
              <w:tab/>
              <w:t>Verbal and written reporting is completed where required.</w:t>
            </w:r>
          </w:p>
        </w:tc>
      </w:tr>
      <w:tr w:rsidTr="001B1705">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C03EC9">
            <w:pPr>
              <w:pStyle w:val="List"/>
              <w:rPr>
                <w:lang w:val="en-NZ"/>
              </w:rPr>
            </w:pPr>
            <w:r w:rsidRPr="00C03EC9">
              <w:t>3.</w:t>
            </w:r>
            <w:r w:rsidRPr="00C03EC9">
              <w:tab/>
              <w:t>Apply visual communication.</w:t>
            </w:r>
          </w:p>
        </w:tc>
        <w:tc>
          <w:tcPr>
            <w:tcW w:w="5924" w:type="dxa"/>
            <w:tcBorders>
              <w:top w:val="nil"/>
              <w:left w:val="nil"/>
              <w:bottom w:val="nil"/>
              <w:right w:val="nil"/>
            </w:tcBorders>
            <w:tcMar>
              <w:top w:w="0" w:type="dxa"/>
              <w:left w:w="62" w:type="dxa"/>
              <w:bottom w:w="0" w:type="dxa"/>
              <w:right w:w="62" w:type="dxa"/>
            </w:tcMar>
          </w:tcPr>
          <w:p w:rsidR="00000000" w:rsidRPr="00C03EC9" w:rsidP="00C03EC9">
            <w:pPr>
              <w:pStyle w:val="List2"/>
            </w:pPr>
            <w:r w:rsidRPr="00C03EC9">
              <w:t>3.1.</w:t>
            </w:r>
            <w:r w:rsidRPr="00C03EC9">
              <w:tab/>
            </w:r>
            <w:r w:rsidRPr="00C03EC9">
              <w:t>Visual communication is used that follows accepted industry practice or social conventions.</w:t>
            </w:r>
          </w:p>
          <w:p w:rsidR="00000000" w:rsidRPr="00C03EC9" w:rsidP="00C03EC9">
            <w:pPr>
              <w:pStyle w:val="List2"/>
            </w:pPr>
            <w:r w:rsidRPr="00C03EC9">
              <w:t>3.2.</w:t>
            </w:r>
            <w:r w:rsidRPr="00C03EC9">
              <w:tab/>
              <w:t>Attention of communicating parties is obtained, confirmed and/or acknowledged.</w:t>
            </w:r>
          </w:p>
          <w:p w:rsidR="00000000" w:rsidRPr="00C03EC9" w:rsidP="00C03EC9">
            <w:pPr>
              <w:pStyle w:val="List2"/>
            </w:pPr>
            <w:r w:rsidRPr="00C03EC9">
              <w:t>3.3.</w:t>
            </w:r>
            <w:r w:rsidRPr="00C03EC9">
              <w:tab/>
              <w:t>Intention of the visual communication is clarified and confirmed at each st</w:t>
            </w:r>
            <w:r w:rsidRPr="00C03EC9">
              <w:t>ep.</w:t>
            </w:r>
          </w:p>
          <w:p w:rsidR="00000000" w:rsidRPr="00C03EC9" w:rsidP="00C03EC9">
            <w:pPr>
              <w:pStyle w:val="List2"/>
            </w:pPr>
            <w:r w:rsidRPr="00C03EC9">
              <w:t>3.4.</w:t>
            </w:r>
            <w:r w:rsidRPr="00C03EC9">
              <w:tab/>
              <w:t>Visual communication that is unclear or ambiguous is questioned or visually cancelled.</w:t>
            </w:r>
          </w:p>
          <w:p w:rsidR="00000000" w:rsidP="00C03EC9">
            <w:pPr>
              <w:pStyle w:val="List2"/>
              <w:rPr>
                <w:lang w:val="en-NZ"/>
              </w:rPr>
            </w:pPr>
            <w:r w:rsidRPr="00C03EC9">
              <w:t>3.5.</w:t>
            </w:r>
            <w:r w:rsidRPr="00C03EC9">
              <w:tab/>
              <w:t>Instances of unclear visual communication are followed up to avoid repeated problems.</w:t>
            </w:r>
          </w:p>
        </w:tc>
      </w:tr>
      <w:tr w:rsidTr="001B1705">
        <w:tblPrEx>
          <w:tblW w:w="0" w:type="auto"/>
          <w:tblLayout w:type="fixed"/>
          <w:tblCellMar>
            <w:left w:w="62" w:type="dxa"/>
            <w:right w:w="62" w:type="dxa"/>
          </w:tblCellMar>
          <w:tblLook w:val="0000"/>
        </w:tblPrEx>
        <w:tc>
          <w:tcPr>
            <w:tcW w:w="2598" w:type="dxa"/>
            <w:tcBorders>
              <w:top w:val="nil"/>
              <w:left w:val="nil"/>
              <w:bottom w:val="nil"/>
              <w:right w:val="nil"/>
            </w:tcBorders>
            <w:tcMar>
              <w:top w:w="0" w:type="dxa"/>
              <w:left w:w="62" w:type="dxa"/>
              <w:bottom w:w="0" w:type="dxa"/>
              <w:right w:w="62" w:type="dxa"/>
            </w:tcMar>
          </w:tcPr>
          <w:p w:rsidR="00000000" w:rsidP="00C03EC9">
            <w:pPr>
              <w:pStyle w:val="List"/>
              <w:rPr>
                <w:lang w:val="en-NZ"/>
              </w:rPr>
            </w:pPr>
            <w:r w:rsidRPr="00C03EC9">
              <w:t>4.</w:t>
            </w:r>
            <w:r w:rsidRPr="00C03EC9">
              <w:tab/>
              <w:t>Participate in simple on-site meeting processes.</w:t>
            </w:r>
          </w:p>
        </w:tc>
        <w:tc>
          <w:tcPr>
            <w:tcW w:w="5924" w:type="dxa"/>
            <w:tcBorders>
              <w:top w:val="nil"/>
              <w:left w:val="nil"/>
              <w:bottom w:val="nil"/>
              <w:right w:val="nil"/>
            </w:tcBorders>
            <w:tcMar>
              <w:top w:w="0" w:type="dxa"/>
              <w:left w:w="62" w:type="dxa"/>
              <w:bottom w:w="0" w:type="dxa"/>
              <w:right w:w="62" w:type="dxa"/>
            </w:tcMar>
          </w:tcPr>
          <w:p w:rsidR="00000000" w:rsidRPr="00C03EC9" w:rsidP="00C03EC9">
            <w:pPr>
              <w:pStyle w:val="List2"/>
            </w:pPr>
            <w:r w:rsidRPr="00C03EC9">
              <w:t>4.1.</w:t>
            </w:r>
            <w:r w:rsidRPr="00C03EC9">
              <w:tab/>
              <w:t>Correct pro</w:t>
            </w:r>
            <w:r w:rsidRPr="00C03EC9">
              <w:t>cess for on site meetings is identified and followed to predetermined or agreed procedures.</w:t>
            </w:r>
          </w:p>
          <w:p w:rsidR="00000000" w:rsidRPr="00C03EC9" w:rsidP="00C03EC9">
            <w:pPr>
              <w:pStyle w:val="List2"/>
            </w:pPr>
            <w:r w:rsidRPr="00C03EC9">
              <w:t>4.2.</w:t>
            </w:r>
            <w:r w:rsidRPr="00C03EC9">
              <w:tab/>
              <w:t>Responses are sought and provided to others in the group.</w:t>
            </w:r>
          </w:p>
          <w:p w:rsidR="00000000" w:rsidRPr="00C03EC9" w:rsidP="00C03EC9">
            <w:pPr>
              <w:pStyle w:val="List2"/>
            </w:pPr>
            <w:r w:rsidRPr="00C03EC9">
              <w:t>4.3.</w:t>
            </w:r>
            <w:r w:rsidRPr="00C03EC9">
              <w:tab/>
              <w:t>Constructive contributions are made.</w:t>
            </w:r>
          </w:p>
          <w:p w:rsidR="00000000" w:rsidRPr="00C03EC9" w:rsidP="00C03EC9">
            <w:pPr>
              <w:pStyle w:val="List2"/>
            </w:pPr>
            <w:r w:rsidRPr="00C03EC9">
              <w:t>4.4.</w:t>
            </w:r>
            <w:r w:rsidRPr="00C03EC9">
              <w:tab/>
              <w:t>Goals or outcomes are identified and/or recorded.</w:t>
            </w:r>
          </w:p>
        </w:tc>
      </w:tr>
    </w:tbl>
    <w:p w:rsidR="001B1705" w:rsidP="00C03EC9">
      <w:pPr>
        <w:pStyle w:val="BodyText"/>
      </w:pPr>
    </w:p>
    <w:p w:rsidR="001B1705" w:rsidP="00C03EC9">
      <w:pPr>
        <w:pStyle w:val="BodyText"/>
      </w:pPr>
    </w:p>
    <w:p w:rsidR="00000000" w:rsidRPr="00C03EC9" w:rsidP="00C03EC9">
      <w:pPr>
        <w:pStyle w:val="Heading1"/>
      </w:pPr>
      <w:bookmarkStart w:id="9" w:name="O_258189"/>
      <w:bookmarkEnd w:id="9"/>
      <w:r w:rsidRPr="00C03EC9">
        <w:t>Required Skills and Knowledge</w:t>
      </w:r>
    </w:p>
    <w:tbl>
      <w:tblPr>
        <w:tblW w:w="0" w:type="auto"/>
        <w:tblLayout w:type="fixed"/>
        <w:tblCellMar>
          <w:left w:w="62" w:type="dxa"/>
          <w:right w:w="62" w:type="dxa"/>
        </w:tblCellMar>
        <w:tblLook w:val="0000"/>
      </w:tblPr>
      <w:tblGrid>
        <w:gridCol w:w="8522"/>
      </w:tblGrid>
      <w:tr w:rsidTr="001B170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REQUIRED SKILLS AND KNOWLEDGE</w:t>
            </w:r>
          </w:p>
        </w:tc>
      </w:tr>
      <w:tr w:rsidTr="001B17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t>This section describes the skills and knowledge required for this unit.</w:t>
            </w:r>
          </w:p>
        </w:tc>
      </w:tr>
      <w:tr w:rsidTr="001B17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Required skills</w:t>
            </w:r>
          </w:p>
        </w:tc>
      </w:tr>
      <w:tr w:rsidTr="001B17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Required skills for this unit are:</w:t>
            </w:r>
          </w:p>
          <w:p w:rsidR="00000000" w:rsidRPr="00C03EC9" w:rsidP="00C03EC9">
            <w:pPr>
              <w:pStyle w:val="ListBullet"/>
            </w:pPr>
            <w:r w:rsidRPr="00C03EC9">
              <w:t>communication skills to communicate with others to:</w:t>
            </w:r>
          </w:p>
          <w:p w:rsidR="00000000" w:rsidRPr="00C03EC9" w:rsidP="00C03EC9">
            <w:pPr>
              <w:pStyle w:val="ListBullet2"/>
            </w:pPr>
            <w:r w:rsidRPr="00C03EC9">
              <w:t>enable clear and direct communication, using questioning to identify and confirm requirements, share information, listen and understand</w:t>
            </w:r>
          </w:p>
          <w:p w:rsidR="00000000" w:rsidRPr="00C03EC9" w:rsidP="00C03EC9">
            <w:pPr>
              <w:pStyle w:val="ListBullet2"/>
            </w:pPr>
            <w:r w:rsidRPr="00C03EC9">
              <w:t>read and interpret:</w:t>
            </w:r>
          </w:p>
          <w:p w:rsidR="00000000" w:rsidRPr="00C03EC9" w:rsidP="00C03EC9">
            <w:pPr>
              <w:pStyle w:val="ListBullet3"/>
            </w:pPr>
            <w:r w:rsidRPr="00C03EC9">
              <w:t>signage and other relevant documentation</w:t>
            </w:r>
          </w:p>
          <w:p w:rsidR="00000000" w:rsidRPr="00C03EC9" w:rsidP="00C03EC9">
            <w:pPr>
              <w:pStyle w:val="ListBullet3"/>
            </w:pPr>
            <w:r w:rsidRPr="00C03EC9">
              <w:t>simple instructions and messages</w:t>
            </w:r>
          </w:p>
          <w:p w:rsidR="00000000" w:rsidRPr="00C03EC9" w:rsidP="00C03EC9">
            <w:pPr>
              <w:pStyle w:val="ListBullet2"/>
            </w:pPr>
            <w:r w:rsidRPr="00C03EC9">
              <w:t>use language and concepts appropriate to cultural differences</w:t>
            </w:r>
          </w:p>
          <w:p w:rsidR="00000000" w:rsidRPr="00C03EC9" w:rsidP="00C03EC9">
            <w:pPr>
              <w:pStyle w:val="ListBullet2"/>
            </w:pPr>
            <w:r w:rsidRPr="00C03EC9">
              <w:t>use and interpret non-verbal communication, such as hand signals</w:t>
            </w:r>
          </w:p>
          <w:p w:rsidR="00000000" w:rsidRPr="00C03EC9" w:rsidP="00C03EC9">
            <w:pPr>
              <w:pStyle w:val="ListBullet2"/>
            </w:pPr>
            <w:r w:rsidRPr="00C03EC9">
              <w:t>written skills to complete records and reports as required</w:t>
            </w:r>
          </w:p>
          <w:p w:rsidR="00000000" w:rsidRPr="00C03EC9" w:rsidP="00C03EC9">
            <w:pPr>
              <w:pStyle w:val="ListBullet"/>
            </w:pPr>
            <w:r w:rsidRPr="00C03EC9">
              <w:t>identifying and accurately reportin</w:t>
            </w:r>
            <w:r w:rsidRPr="00C03EC9">
              <w:t>g to appropriate personnel any faults in tools, equipment or materials</w:t>
            </w:r>
          </w:p>
          <w:p w:rsidR="00000000" w:rsidRPr="00C03EC9" w:rsidP="00C03EC9">
            <w:pPr>
              <w:pStyle w:val="ListBullet"/>
            </w:pPr>
            <w:r w:rsidRPr="00C03EC9">
              <w:t>numeracy skills to apply measurements and make calculations</w:t>
            </w:r>
          </w:p>
          <w:p w:rsidR="00000000" w:rsidRPr="00C03EC9" w:rsidP="00C03EC9">
            <w:pPr>
              <w:pStyle w:val="ListBullet"/>
            </w:pPr>
            <w:r w:rsidRPr="00C03EC9">
              <w:t>organisational skills, including the ability to plan and set out work</w:t>
            </w:r>
          </w:p>
          <w:p w:rsidR="00000000" w:rsidRPr="00C03EC9" w:rsidP="00C03EC9">
            <w:pPr>
              <w:pStyle w:val="ListBullet"/>
            </w:pPr>
            <w:r w:rsidRPr="00C03EC9">
              <w:t>participating in meetings</w:t>
            </w:r>
          </w:p>
          <w:p w:rsidR="00000000" w:rsidRPr="00C03EC9" w:rsidP="00C03EC9">
            <w:pPr>
              <w:pStyle w:val="ListBullet"/>
            </w:pPr>
            <w:r w:rsidRPr="00C03EC9">
              <w:t>teamwo</w:t>
            </w:r>
            <w:r w:rsidRPr="00C03EC9">
              <w:t>rk skills to work with others to action tasks and relate to people from a range of cultural and ethnic backgrounds and with varying physical and mental abilities</w:t>
            </w:r>
          </w:p>
          <w:p w:rsidR="00000000" w:rsidRPr="00C03EC9" w:rsidP="00C03EC9">
            <w:pPr>
              <w:pStyle w:val="ListBullet"/>
            </w:pPr>
            <w:r w:rsidRPr="00C03EC9">
              <w:t>technological skills to:</w:t>
            </w:r>
          </w:p>
          <w:p w:rsidR="00000000" w:rsidRPr="00C03EC9" w:rsidP="00C03EC9">
            <w:pPr>
              <w:pStyle w:val="ListBullet2"/>
            </w:pPr>
            <w:r w:rsidRPr="00C03EC9">
              <w:t>use a range of mobile technology, such as two-way radio and mobile p</w:t>
            </w:r>
            <w:r w:rsidRPr="00C03EC9">
              <w:t>hones</w:t>
            </w:r>
          </w:p>
          <w:p w:rsidR="00000000" w:rsidP="00C03EC9">
            <w:pPr>
              <w:pStyle w:val="ListBullet2"/>
              <w:rPr>
                <w:lang w:val="en-NZ"/>
              </w:rPr>
            </w:pPr>
            <w:r w:rsidRPr="00C03EC9">
              <w:t>voice and hand signals to access and understand site-specific instructions.</w:t>
            </w:r>
          </w:p>
        </w:tc>
      </w:tr>
      <w:tr w:rsidTr="001B17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Required knowledge</w:t>
            </w:r>
          </w:p>
        </w:tc>
      </w:tr>
      <w:tr w:rsidTr="001B17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Required knowledge for this unit is:</w:t>
            </w:r>
          </w:p>
          <w:p w:rsidR="00000000" w:rsidRPr="00C03EC9" w:rsidP="00C03EC9">
            <w:pPr>
              <w:pStyle w:val="ListBullet"/>
            </w:pPr>
            <w:r w:rsidRPr="00C03EC9">
              <w:t>bulletins</w:t>
            </w:r>
          </w:p>
          <w:p w:rsidR="00000000" w:rsidRPr="00C03EC9" w:rsidP="00C03EC9">
            <w:pPr>
              <w:pStyle w:val="ListBullet"/>
            </w:pPr>
            <w:r w:rsidRPr="00C03EC9">
              <w:t>checklists</w:t>
            </w:r>
          </w:p>
          <w:p w:rsidR="00000000" w:rsidRPr="00C03EC9" w:rsidP="00C03EC9">
            <w:pPr>
              <w:pStyle w:val="ListBullet"/>
            </w:pPr>
            <w:r w:rsidRPr="00C03EC9">
              <w:t>communication devices</w:t>
            </w:r>
          </w:p>
          <w:p w:rsidR="00000000" w:rsidRPr="00C03EC9" w:rsidP="00C03EC9">
            <w:pPr>
              <w:pStyle w:val="ListBullet"/>
            </w:pPr>
            <w:r w:rsidRPr="00C03EC9">
              <w:t>company procedures</w:t>
            </w:r>
          </w:p>
          <w:p w:rsidR="00000000" w:rsidRPr="00C03EC9" w:rsidP="00C03EC9">
            <w:pPr>
              <w:pStyle w:val="ListBullet"/>
            </w:pPr>
            <w:r w:rsidRPr="00C03EC9">
              <w:t>construction terminology</w:t>
            </w:r>
          </w:p>
          <w:p w:rsidR="00000000" w:rsidRPr="00C03EC9" w:rsidP="00C03EC9">
            <w:pPr>
              <w:pStyle w:val="ListBullet"/>
            </w:pPr>
            <w:r w:rsidRPr="00C03EC9">
              <w:t>emergency procedures</w:t>
            </w:r>
          </w:p>
          <w:p w:rsidR="00000000" w:rsidRPr="00C03EC9" w:rsidP="00C03EC9">
            <w:pPr>
              <w:pStyle w:val="ListBullet"/>
            </w:pPr>
            <w:r w:rsidRPr="00C03EC9">
              <w:t>job safety analysis (JSA) and safe work method statements</w:t>
            </w:r>
          </w:p>
          <w:p w:rsidR="00000000" w:rsidRPr="00C03EC9" w:rsidP="00C03EC9">
            <w:pPr>
              <w:pStyle w:val="ListBullet"/>
            </w:pPr>
            <w:r w:rsidRPr="00C03EC9">
              <w:t>material safety data sheets (MSDS) and materials handling methods</w:t>
            </w:r>
          </w:p>
          <w:p w:rsidR="00000000" w:rsidRPr="00C03EC9" w:rsidP="00C03EC9">
            <w:pPr>
              <w:pStyle w:val="ListBullet"/>
            </w:pPr>
            <w:r w:rsidRPr="00C03EC9">
              <w:t>memos</w:t>
            </w:r>
          </w:p>
          <w:p w:rsidR="00000000" w:rsidRPr="00C03EC9" w:rsidP="00C03EC9">
            <w:pPr>
              <w:pStyle w:val="ListBullet"/>
            </w:pPr>
            <w:r w:rsidRPr="00C03EC9">
              <w:t>OHS requirements</w:t>
            </w:r>
          </w:p>
          <w:p w:rsidR="00000000" w:rsidRPr="00C03EC9" w:rsidP="00C03EC9">
            <w:pPr>
              <w:pStyle w:val="ListBullet"/>
            </w:pPr>
            <w:r w:rsidRPr="00C03EC9">
              <w:t>project quality requirements</w:t>
            </w:r>
          </w:p>
          <w:p w:rsidR="00000000" w:rsidRPr="00C03EC9" w:rsidP="00C03EC9">
            <w:pPr>
              <w:pStyle w:val="ListBullet"/>
            </w:pPr>
            <w:r w:rsidRPr="00C03EC9">
              <w:t>signage</w:t>
            </w:r>
          </w:p>
          <w:p w:rsidR="00000000" w:rsidRPr="00C03EC9" w:rsidP="00C03EC9">
            <w:pPr>
              <w:pStyle w:val="ListBullet"/>
            </w:pPr>
            <w:r w:rsidRPr="00C03EC9">
              <w:t>work instructions</w:t>
            </w:r>
          </w:p>
          <w:p w:rsidR="00000000" w:rsidRPr="00C03EC9" w:rsidP="00C03EC9">
            <w:pPr>
              <w:pStyle w:val="ListBullet"/>
            </w:pPr>
            <w:r w:rsidRPr="00C03EC9">
              <w:t>workplace policies.</w:t>
            </w:r>
          </w:p>
        </w:tc>
      </w:tr>
    </w:tbl>
    <w:p w:rsidR="001B1705" w:rsidP="00C03EC9">
      <w:pPr>
        <w:pStyle w:val="BodyText"/>
      </w:pPr>
    </w:p>
    <w:p w:rsidR="001B1705" w:rsidP="00C03EC9">
      <w:pPr>
        <w:pStyle w:val="BodyText"/>
      </w:pPr>
    </w:p>
    <w:p w:rsidR="00000000" w:rsidRPr="00C03EC9" w:rsidP="00C03EC9">
      <w:pPr>
        <w:pStyle w:val="AllowPageBreak"/>
      </w:pPr>
    </w:p>
    <w:p w:rsidR="00000000" w:rsidRPr="00C03EC9" w:rsidP="00C03EC9">
      <w:pPr>
        <w:pStyle w:val="Heading1"/>
      </w:pPr>
      <w:bookmarkStart w:id="10" w:name="O_242223"/>
      <w:bookmarkEnd w:id="10"/>
      <w:r w:rsidRPr="00C03EC9">
        <w:t>Evidence Guide</w:t>
      </w:r>
    </w:p>
    <w:tbl>
      <w:tblPr>
        <w:tblW w:w="0" w:type="auto"/>
        <w:tblLayout w:type="fixed"/>
        <w:tblCellMar>
          <w:left w:w="62" w:type="dxa"/>
          <w:right w:w="62" w:type="dxa"/>
        </w:tblCellMar>
        <w:tblLook w:val="0000"/>
      </w:tblPr>
      <w:tblGrid>
        <w:gridCol w:w="3507"/>
        <w:gridCol w:w="5015"/>
      </w:tblGrid>
      <w:tr w:rsidTr="001B17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3EC9">
            <w:pPr>
              <w:pStyle w:val="BodyText"/>
              <w:rPr>
                <w:lang w:val="en-NZ"/>
              </w:rPr>
            </w:pPr>
            <w:r w:rsidRPr="00C03EC9">
              <w:rPr>
                <w:rStyle w:val="SpecialBold"/>
              </w:rPr>
              <w:t>EVIDENCE GUIDE</w:t>
            </w:r>
          </w:p>
        </w:tc>
      </w:tr>
      <w:tr w:rsidTr="001B17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3EC9">
            <w:pPr>
              <w:pStyle w:val="BodyText"/>
              <w:rPr>
                <w:lang w:val="en-NZ"/>
              </w:rPr>
            </w:pPr>
            <w:r w:rsidRPr="00C03EC9">
              <w:t>The evidence guide provides advice on assessment and must be read in conjunction with the performance criteria, required skills and knowledge, range statement and the Assessment Guidelines for the Training Package.</w:t>
            </w:r>
          </w:p>
        </w:tc>
      </w:tr>
      <w:tr w:rsidTr="001B170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t xml:space="preserve">This unit of competency could be assessed in the workplace or a close simulation of the workplace environment, provided that simulated or project-based </w:t>
            </w:r>
            <w:r w:rsidRPr="00C03EC9">
              <w:t xml:space="preserve">assessment techniques fully replicate construction workplace conditions, materials, activities, responsibilities and procedures. </w:t>
            </w:r>
          </w:p>
        </w:tc>
      </w:tr>
      <w:tr w:rsidTr="001B170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A person who demonstrates compet</w:t>
            </w:r>
            <w:r w:rsidRPr="00C03EC9">
              <w:t>ency in this unit must be able to provide evidence of the ability to:</w:t>
            </w:r>
          </w:p>
          <w:p w:rsidR="00000000" w:rsidRPr="00C03EC9" w:rsidP="00C03EC9">
            <w:pPr>
              <w:pStyle w:val="ListBullet"/>
            </w:pPr>
            <w:r w:rsidRPr="00C03EC9">
              <w:t>locate, interpret and apply relevant information</w:t>
            </w:r>
          </w:p>
          <w:p w:rsidR="00000000" w:rsidRPr="00C03EC9" w:rsidP="00C03EC9">
            <w:pPr>
              <w:pStyle w:val="ListBullet"/>
            </w:pPr>
            <w:r w:rsidRPr="00C03EC9">
              <w:t>comply with site safety plan, OHS regulations and state and territory legislation applicable to workplace operations</w:t>
            </w:r>
          </w:p>
          <w:p w:rsidR="00000000" w:rsidRPr="00C03EC9" w:rsidP="00C03EC9">
            <w:pPr>
              <w:pStyle w:val="ListBullet"/>
            </w:pPr>
            <w:r w:rsidRPr="00C03EC9">
              <w:t>comply with organis</w:t>
            </w:r>
            <w:r w:rsidRPr="00C03EC9">
              <w:t>ational policies and procedures, including quality requirements</w:t>
            </w:r>
          </w:p>
          <w:p w:rsidR="00000000" w:rsidRPr="00C03EC9" w:rsidP="00C03EC9">
            <w:pPr>
              <w:pStyle w:val="ListBullet"/>
            </w:pPr>
            <w:r w:rsidRPr="00C03EC9">
              <w:t>safely and effectively use communication equipment</w:t>
            </w:r>
          </w:p>
          <w:p w:rsidR="00000000" w:rsidRPr="00C03EC9" w:rsidP="00C03EC9">
            <w:pPr>
              <w:pStyle w:val="ListBullet"/>
            </w:pPr>
            <w:r w:rsidRPr="00C03EC9">
              <w:t>communicate and work effectively and safely with others</w:t>
            </w:r>
          </w:p>
          <w:p w:rsidR="00000000" w:rsidRPr="00C03EC9" w:rsidP="00C03EC9">
            <w:pPr>
              <w:pStyle w:val="ListBullet"/>
            </w:pPr>
            <w:r w:rsidRPr="00C03EC9">
              <w:t>interpret all signage accurately</w:t>
            </w:r>
          </w:p>
          <w:p w:rsidR="00000000" w:rsidRPr="00C03EC9" w:rsidP="00C03EC9">
            <w:pPr>
              <w:pStyle w:val="ListBullet"/>
            </w:pPr>
            <w:r w:rsidRPr="00C03EC9">
              <w:t>complete tasks successfully following instruction</w:t>
            </w:r>
          </w:p>
          <w:p w:rsidR="00000000" w:rsidRPr="00C03EC9" w:rsidP="00C03EC9">
            <w:pPr>
              <w:pStyle w:val="ListBullet"/>
            </w:pPr>
            <w:r w:rsidRPr="00C03EC9">
              <w:t>convey pieces of information to other workers accurately</w:t>
            </w:r>
          </w:p>
          <w:p w:rsidR="00000000" w:rsidRPr="00C03EC9" w:rsidP="00C03EC9">
            <w:pPr>
              <w:pStyle w:val="ListBullet"/>
            </w:pPr>
            <w:r w:rsidRPr="00C03EC9">
              <w:t>fill out workplace documents accurately</w:t>
            </w:r>
          </w:p>
          <w:p w:rsidR="00000000" w:rsidP="00C03EC9">
            <w:pPr>
              <w:pStyle w:val="ListBullet"/>
              <w:rPr>
                <w:lang w:val="en-NZ"/>
              </w:rPr>
            </w:pPr>
            <w:r w:rsidRPr="00C03EC9">
              <w:t>frame questions at an on-site meeting in a range of contexts or occasions over time.</w:t>
            </w:r>
          </w:p>
        </w:tc>
      </w:tr>
      <w:tr w:rsidTr="001B170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This competency is to be</w:t>
            </w:r>
            <w:r w:rsidRPr="00C03EC9">
              <w:t xml:space="preserve"> assessed using standard and authorised work practices, safety requirements and environmental constraints.</w:t>
            </w:r>
          </w:p>
          <w:p w:rsidR="00000000" w:rsidRPr="00C03EC9" w:rsidP="00C03EC9">
            <w:pPr>
              <w:pStyle w:val="BodyText"/>
            </w:pPr>
            <w:r w:rsidRPr="00C03EC9">
              <w:t>Assessment of essential underpinning knowledge will usually be conducted in an off-site context.</w:t>
            </w:r>
          </w:p>
          <w:p w:rsidR="00000000" w:rsidRPr="00C03EC9" w:rsidP="00C03EC9">
            <w:pPr>
              <w:pStyle w:val="BodyText"/>
            </w:pPr>
            <w:r w:rsidRPr="00C03EC9">
              <w:t xml:space="preserve">Assessment is to comply with relevant regulatory or </w:t>
            </w:r>
            <w:r w:rsidRPr="00C03EC9">
              <w:t>Australian standards' requirements.</w:t>
            </w:r>
          </w:p>
          <w:p w:rsidR="00000000" w:rsidRPr="00C03EC9" w:rsidP="00C03EC9">
            <w:pPr>
              <w:pStyle w:val="BodyText"/>
            </w:pPr>
            <w:r w:rsidRPr="00C03EC9">
              <w:t>Resource implications for assessment include:</w:t>
            </w:r>
          </w:p>
          <w:p w:rsidR="00000000" w:rsidRPr="00C03EC9" w:rsidP="00C03EC9">
            <w:pPr>
              <w:pStyle w:val="ListBullet"/>
            </w:pPr>
            <w:r w:rsidRPr="00C03EC9">
              <w:t>an induction procedure and requirement</w:t>
            </w:r>
          </w:p>
          <w:p w:rsidR="00000000" w:rsidRPr="00C03EC9" w:rsidP="00C03EC9">
            <w:pPr>
              <w:pStyle w:val="ListBullet"/>
            </w:pPr>
            <w:r w:rsidRPr="00C03EC9">
              <w:t>realistic tasks or simulated tasks covering the mandatory task requirements</w:t>
            </w:r>
          </w:p>
          <w:p w:rsidR="00000000" w:rsidRPr="00C03EC9" w:rsidP="00C03EC9">
            <w:pPr>
              <w:pStyle w:val="ListBullet"/>
            </w:pPr>
            <w:r w:rsidRPr="00C03EC9">
              <w:t>relevant specifications and work instructions</w:t>
            </w:r>
          </w:p>
          <w:p w:rsidR="00000000" w:rsidRPr="00C03EC9" w:rsidP="00C03EC9">
            <w:pPr>
              <w:pStyle w:val="ListBullet"/>
            </w:pPr>
            <w:r w:rsidRPr="00C03EC9">
              <w:t>tools and equipment appropriate to applying safe work practices</w:t>
            </w:r>
          </w:p>
          <w:p w:rsidR="00000000" w:rsidRPr="00C03EC9" w:rsidP="00C03EC9">
            <w:pPr>
              <w:pStyle w:val="ListBullet"/>
            </w:pPr>
            <w:r w:rsidRPr="00C03EC9">
              <w:t>support materials appropriate to activity</w:t>
            </w:r>
          </w:p>
          <w:p w:rsidR="00000000" w:rsidRPr="00C03EC9" w:rsidP="00C03EC9">
            <w:pPr>
              <w:pStyle w:val="ListBullet"/>
            </w:pPr>
            <w:r w:rsidRPr="00C03EC9">
              <w:t>workplace instructions relating to safe work practices and addressing hazards and emergencies</w:t>
            </w:r>
          </w:p>
          <w:p w:rsidR="00000000" w:rsidRPr="00C03EC9" w:rsidP="00C03EC9">
            <w:pPr>
              <w:pStyle w:val="ListBullet"/>
            </w:pPr>
            <w:r w:rsidRPr="00C03EC9">
              <w:t>material safety data sheets</w:t>
            </w:r>
          </w:p>
          <w:p w:rsidR="00000000" w:rsidRPr="00C03EC9" w:rsidP="00C03EC9">
            <w:pPr>
              <w:pStyle w:val="ListBullet"/>
            </w:pPr>
            <w:r w:rsidRPr="00C03EC9">
              <w:t>research resources, includin</w:t>
            </w:r>
            <w:r w:rsidRPr="00C03EC9">
              <w:t>g industry related systems information.</w:t>
            </w:r>
          </w:p>
          <w:p w:rsidR="00000000" w:rsidP="00C03EC9">
            <w:pPr>
              <w:pStyle w:val="BodyText"/>
              <w:rPr>
                <w:lang w:val="en-NZ"/>
              </w:rPr>
            </w:pPr>
            <w:r w:rsidRPr="00C03EC9">
              <w:t xml:space="preserve">Reasonable adjustments for people with disabilities must be made to assessment processes where required. This could include access to modified equipment and other physical resources, and the provision of appropriate </w:t>
            </w:r>
            <w:r w:rsidRPr="00C03EC9">
              <w:t xml:space="preserve">assessment support. </w:t>
            </w:r>
          </w:p>
        </w:tc>
      </w:tr>
      <w:tr w:rsidTr="001B170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Assessment methods must:</w:t>
            </w:r>
          </w:p>
          <w:p w:rsidR="00000000" w:rsidRPr="00C03EC9" w:rsidP="00C03EC9">
            <w:pPr>
              <w:pStyle w:val="ListBullet"/>
            </w:pPr>
            <w:r w:rsidRPr="00C03EC9">
              <w:t>satisfy the endorsed Assessment Guidelines of the Construction, Plumbing and Services Training Package</w:t>
            </w:r>
          </w:p>
          <w:p w:rsidR="00000000" w:rsidRPr="00C03EC9" w:rsidP="00C03EC9">
            <w:pPr>
              <w:pStyle w:val="ListBullet"/>
            </w:pPr>
            <w:r w:rsidRPr="00C03EC9">
              <w:t>include direct observation of tasks in real or simulated work conditions, with questioning to confirm the ability to consistently identify and correctly interpret the essential underpinning knowledge required for practical application</w:t>
            </w:r>
          </w:p>
          <w:p w:rsidR="00000000" w:rsidRPr="00C03EC9" w:rsidP="00C03EC9">
            <w:pPr>
              <w:pStyle w:val="ListBullet"/>
            </w:pPr>
            <w:r w:rsidRPr="00C03EC9">
              <w:t>reinforce the integra</w:t>
            </w:r>
            <w:r w:rsidRPr="00C03EC9">
              <w:t>tion of employability skills with workplace tasks and job roles</w:t>
            </w:r>
          </w:p>
          <w:p w:rsidR="00000000" w:rsidRPr="00C03EC9" w:rsidP="00C03EC9">
            <w:pPr>
              <w:pStyle w:val="ListBullet"/>
            </w:pPr>
            <w:r w:rsidRPr="00C03EC9">
              <w:t>confirm that competency is verified and able to be transferred to other circumstances and environments.</w:t>
            </w:r>
          </w:p>
          <w:p w:rsidR="00000000" w:rsidRPr="00C03EC9" w:rsidP="00C03EC9">
            <w:pPr>
              <w:pStyle w:val="BodyText"/>
            </w:pPr>
            <w:r w:rsidRPr="00C03EC9">
              <w:t>Validity and sufficiency of evidence requires that:</w:t>
            </w:r>
          </w:p>
          <w:p w:rsidR="00000000" w:rsidRPr="00C03EC9" w:rsidP="00C03EC9">
            <w:pPr>
              <w:pStyle w:val="ListBullet"/>
            </w:pPr>
            <w:r w:rsidRPr="00C03EC9">
              <w:t>competency will need to be demonstrated over a period of time reflecting the scope of the role and the practical requirements of the workplace</w:t>
            </w:r>
          </w:p>
          <w:p w:rsidR="00000000" w:rsidRPr="00C03EC9" w:rsidP="00C03EC9">
            <w:pPr>
              <w:pStyle w:val="ListBullet"/>
            </w:pPr>
            <w:r w:rsidRPr="00C03EC9">
              <w:t>where the assessment is part of a structured learning experience the evidence collected must relate to a number o</w:t>
            </w:r>
            <w:r w:rsidRPr="00C03EC9">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C03EC9" w:rsidP="00C03EC9">
            <w:pPr>
              <w:pStyle w:val="ListBullet"/>
            </w:pPr>
            <w:r w:rsidRPr="00C03EC9">
              <w:t>a</w:t>
            </w:r>
            <w:r w:rsidRPr="00C03EC9">
              <w:t>ll assessment that is part of a structured learning experience must include a combination of direct, indirect and supplementary evidence.</w:t>
            </w:r>
          </w:p>
          <w:p w:rsidR="00000000" w:rsidRPr="00C03EC9" w:rsidP="00C03EC9">
            <w:pPr>
              <w:pStyle w:val="BodyText"/>
            </w:pPr>
            <w:r w:rsidRPr="00C03EC9">
              <w:t>Assessment processes and techniques should as far as is practical take into account the language, literacy and numerac</w:t>
            </w:r>
            <w:r w:rsidRPr="00C03EC9">
              <w:t>y capacity of the candidate in relation to the competency being assessed.</w:t>
            </w:r>
          </w:p>
          <w:p w:rsidR="00000000" w:rsidRPr="00C03EC9" w:rsidP="00C03EC9">
            <w:pPr>
              <w:pStyle w:val="BodyText"/>
            </w:pPr>
            <w:r w:rsidRPr="00C03EC9">
              <w:t>Supplementary evidence of competency may be obtained from relevant authenticated documentation from third parties, such as existing supervisors, team leaders or specialist training s</w:t>
            </w:r>
            <w:r w:rsidRPr="00C03EC9">
              <w:t xml:space="preserve">taff. </w:t>
            </w:r>
          </w:p>
        </w:tc>
      </w:tr>
    </w:tbl>
    <w:p w:rsidR="001B1705" w:rsidP="00C03EC9">
      <w:pPr>
        <w:pStyle w:val="BodyText"/>
      </w:pPr>
    </w:p>
    <w:p w:rsidR="001B1705" w:rsidP="00C03EC9">
      <w:pPr>
        <w:pStyle w:val="BodyText"/>
      </w:pPr>
    </w:p>
    <w:p w:rsidR="00000000" w:rsidRPr="00C03EC9" w:rsidP="00C03EC9">
      <w:pPr>
        <w:pStyle w:val="Heading1"/>
      </w:pPr>
      <w:bookmarkStart w:id="11" w:name="O_250206"/>
      <w:bookmarkEnd w:id="11"/>
      <w:r w:rsidRPr="00C03EC9">
        <w:t>Range Statement</w:t>
      </w:r>
    </w:p>
    <w:tbl>
      <w:tblPr>
        <w:tblW w:w="0" w:type="auto"/>
        <w:tblLayout w:type="fixed"/>
        <w:tblCellMar>
          <w:left w:w="62" w:type="dxa"/>
          <w:right w:w="62" w:type="dxa"/>
        </w:tblCellMar>
        <w:tblLook w:val="0000"/>
      </w:tblPr>
      <w:tblGrid>
        <w:gridCol w:w="3523"/>
        <w:gridCol w:w="4999"/>
      </w:tblGrid>
      <w:tr w:rsidTr="001B17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3EC9">
            <w:pPr>
              <w:pStyle w:val="BodyText"/>
              <w:rPr>
                <w:lang w:val="en-NZ"/>
              </w:rPr>
            </w:pPr>
            <w:r w:rsidRPr="00C03EC9">
              <w:rPr>
                <w:rStyle w:val="SpecialBold"/>
              </w:rPr>
              <w:t>RANGE STATEMENT</w:t>
            </w:r>
          </w:p>
        </w:tc>
      </w:tr>
      <w:tr w:rsidTr="001B17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3EC9">
            <w:pPr>
              <w:pStyle w:val="BodyText"/>
              <w:rPr>
                <w:lang w:val="en-NZ"/>
              </w:rPr>
            </w:pPr>
            <w:r w:rsidRPr="00C03EC9">
              <w:t xml:space="preserve">The range statement relates to the unit of competency as a whole. It allows for different work environments and situations that may affect </w:t>
            </w:r>
            <w:r w:rsidRPr="00C03EC9">
              <w:t>performance. Bold italicised wording, if used in the performance criteria, is detailed below. Essential operating conditions that may be present with training and assessment (depending on the work situation, needs of the candidate, accessibility of the ite</w:t>
            </w:r>
            <w:r w:rsidRPr="00C03EC9">
              <w:t>m, and local industry and regional contexts) may also be included.</w:t>
            </w:r>
          </w:p>
        </w:tc>
      </w:tr>
      <w:tr w:rsidTr="001B170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BoldandItalics"/>
              </w:rPr>
              <w:t>Signage interpretation</w:t>
            </w:r>
            <w:r w:rsidRPr="00C03EC9">
              <w:t xml:space="preserve"> includes: </w:t>
            </w:r>
          </w:p>
        </w:tc>
        <w:tc>
          <w:tcPr>
            <w:tcW w:w="4999" w:type="dxa"/>
            <w:tcBorders>
              <w:top w:val="nil"/>
              <w:left w:val="nil"/>
              <w:bottom w:val="nil"/>
              <w:right w:val="nil"/>
            </w:tcBorders>
            <w:tcMar>
              <w:top w:w="0" w:type="dxa"/>
              <w:left w:w="62" w:type="dxa"/>
              <w:bottom w:w="0" w:type="dxa"/>
              <w:right w:w="62" w:type="dxa"/>
            </w:tcMar>
          </w:tcPr>
          <w:p w:rsidR="00000000" w:rsidRPr="00C03EC9" w:rsidP="00C03EC9">
            <w:pPr>
              <w:pStyle w:val="ListBullet"/>
            </w:pPr>
            <w:r w:rsidRPr="00C03EC9">
              <w:t>directional signs</w:t>
            </w:r>
          </w:p>
          <w:p w:rsidR="00000000" w:rsidRPr="00C03EC9" w:rsidP="00C03EC9">
            <w:pPr>
              <w:pStyle w:val="ListBullet"/>
            </w:pPr>
            <w:r w:rsidRPr="00C03EC9">
              <w:t>facility or location signs and hazards</w:t>
            </w:r>
          </w:p>
          <w:p w:rsidR="00000000" w:rsidRPr="00C03EC9" w:rsidP="00C03EC9">
            <w:pPr>
              <w:pStyle w:val="ListBullet"/>
            </w:pPr>
            <w:r w:rsidRPr="00C03EC9">
              <w:t>site safety signs</w:t>
            </w:r>
          </w:p>
          <w:p w:rsidR="00000000" w:rsidP="00C03EC9">
            <w:pPr>
              <w:pStyle w:val="ListBullet"/>
              <w:rPr>
                <w:lang w:val="en-NZ"/>
              </w:rPr>
            </w:pPr>
            <w:r w:rsidRPr="00C03EC9">
              <w:t>traffic signs.</w:t>
            </w:r>
          </w:p>
        </w:tc>
      </w:tr>
      <w:tr w:rsidTr="001B170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BoldandItalics"/>
              </w:rPr>
              <w:t>Safety</w:t>
            </w:r>
            <w:r w:rsidRPr="00C03EC9">
              <w:t xml:space="preserve"> (</w:t>
            </w:r>
            <w:r w:rsidRPr="00C03EC9">
              <w:rPr>
                <w:rStyle w:val="BoldandItalics"/>
              </w:rPr>
              <w:t>OHS</w:t>
            </w:r>
            <w:r w:rsidRPr="00C03EC9">
              <w:t xml:space="preserve">) is to </w:t>
            </w:r>
            <w:r w:rsidRPr="00C03EC9">
              <w:t>be in accordance with state or territory legislation and regulations, organisational safety policies and procedures, and project safety plan and may include:</w:t>
            </w:r>
          </w:p>
        </w:tc>
        <w:tc>
          <w:tcPr>
            <w:tcW w:w="4999" w:type="dxa"/>
            <w:tcBorders>
              <w:top w:val="nil"/>
              <w:left w:val="nil"/>
              <w:bottom w:val="nil"/>
              <w:right w:val="nil"/>
            </w:tcBorders>
            <w:tcMar>
              <w:top w:w="0" w:type="dxa"/>
              <w:left w:w="62" w:type="dxa"/>
              <w:bottom w:w="0" w:type="dxa"/>
              <w:right w:w="62" w:type="dxa"/>
            </w:tcMar>
          </w:tcPr>
          <w:p w:rsidR="00000000" w:rsidRPr="00C03EC9" w:rsidP="00C03EC9">
            <w:pPr>
              <w:pStyle w:val="ListBullet"/>
            </w:pPr>
            <w:r w:rsidRPr="00C03EC9">
              <w:t>handling of materials</w:t>
            </w:r>
          </w:p>
          <w:p w:rsidR="00000000" w:rsidRPr="00C03EC9" w:rsidP="00C03EC9">
            <w:pPr>
              <w:pStyle w:val="ListBullet"/>
            </w:pPr>
            <w:r w:rsidRPr="00C03EC9">
              <w:t>hazard control</w:t>
            </w:r>
          </w:p>
          <w:p w:rsidR="00000000" w:rsidRPr="00C03EC9" w:rsidP="00C03EC9">
            <w:pPr>
              <w:pStyle w:val="ListBullet"/>
            </w:pPr>
            <w:r w:rsidRPr="00C03EC9">
              <w:t>hazardous materials and substances</w:t>
            </w:r>
          </w:p>
          <w:p w:rsidR="00000000" w:rsidRPr="00C03EC9" w:rsidP="00C03EC9">
            <w:pPr>
              <w:pStyle w:val="ListBullet"/>
            </w:pPr>
            <w:r w:rsidRPr="00C03EC9">
              <w:t>organisational first aid</w:t>
            </w:r>
          </w:p>
          <w:p w:rsidR="00000000" w:rsidRPr="00C03EC9" w:rsidP="00C03EC9">
            <w:pPr>
              <w:pStyle w:val="ListBullet"/>
            </w:pPr>
            <w:r w:rsidRPr="00C03EC9">
              <w:t>personal protective clothing and equipment prescribed under legislation, regulations and workplace policies and practices</w:t>
            </w:r>
          </w:p>
          <w:p w:rsidR="00000000" w:rsidRPr="00C03EC9" w:rsidP="00C03EC9">
            <w:pPr>
              <w:pStyle w:val="ListBullet"/>
            </w:pPr>
            <w:r w:rsidRPr="00C03EC9">
              <w:t>use of firefighting equipment</w:t>
            </w:r>
          </w:p>
          <w:p w:rsidR="00000000" w:rsidRPr="00C03EC9" w:rsidP="00C03EC9">
            <w:pPr>
              <w:pStyle w:val="ListBullet"/>
            </w:pPr>
            <w:r w:rsidRPr="00C03EC9">
              <w:t>use of tools and equipment</w:t>
            </w:r>
          </w:p>
          <w:p w:rsidR="00000000" w:rsidP="00C03EC9">
            <w:pPr>
              <w:pStyle w:val="ListBullet"/>
              <w:rPr>
                <w:lang w:val="en-NZ"/>
              </w:rPr>
            </w:pPr>
            <w:r w:rsidRPr="00C03EC9">
              <w:t>workplace environment and safety.</w:t>
            </w:r>
          </w:p>
        </w:tc>
      </w:tr>
      <w:tr w:rsidTr="001B170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BoldandItalics"/>
              </w:rPr>
              <w:t>Information</w:t>
            </w:r>
            <w:r w:rsidRPr="00C03EC9">
              <w:t xml:space="preserve"> includes:</w:t>
            </w:r>
          </w:p>
        </w:tc>
        <w:tc>
          <w:tcPr>
            <w:tcW w:w="4999" w:type="dxa"/>
            <w:tcBorders>
              <w:top w:val="nil"/>
              <w:left w:val="nil"/>
              <w:bottom w:val="nil"/>
              <w:right w:val="nil"/>
            </w:tcBorders>
            <w:tcMar>
              <w:top w:w="0" w:type="dxa"/>
              <w:left w:w="62" w:type="dxa"/>
              <w:bottom w:w="0" w:type="dxa"/>
              <w:right w:w="62" w:type="dxa"/>
            </w:tcMar>
          </w:tcPr>
          <w:p w:rsidR="00000000" w:rsidRPr="00C03EC9" w:rsidP="00C03EC9">
            <w:pPr>
              <w:pStyle w:val="ListBullet"/>
            </w:pPr>
            <w:r w:rsidRPr="00C03EC9">
              <w:t>diagrams or sketches</w:t>
            </w:r>
          </w:p>
          <w:p w:rsidR="00000000" w:rsidRPr="00C03EC9" w:rsidP="00C03EC9">
            <w:pPr>
              <w:pStyle w:val="ListBullet"/>
            </w:pPr>
            <w:r w:rsidRPr="00C03EC9">
              <w:t>instructions issued by authorised organisational or external personnel</w:t>
            </w:r>
          </w:p>
          <w:p w:rsidR="00000000" w:rsidRPr="00C03EC9" w:rsidP="00C03EC9">
            <w:pPr>
              <w:pStyle w:val="ListBullet"/>
            </w:pPr>
            <w:r w:rsidRPr="00C03EC9">
              <w:t>manufacturer specifications and instructions, where specified</w:t>
            </w:r>
          </w:p>
          <w:p w:rsidR="00000000" w:rsidRPr="00C03EC9" w:rsidP="00C03EC9">
            <w:pPr>
              <w:pStyle w:val="ListBullet"/>
            </w:pPr>
            <w:r w:rsidRPr="00C03EC9">
              <w:t>MSDS</w:t>
            </w:r>
          </w:p>
          <w:p w:rsidR="00000000" w:rsidRPr="00C03EC9" w:rsidP="00C03EC9">
            <w:pPr>
              <w:pStyle w:val="ListBullet"/>
            </w:pPr>
            <w:r w:rsidRPr="00C03EC9">
              <w:t>memos</w:t>
            </w:r>
          </w:p>
          <w:p w:rsidR="00000000" w:rsidRPr="00C03EC9" w:rsidP="00C03EC9">
            <w:pPr>
              <w:pStyle w:val="ListBullet"/>
            </w:pPr>
            <w:r w:rsidRPr="00C03EC9">
              <w:t>regulatory and legislative requirements</w:t>
            </w:r>
          </w:p>
          <w:p w:rsidR="00000000" w:rsidRPr="00C03EC9" w:rsidP="00C03EC9">
            <w:pPr>
              <w:pStyle w:val="ListBullet"/>
            </w:pPr>
            <w:r w:rsidRPr="00C03EC9">
              <w:t>relevant Australian standards</w:t>
            </w:r>
          </w:p>
          <w:p w:rsidR="00000000" w:rsidRPr="00C03EC9" w:rsidP="00C03EC9">
            <w:pPr>
              <w:pStyle w:val="ListBullet"/>
            </w:pPr>
            <w:r w:rsidRPr="00C03EC9">
              <w:t xml:space="preserve">safe work procedures </w:t>
            </w:r>
            <w:r w:rsidRPr="00C03EC9">
              <w:t>or equivalent</w:t>
            </w:r>
          </w:p>
          <w:p w:rsidR="00000000" w:rsidRPr="00C03EC9" w:rsidP="00C03EC9">
            <w:pPr>
              <w:pStyle w:val="ListBullet"/>
            </w:pPr>
            <w:r w:rsidRPr="00C03EC9">
              <w:t>signage</w:t>
            </w:r>
          </w:p>
          <w:p w:rsidR="00000000" w:rsidRPr="00C03EC9" w:rsidP="00C03EC9">
            <w:pPr>
              <w:pStyle w:val="ListBullet"/>
            </w:pPr>
            <w:r w:rsidRPr="00C03EC9">
              <w:t>verbal, written and graphical instructions</w:t>
            </w:r>
          </w:p>
          <w:p w:rsidR="00000000" w:rsidRPr="00C03EC9" w:rsidP="00C03EC9">
            <w:pPr>
              <w:pStyle w:val="ListBullet"/>
            </w:pPr>
            <w:r w:rsidRPr="00C03EC9">
              <w:t>work bulletins</w:t>
            </w:r>
          </w:p>
          <w:p w:rsidR="00000000" w:rsidP="00C03EC9">
            <w:pPr>
              <w:pStyle w:val="ListBullet"/>
              <w:rPr>
                <w:lang w:val="en-NZ"/>
              </w:rPr>
            </w:pPr>
            <w:r w:rsidRPr="00C03EC9">
              <w:t>work schedules, plans and specifications.</w:t>
            </w:r>
          </w:p>
        </w:tc>
      </w:tr>
      <w:tr w:rsidTr="001B170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BoldandItalics"/>
              </w:rPr>
              <w:t>Interpretation</w:t>
            </w:r>
            <w:r w:rsidRPr="00C03EC9">
              <w:t xml:space="preserve"> of information includes:</w:t>
            </w:r>
          </w:p>
        </w:tc>
        <w:tc>
          <w:tcPr>
            <w:tcW w:w="4999" w:type="dxa"/>
            <w:tcBorders>
              <w:top w:val="nil"/>
              <w:left w:val="nil"/>
              <w:bottom w:val="nil"/>
              <w:right w:val="nil"/>
            </w:tcBorders>
            <w:tcMar>
              <w:top w:w="0" w:type="dxa"/>
              <w:left w:w="62" w:type="dxa"/>
              <w:bottom w:w="0" w:type="dxa"/>
              <w:right w:w="62" w:type="dxa"/>
            </w:tcMar>
          </w:tcPr>
          <w:p w:rsidR="00000000" w:rsidRPr="00C03EC9" w:rsidP="00C03EC9">
            <w:pPr>
              <w:pStyle w:val="ListBullet"/>
            </w:pPr>
            <w:r w:rsidRPr="00C03EC9">
              <w:t>bulletins</w:t>
            </w:r>
          </w:p>
          <w:p w:rsidR="00000000" w:rsidRPr="00C03EC9" w:rsidP="00C03EC9">
            <w:pPr>
              <w:pStyle w:val="ListBullet"/>
            </w:pPr>
            <w:r w:rsidRPr="00C03EC9">
              <w:t>checklists</w:t>
            </w:r>
          </w:p>
          <w:p w:rsidR="00000000" w:rsidRPr="00C03EC9" w:rsidP="00C03EC9">
            <w:pPr>
              <w:pStyle w:val="ListBullet"/>
            </w:pPr>
            <w:r w:rsidRPr="00C03EC9">
              <w:t>company procedures and regulations</w:t>
            </w:r>
          </w:p>
          <w:p w:rsidR="00000000" w:rsidRPr="00C03EC9" w:rsidP="00C03EC9">
            <w:pPr>
              <w:pStyle w:val="ListBullet"/>
            </w:pPr>
            <w:r w:rsidRPr="00C03EC9">
              <w:t>delivery dockets</w:t>
            </w:r>
          </w:p>
          <w:p w:rsidR="00000000" w:rsidRPr="00C03EC9" w:rsidP="00C03EC9">
            <w:pPr>
              <w:pStyle w:val="ListBullet"/>
            </w:pPr>
            <w:r w:rsidRPr="00C03EC9">
              <w:t>emergency procedures</w:t>
            </w:r>
          </w:p>
          <w:p w:rsidR="00000000" w:rsidRPr="00C03EC9" w:rsidP="00C03EC9">
            <w:pPr>
              <w:pStyle w:val="ListBullet"/>
            </w:pPr>
            <w:r w:rsidRPr="00C03EC9">
              <w:t>induction procedures</w:t>
            </w:r>
          </w:p>
          <w:p w:rsidR="00000000" w:rsidRPr="00C03EC9" w:rsidP="00C03EC9">
            <w:pPr>
              <w:pStyle w:val="ListBullet"/>
            </w:pPr>
            <w:r w:rsidRPr="00C03EC9">
              <w:t>industrial agreements</w:t>
            </w:r>
          </w:p>
          <w:p w:rsidR="00000000" w:rsidRPr="00C03EC9" w:rsidP="00C03EC9">
            <w:pPr>
              <w:pStyle w:val="ListBullet"/>
            </w:pPr>
            <w:r w:rsidRPr="00C03EC9">
              <w:t>instructions</w:t>
            </w:r>
          </w:p>
          <w:p w:rsidR="00000000" w:rsidRPr="00C03EC9" w:rsidP="00C03EC9">
            <w:pPr>
              <w:pStyle w:val="ListBullet"/>
            </w:pPr>
            <w:r w:rsidRPr="00C03EC9">
              <w:t>job safety analysis (JSA) and safe work method statements</w:t>
            </w:r>
          </w:p>
          <w:p w:rsidR="00000000" w:rsidRPr="00C03EC9" w:rsidP="00C03EC9">
            <w:pPr>
              <w:pStyle w:val="ListBullet"/>
            </w:pPr>
            <w:r w:rsidRPr="00C03EC9">
              <w:t>maps</w:t>
            </w:r>
          </w:p>
          <w:p w:rsidR="00000000" w:rsidRPr="00C03EC9" w:rsidP="00C03EC9">
            <w:pPr>
              <w:pStyle w:val="ListBullet"/>
            </w:pPr>
            <w:r w:rsidRPr="00C03EC9">
              <w:t>MSDS</w:t>
            </w:r>
          </w:p>
          <w:p w:rsidR="00000000" w:rsidRPr="00C03EC9" w:rsidP="00C03EC9">
            <w:pPr>
              <w:pStyle w:val="ListBullet"/>
            </w:pPr>
            <w:r w:rsidRPr="00C03EC9">
              <w:t>OHS requirements</w:t>
            </w:r>
          </w:p>
          <w:p w:rsidR="00000000" w:rsidRPr="00C03EC9" w:rsidP="00C03EC9">
            <w:pPr>
              <w:pStyle w:val="ListBullet"/>
            </w:pPr>
            <w:r w:rsidRPr="00C03EC9">
              <w:t>quality requirements</w:t>
            </w:r>
          </w:p>
          <w:p w:rsidR="00000000" w:rsidRPr="00C03EC9" w:rsidP="00C03EC9">
            <w:pPr>
              <w:pStyle w:val="ListBullet"/>
            </w:pPr>
            <w:r w:rsidRPr="00C03EC9">
              <w:t>work schedules</w:t>
            </w:r>
          </w:p>
          <w:p w:rsidR="00000000" w:rsidP="00C03EC9">
            <w:pPr>
              <w:pStyle w:val="ListBullet"/>
              <w:rPr>
                <w:lang w:val="en-NZ"/>
              </w:rPr>
            </w:pPr>
            <w:r w:rsidRPr="00C03EC9">
              <w:t>workplace policies.</w:t>
            </w:r>
          </w:p>
        </w:tc>
      </w:tr>
      <w:tr w:rsidTr="001B170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BoldandItalics"/>
              </w:rPr>
              <w:t>Communication transfer</w:t>
            </w:r>
            <w:r w:rsidRPr="00C03EC9">
              <w:t xml:space="preserve"> includes use o</w:t>
            </w:r>
            <w:r w:rsidRPr="00C03EC9">
              <w:t>f telephones (including mobile) and written communication, and includes:</w:t>
            </w:r>
          </w:p>
        </w:tc>
        <w:tc>
          <w:tcPr>
            <w:tcW w:w="4999" w:type="dxa"/>
            <w:tcBorders>
              <w:top w:val="nil"/>
              <w:left w:val="nil"/>
              <w:bottom w:val="nil"/>
              <w:right w:val="nil"/>
            </w:tcBorders>
            <w:tcMar>
              <w:top w:w="0" w:type="dxa"/>
              <w:left w:w="62" w:type="dxa"/>
              <w:bottom w:w="0" w:type="dxa"/>
              <w:right w:w="62" w:type="dxa"/>
            </w:tcMar>
          </w:tcPr>
          <w:p w:rsidR="00000000" w:rsidRPr="00C03EC9" w:rsidP="00C03EC9">
            <w:pPr>
              <w:pStyle w:val="ListBullet"/>
            </w:pPr>
            <w:r w:rsidRPr="00C03EC9">
              <w:t>email</w:t>
            </w:r>
          </w:p>
          <w:p w:rsidR="00000000" w:rsidRPr="00C03EC9" w:rsidP="00C03EC9">
            <w:pPr>
              <w:pStyle w:val="ListBullet"/>
            </w:pPr>
            <w:r w:rsidRPr="00C03EC9">
              <w:t>facsimile</w:t>
            </w:r>
          </w:p>
          <w:p w:rsidR="00000000" w:rsidRPr="00C03EC9" w:rsidP="00C03EC9">
            <w:pPr>
              <w:pStyle w:val="ListBullet"/>
            </w:pPr>
            <w:r w:rsidRPr="00C03EC9">
              <w:t>internet</w:t>
            </w:r>
          </w:p>
          <w:p w:rsidR="00000000" w:rsidP="00C03EC9">
            <w:pPr>
              <w:pStyle w:val="ListBullet"/>
              <w:rPr>
                <w:lang w:val="en-NZ"/>
              </w:rPr>
            </w:pPr>
            <w:r w:rsidRPr="00C03EC9">
              <w:t>two-way radios.</w:t>
            </w:r>
          </w:p>
        </w:tc>
      </w:tr>
      <w:tr w:rsidTr="001B170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BoldandItalics"/>
              </w:rPr>
              <w:t>Communication with others</w:t>
            </w:r>
            <w:r w:rsidRPr="00C03EC9">
              <w:t xml:space="preserve"> includes:</w:t>
            </w:r>
          </w:p>
        </w:tc>
        <w:tc>
          <w:tcPr>
            <w:tcW w:w="4999" w:type="dxa"/>
            <w:tcBorders>
              <w:top w:val="nil"/>
              <w:left w:val="nil"/>
              <w:bottom w:val="nil"/>
              <w:right w:val="nil"/>
            </w:tcBorders>
            <w:tcMar>
              <w:top w:w="0" w:type="dxa"/>
              <w:left w:w="62" w:type="dxa"/>
              <w:bottom w:w="0" w:type="dxa"/>
              <w:right w:w="62" w:type="dxa"/>
            </w:tcMar>
          </w:tcPr>
          <w:p w:rsidR="00000000" w:rsidRPr="00C03EC9" w:rsidP="00C03EC9">
            <w:pPr>
              <w:pStyle w:val="ListBullet"/>
            </w:pPr>
            <w:r w:rsidRPr="00C03EC9">
              <w:t>contractors</w:t>
            </w:r>
          </w:p>
          <w:p w:rsidR="00000000" w:rsidRPr="00C03EC9" w:rsidP="00C03EC9">
            <w:pPr>
              <w:pStyle w:val="ListBullet"/>
            </w:pPr>
            <w:r w:rsidRPr="00C03EC9">
              <w:t>co-workers</w:t>
            </w:r>
          </w:p>
          <w:p w:rsidR="00000000" w:rsidRPr="00C03EC9" w:rsidP="00C03EC9">
            <w:pPr>
              <w:pStyle w:val="ListBullet"/>
            </w:pPr>
            <w:r w:rsidRPr="00C03EC9">
              <w:t>supervisors</w:t>
            </w:r>
          </w:p>
          <w:p w:rsidR="00000000" w:rsidRPr="00C03EC9" w:rsidP="00C03EC9">
            <w:pPr>
              <w:pStyle w:val="ListBullet"/>
            </w:pPr>
            <w:r w:rsidRPr="00C03EC9">
              <w:t>the public</w:t>
            </w:r>
          </w:p>
          <w:p w:rsidR="00000000" w:rsidP="00C03EC9">
            <w:pPr>
              <w:pStyle w:val="ListBullet"/>
              <w:rPr>
                <w:lang w:val="en-NZ"/>
              </w:rPr>
            </w:pPr>
            <w:r w:rsidRPr="00C03EC9">
              <w:t>trainers.</w:t>
            </w:r>
          </w:p>
        </w:tc>
      </w:tr>
      <w:tr w:rsidTr="001B170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BoldandItalics"/>
              </w:rPr>
              <w:t>Communication modes</w:t>
            </w:r>
            <w:r w:rsidRPr="00C03EC9">
              <w:t xml:space="preserve"> includes:</w:t>
            </w:r>
          </w:p>
        </w:tc>
        <w:tc>
          <w:tcPr>
            <w:tcW w:w="4999" w:type="dxa"/>
            <w:tcBorders>
              <w:top w:val="nil"/>
              <w:left w:val="nil"/>
              <w:bottom w:val="nil"/>
              <w:right w:val="nil"/>
            </w:tcBorders>
            <w:tcMar>
              <w:top w:w="0" w:type="dxa"/>
              <w:left w:w="62" w:type="dxa"/>
              <w:bottom w:w="0" w:type="dxa"/>
              <w:right w:w="62" w:type="dxa"/>
            </w:tcMar>
          </w:tcPr>
          <w:p w:rsidR="00000000" w:rsidRPr="00C03EC9" w:rsidP="00C03EC9">
            <w:pPr>
              <w:pStyle w:val="ListBullet"/>
            </w:pPr>
            <w:r w:rsidRPr="00C03EC9">
              <w:t>active listening</w:t>
            </w:r>
          </w:p>
          <w:p w:rsidR="00000000" w:rsidRPr="00C03EC9" w:rsidP="00C03EC9">
            <w:pPr>
              <w:pStyle w:val="ListBullet"/>
            </w:pPr>
            <w:r w:rsidRPr="00C03EC9">
              <w:t>group interaction</w:t>
            </w:r>
          </w:p>
          <w:p w:rsidR="00000000" w:rsidRPr="00C03EC9" w:rsidP="00C03EC9">
            <w:pPr>
              <w:pStyle w:val="ListBullet"/>
            </w:pPr>
            <w:r w:rsidRPr="00C03EC9">
              <w:t>interpreting signage</w:t>
            </w:r>
          </w:p>
          <w:p w:rsidR="00000000" w:rsidRPr="00C03EC9" w:rsidP="00C03EC9">
            <w:pPr>
              <w:pStyle w:val="ListBullet"/>
            </w:pPr>
            <w:r w:rsidRPr="00C03EC9">
              <w:t>meetings</w:t>
            </w:r>
          </w:p>
          <w:p w:rsidR="00000000" w:rsidRPr="00C03EC9" w:rsidP="00C03EC9">
            <w:pPr>
              <w:pStyle w:val="ListBullet"/>
            </w:pPr>
            <w:r w:rsidRPr="00C03EC9">
              <w:t>questioning</w:t>
            </w:r>
          </w:p>
          <w:p w:rsidR="00000000" w:rsidRPr="00C03EC9" w:rsidP="00C03EC9">
            <w:pPr>
              <w:pStyle w:val="ListBullet"/>
            </w:pPr>
            <w:r w:rsidRPr="00C03EC9">
              <w:t>verbal and written.</w:t>
            </w:r>
          </w:p>
        </w:tc>
      </w:tr>
    </w:tbl>
    <w:p w:rsidR="001B1705" w:rsidP="00C03EC9">
      <w:pPr>
        <w:pStyle w:val="BodyText"/>
      </w:pPr>
    </w:p>
    <w:p w:rsidR="001B1705" w:rsidP="00C03EC9">
      <w:pPr>
        <w:pStyle w:val="BodyText"/>
      </w:pPr>
    </w:p>
    <w:p w:rsidR="00000000" w:rsidRPr="00C03EC9" w:rsidP="00C03EC9">
      <w:pPr>
        <w:pStyle w:val="Heading1"/>
      </w:pPr>
      <w:bookmarkStart w:id="12" w:name="O_197548"/>
      <w:bookmarkEnd w:id="12"/>
      <w:r w:rsidRPr="00C03EC9">
        <w:t>Unit Sector(s)</w:t>
      </w:r>
    </w:p>
    <w:tbl>
      <w:tblPr>
        <w:tblW w:w="0" w:type="auto"/>
        <w:tblLayout w:type="fixed"/>
        <w:tblCellMar>
          <w:left w:w="62" w:type="dxa"/>
          <w:right w:w="62" w:type="dxa"/>
        </w:tblCellMar>
        <w:tblLook w:val="0000"/>
      </w:tblPr>
      <w:tblGrid>
        <w:gridCol w:w="2572"/>
        <w:gridCol w:w="5950"/>
      </w:tblGrid>
      <w:tr w:rsidTr="001B1705">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Unit sector</w:t>
            </w:r>
          </w:p>
        </w:tc>
        <w:tc>
          <w:tcPr>
            <w:tcW w:w="5950" w:type="dxa"/>
            <w:tcBorders>
              <w:top w:val="nil"/>
              <w:left w:val="nil"/>
              <w:bottom w:val="nil"/>
              <w:right w:val="nil"/>
            </w:tcBorders>
            <w:tcMar>
              <w:top w:w="0" w:type="dxa"/>
              <w:left w:w="62" w:type="dxa"/>
              <w:bottom w:w="0" w:type="dxa"/>
              <w:right w:w="62" w:type="dxa"/>
            </w:tcMar>
          </w:tcPr>
          <w:p w:rsidR="00000000" w:rsidRPr="00C03EC9" w:rsidP="00C03EC9">
            <w:pPr>
              <w:pStyle w:val="BodyText"/>
            </w:pPr>
            <w:r w:rsidRPr="00C03EC9">
              <w:t>Construction</w:t>
            </w:r>
          </w:p>
        </w:tc>
      </w:tr>
    </w:tbl>
    <w:p w:rsidR="001B1705" w:rsidP="00C03EC9">
      <w:pPr>
        <w:pStyle w:val="BodyText"/>
      </w:pPr>
    </w:p>
    <w:p w:rsidR="001B1705" w:rsidP="00C03EC9">
      <w:pPr>
        <w:pStyle w:val="BodyText"/>
      </w:pPr>
    </w:p>
    <w:p w:rsidR="00000000" w:rsidRPr="00C03EC9" w:rsidP="00C03EC9">
      <w:pPr>
        <w:pStyle w:val="Heading1"/>
      </w:pPr>
      <w:bookmarkStart w:id="13" w:name="O_197545"/>
      <w:bookmarkEnd w:id="13"/>
      <w:r w:rsidRPr="00C03EC9">
        <w:t>Co-requisite units</w:t>
      </w:r>
    </w:p>
    <w:tbl>
      <w:tblPr>
        <w:tblW w:w="0" w:type="auto"/>
        <w:tblLayout w:type="fixed"/>
        <w:tblCellMar>
          <w:left w:w="62" w:type="dxa"/>
          <w:right w:w="62" w:type="dxa"/>
        </w:tblCellMar>
        <w:tblLook w:val="0000"/>
      </w:tblPr>
      <w:tblGrid>
        <w:gridCol w:w="2582"/>
        <w:gridCol w:w="2127"/>
        <w:gridCol w:w="3813"/>
      </w:tblGrid>
      <w:tr w:rsidTr="001B1705">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t>Nil</w:t>
            </w:r>
          </w:p>
        </w:tc>
      </w:tr>
      <w:tr w:rsidTr="001B170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p>
        </w:tc>
      </w:tr>
      <w:tr w:rsidTr="001B1705">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RPr="00C03EC9" w:rsidP="00C03EC9">
            <w:pPr>
              <w:pStyle w:val="BodyText"/>
            </w:pPr>
          </w:p>
        </w:tc>
      </w:tr>
    </w:tbl>
    <w:p w:rsidR="001B1705" w:rsidP="00C03EC9">
      <w:pPr>
        <w:pStyle w:val="BodyText"/>
      </w:pPr>
    </w:p>
    <w:p w:rsidR="001B1705" w:rsidP="00C03EC9">
      <w:pPr>
        <w:pStyle w:val="BodyText"/>
      </w:pPr>
    </w:p>
    <w:p w:rsidR="00000000" w:rsidRPr="00C03EC9" w:rsidP="00C03EC9">
      <w:pPr>
        <w:pStyle w:val="Heading1"/>
      </w:pPr>
      <w:bookmarkStart w:id="14" w:name="O_197547"/>
      <w:bookmarkEnd w:id="14"/>
      <w:r w:rsidRPr="00C03EC9">
        <w:t>Functional area</w:t>
      </w:r>
    </w:p>
    <w:tbl>
      <w:tblPr>
        <w:tblW w:w="0" w:type="auto"/>
        <w:tblLayout w:type="fixed"/>
        <w:tblCellMar>
          <w:left w:w="62" w:type="dxa"/>
          <w:right w:w="62" w:type="dxa"/>
        </w:tblCellMar>
        <w:tblLook w:val="0000"/>
      </w:tblPr>
      <w:tblGrid>
        <w:gridCol w:w="2672"/>
        <w:gridCol w:w="5850"/>
      </w:tblGrid>
      <w:tr w:rsidTr="001B1705">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C03EC9">
            <w:pPr>
              <w:pStyle w:val="BodyText"/>
              <w:rPr>
                <w:lang w:val="en-NZ"/>
              </w:rPr>
            </w:pPr>
            <w:r w:rsidRPr="00C03EC9">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C03EC9" w:rsidP="00C03EC9">
            <w:pPr>
              <w:pStyle w:val="BodyText"/>
            </w:pPr>
          </w:p>
        </w:tc>
      </w:tr>
    </w:tbl>
    <w:p w:rsidR="001B1705" w:rsidP="00C03EC9">
      <w:pPr>
        <w:pStyle w:val="BodyText"/>
      </w:pPr>
    </w:p>
    <w:p w:rsidR="001B1705" w:rsidP="00C03EC9">
      <w:pPr>
        <w:pStyle w:val="BodyText"/>
      </w:pPr>
    </w:p>
    <w:p w:rsidR="00000000" w:rsidRPr="00C03EC9" w:rsidP="00C03EC9"/>
    <w:sectPr w:rsidSect="00C03E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705" w:rsidP="001B1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05" w:rsidP="00C03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1705" w:rsidP="00C03E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1705" w:rsidP="00C03E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705" w:rsidP="001B17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05" w:rsidP="00C03EC9">
    <w:pPr>
      <w:pStyle w:val="Header"/>
      <w:framePr w:wrap="around"/>
    </w:pPr>
    <w:r>
      <w:fldChar w:fldCharType="begin"/>
    </w:r>
    <w:r>
      <w:instrText xml:space="preserve"> TITLE   \* MERGEFORMAT </w:instrText>
    </w:r>
    <w:r>
      <w:fldChar w:fldCharType="separate"/>
    </w:r>
    <w:r>
      <w:t>CPCCCM1014A Conduct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1705" w:rsidP="00C03E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66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28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83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E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3EC9"/>
    <w:pPr>
      <w:spacing w:before="360" w:after="60"/>
      <w:outlineLvl w:val="0"/>
    </w:pPr>
    <w:rPr>
      <w:sz w:val="32"/>
    </w:rPr>
  </w:style>
  <w:style w:type="paragraph" w:styleId="Heading2">
    <w:name w:val="heading 2"/>
    <w:basedOn w:val="HeadingBase"/>
    <w:next w:val="BodyText"/>
    <w:link w:val="Heading2Char"/>
    <w:qFormat/>
    <w:rsid w:val="00C03EC9"/>
    <w:pPr>
      <w:keepLines/>
      <w:spacing w:before="240" w:after="120"/>
      <w:outlineLvl w:val="1"/>
    </w:pPr>
    <w:rPr>
      <w:sz w:val="28"/>
      <w:szCs w:val="40"/>
    </w:rPr>
  </w:style>
  <w:style w:type="paragraph" w:styleId="Heading3">
    <w:name w:val="heading 3"/>
    <w:basedOn w:val="HeadingBase"/>
    <w:next w:val="BodyText"/>
    <w:link w:val="Heading3Char"/>
    <w:qFormat/>
    <w:rsid w:val="00C03EC9"/>
    <w:pPr>
      <w:spacing w:before="180" w:after="120"/>
      <w:outlineLvl w:val="2"/>
    </w:pPr>
    <w:rPr>
      <w:spacing w:val="-10"/>
      <w:kern w:val="32"/>
    </w:rPr>
  </w:style>
  <w:style w:type="paragraph" w:styleId="Heading4">
    <w:name w:val="heading 4"/>
    <w:basedOn w:val="HeadingBase"/>
    <w:next w:val="BodyText"/>
    <w:link w:val="Heading4Char"/>
    <w:qFormat/>
    <w:rsid w:val="00C03EC9"/>
    <w:pPr>
      <w:spacing w:before="160" w:after="120"/>
      <w:outlineLvl w:val="3"/>
    </w:pPr>
    <w:rPr>
      <w:sz w:val="22"/>
    </w:rPr>
  </w:style>
  <w:style w:type="paragraph" w:styleId="Heading5">
    <w:name w:val="heading 5"/>
    <w:basedOn w:val="HeadingBase"/>
    <w:next w:val="Normal"/>
    <w:link w:val="Heading5Char"/>
    <w:qFormat/>
    <w:rsid w:val="00C03EC9"/>
    <w:pPr>
      <w:spacing w:before="80"/>
      <w:outlineLvl w:val="4"/>
    </w:pPr>
    <w:rPr>
      <w:color w:val="918585"/>
      <w:sz w:val="20"/>
    </w:rPr>
  </w:style>
  <w:style w:type="paragraph" w:styleId="Heading6">
    <w:name w:val="heading 6"/>
    <w:basedOn w:val="HeadingBase"/>
    <w:next w:val="Normal"/>
    <w:link w:val="Heading6Char"/>
    <w:qFormat/>
    <w:rsid w:val="00C03EC9"/>
    <w:pPr>
      <w:spacing w:before="60"/>
      <w:outlineLvl w:val="5"/>
    </w:pPr>
    <w:rPr>
      <w:color w:val="918585"/>
      <w:sz w:val="20"/>
    </w:rPr>
  </w:style>
  <w:style w:type="paragraph" w:styleId="Heading7">
    <w:name w:val="heading 7"/>
    <w:basedOn w:val="Normal"/>
    <w:next w:val="Normal"/>
    <w:link w:val="Heading7Char"/>
    <w:qFormat/>
    <w:rsid w:val="00C03EC9"/>
    <w:pPr>
      <w:ind w:left="720"/>
      <w:outlineLvl w:val="6"/>
    </w:pPr>
    <w:rPr>
      <w:i/>
    </w:rPr>
  </w:style>
  <w:style w:type="paragraph" w:styleId="Heading8">
    <w:name w:val="heading 8"/>
    <w:basedOn w:val="Normal"/>
    <w:next w:val="Normal"/>
    <w:link w:val="Heading8Char"/>
    <w:qFormat/>
    <w:rsid w:val="00C03EC9"/>
    <w:pPr>
      <w:ind w:left="720"/>
      <w:outlineLvl w:val="7"/>
    </w:pPr>
    <w:rPr>
      <w:i/>
    </w:rPr>
  </w:style>
  <w:style w:type="paragraph" w:styleId="Heading9">
    <w:name w:val="heading 9"/>
    <w:basedOn w:val="Normal"/>
    <w:next w:val="Normal"/>
    <w:link w:val="Heading9Char"/>
    <w:qFormat/>
    <w:rsid w:val="00C03EC9"/>
    <w:pPr>
      <w:ind w:left="720"/>
      <w:outlineLvl w:val="8"/>
    </w:pPr>
    <w:rPr>
      <w:i/>
    </w:rPr>
  </w:style>
  <w:style w:type="character" w:default="1" w:styleId="DefaultParagraphFont">
    <w:name w:val="Default Paragraph Font"/>
    <w:uiPriority w:val="1"/>
    <w:unhideWhenUsed/>
    <w:rsid w:val="00C03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EC9"/>
  </w:style>
  <w:style w:type="character" w:customStyle="1" w:styleId="Heading1Char">
    <w:name w:val="Heading 1 Char"/>
    <w:basedOn w:val="DefaultParagraphFont"/>
    <w:link w:val="Heading1"/>
    <w:rsid w:val="00C03EC9"/>
    <w:rPr>
      <w:rFonts w:ascii="Times New Roman" w:eastAsia="Times New Roman" w:hAnsi="Times New Roman" w:cs="Times New Roman"/>
      <w:b/>
      <w:sz w:val="32"/>
      <w:szCs w:val="20"/>
      <w:lang w:eastAsia="en-US"/>
    </w:rPr>
  </w:style>
  <w:style w:type="paragraph" w:styleId="BodyText">
    <w:name w:val="Body Text"/>
    <w:basedOn w:val="Normal"/>
    <w:link w:val="BodyTextChar"/>
    <w:rsid w:val="00C03E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EC9"/>
    <w:rPr>
      <w:rFonts w:ascii="Times New Roman" w:eastAsia="Times New Roman" w:hAnsi="Times New Roman" w:cs="Times New Roman"/>
      <w:sz w:val="24"/>
      <w:lang w:val="en-US" w:eastAsia="en-US"/>
    </w:rPr>
  </w:style>
  <w:style w:type="paragraph" w:styleId="Footer">
    <w:name w:val="footer"/>
    <w:basedOn w:val="Normal"/>
    <w:link w:val="FooterChar"/>
    <w:rsid w:val="00C03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EC9"/>
    <w:rPr>
      <w:rFonts w:ascii="Times New Roman" w:eastAsia="Times New Roman" w:hAnsi="Times New Roman" w:cs="Times New Roman"/>
      <w:sz w:val="16"/>
      <w:lang w:val="en-US" w:eastAsia="en-US"/>
    </w:rPr>
  </w:style>
  <w:style w:type="paragraph" w:styleId="List">
    <w:name w:val="List"/>
    <w:basedOn w:val="BodyText"/>
    <w:next w:val="BodyText"/>
    <w:rsid w:val="00C03EC9"/>
    <w:pPr>
      <w:tabs>
        <w:tab w:val="left" w:pos="340"/>
      </w:tabs>
      <w:spacing w:before="60" w:after="60"/>
      <w:ind w:left="340" w:hanging="340"/>
    </w:pPr>
  </w:style>
  <w:style w:type="paragraph" w:styleId="ListBullet">
    <w:name w:val="List Bullet"/>
    <w:basedOn w:val="List"/>
    <w:rsid w:val="00C03EC9"/>
    <w:pPr>
      <w:numPr>
        <w:numId w:val="14"/>
      </w:numPr>
      <w:tabs>
        <w:tab w:val="clear" w:pos="340"/>
      </w:tabs>
      <w:spacing w:before="40" w:after="40"/>
    </w:pPr>
  </w:style>
  <w:style w:type="character" w:customStyle="1" w:styleId="SpecialBold">
    <w:name w:val="Special Bold"/>
    <w:basedOn w:val="DefaultParagraphFont"/>
    <w:rsid w:val="00C03EC9"/>
    <w:rPr>
      <w:b/>
      <w:spacing w:val="0"/>
    </w:rPr>
  </w:style>
  <w:style w:type="paragraph" w:styleId="ListBullet2">
    <w:name w:val="List Bullet 2"/>
    <w:basedOn w:val="List2"/>
    <w:rsid w:val="00C03EC9"/>
    <w:pPr>
      <w:numPr>
        <w:numId w:val="15"/>
      </w:numPr>
      <w:tabs>
        <w:tab w:val="clear" w:pos="680"/>
      </w:tabs>
    </w:pPr>
  </w:style>
  <w:style w:type="paragraph" w:styleId="Header">
    <w:name w:val="header"/>
    <w:basedOn w:val="Normal"/>
    <w:link w:val="HeaderChar"/>
    <w:rsid w:val="00C03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E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3EC9"/>
    <w:pPr>
      <w:spacing w:before="240" w:after="120"/>
      <w:outlineLvl w:val="0"/>
    </w:pPr>
    <w:rPr>
      <w:rFonts w:ascii="Times New Roman" w:hAnsi="Times New Roman"/>
      <w:b/>
      <w:sz w:val="28"/>
    </w:rPr>
  </w:style>
  <w:style w:type="paragraph" w:customStyle="1" w:styleId="AllowPageBreak">
    <w:name w:val="AllowPageBreak"/>
    <w:rsid w:val="00C03E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3EC9"/>
    <w:pPr>
      <w:tabs>
        <w:tab w:val="left" w:pos="680"/>
      </w:tabs>
      <w:spacing w:before="60" w:after="60"/>
      <w:ind w:left="680" w:hanging="340"/>
    </w:pPr>
  </w:style>
  <w:style w:type="paragraph" w:styleId="ListBullet3">
    <w:name w:val="List Bullet 3"/>
    <w:basedOn w:val="List3"/>
    <w:rsid w:val="00C03EC9"/>
    <w:pPr>
      <w:numPr>
        <w:numId w:val="3"/>
      </w:numPr>
      <w:tabs>
        <w:tab w:val="clear" w:pos="1021"/>
      </w:tabs>
      <w:ind w:left="1037" w:hanging="357"/>
    </w:pPr>
  </w:style>
  <w:style w:type="character" w:customStyle="1" w:styleId="BoldandItalics">
    <w:name w:val="Bold and Italics"/>
    <w:qFormat/>
    <w:rsid w:val="00C03EC9"/>
    <w:rPr>
      <w:b/>
      <w:i/>
      <w:u w:val="none"/>
    </w:rPr>
  </w:style>
  <w:style w:type="character" w:customStyle="1" w:styleId="Heading2Char">
    <w:name w:val="Heading 2 Char"/>
    <w:basedOn w:val="DefaultParagraphFont"/>
    <w:link w:val="Heading2"/>
    <w:rsid w:val="00C03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E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3E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3EC9"/>
    <w:rPr>
      <w:rFonts w:ascii="Courier New" w:eastAsia="Times New Roman" w:hAnsi="Courier New" w:cs="Times New Roman"/>
      <w:i/>
      <w:szCs w:val="20"/>
      <w:lang w:val="en-US" w:eastAsia="en-US"/>
    </w:rPr>
  </w:style>
  <w:style w:type="paragraph" w:customStyle="1" w:styleId="HeadingBase">
    <w:name w:val="Heading Base"/>
    <w:rsid w:val="00C03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EC9"/>
    <w:pPr>
      <w:tabs>
        <w:tab w:val="right" w:leader="dot" w:pos="9072"/>
      </w:tabs>
      <w:ind w:left="567"/>
    </w:pPr>
    <w:rPr>
      <w:szCs w:val="22"/>
    </w:rPr>
  </w:style>
  <w:style w:type="paragraph" w:customStyle="1" w:styleId="TOCBase">
    <w:name w:val="TOC Base"/>
    <w:rsid w:val="00C03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EC9"/>
    <w:pPr>
      <w:tabs>
        <w:tab w:val="right" w:leader="dot" w:pos="9072"/>
      </w:tabs>
      <w:spacing w:before="40" w:after="40"/>
      <w:ind w:left="284"/>
    </w:pPr>
    <w:rPr>
      <w:rFonts w:ascii="Times New Roman" w:hAnsi="Times New Roman"/>
    </w:rPr>
  </w:style>
  <w:style w:type="paragraph" w:styleId="TOC1">
    <w:name w:val="toc 1"/>
    <w:basedOn w:val="TOCBase"/>
    <w:next w:val="Normal"/>
    <w:rsid w:val="00C03E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EC9"/>
    <w:pPr>
      <w:spacing w:before="5040"/>
      <w:jc w:val="center"/>
    </w:pPr>
    <w:rPr>
      <w:sz w:val="48"/>
      <w:szCs w:val="72"/>
      <w:lang w:val="en-US"/>
    </w:rPr>
  </w:style>
  <w:style w:type="character" w:customStyle="1" w:styleId="TitleChar">
    <w:name w:val="Title Char"/>
    <w:basedOn w:val="DefaultParagraphFont"/>
    <w:link w:val="Title"/>
    <w:rsid w:val="00C03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EC9"/>
    <w:pPr>
      <w:tabs>
        <w:tab w:val="left" w:pos="3600"/>
        <w:tab w:val="left" w:pos="3958"/>
      </w:tabs>
    </w:pPr>
  </w:style>
  <w:style w:type="paragraph" w:customStyle="1" w:styleId="Note">
    <w:name w:val="Note"/>
    <w:basedOn w:val="BodyText"/>
    <w:rsid w:val="00C03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EC9"/>
    <w:pPr>
      <w:framePr w:wrap="auto" w:hAnchor="text" w:y="6049"/>
    </w:pPr>
    <w:rPr>
      <w:color w:val="000000"/>
      <w:sz w:val="40"/>
    </w:rPr>
  </w:style>
  <w:style w:type="paragraph" w:customStyle="1" w:styleId="TOCTitle">
    <w:name w:val="TOCTitle"/>
    <w:basedOn w:val="Heading1"/>
    <w:rsid w:val="00C03EC9"/>
    <w:pPr>
      <w:spacing w:after="240"/>
      <w:jc w:val="center"/>
      <w:outlineLvl w:val="9"/>
    </w:pPr>
    <w:rPr>
      <w:caps/>
    </w:rPr>
  </w:style>
  <w:style w:type="paragraph" w:customStyle="1" w:styleId="Version">
    <w:name w:val="Version"/>
    <w:rsid w:val="00C03E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EC9"/>
    <w:pPr>
      <w:keepNext w:val="0"/>
      <w:tabs>
        <w:tab w:val="right" w:pos="4176"/>
      </w:tabs>
      <w:ind w:left="198" w:hanging="198"/>
    </w:pPr>
    <w:rPr>
      <w:rFonts w:ascii="Garamond" w:hAnsi="Garamond"/>
    </w:rPr>
  </w:style>
  <w:style w:type="paragraph" w:styleId="IndexHeading">
    <w:name w:val="index heading"/>
    <w:basedOn w:val="Normal"/>
    <w:next w:val="Index1"/>
    <w:semiHidden/>
    <w:rsid w:val="00C03EC9"/>
    <w:pPr>
      <w:spacing w:before="120" w:after="120"/>
    </w:pPr>
    <w:rPr>
      <w:rFonts w:ascii="Arial" w:hAnsi="Arial"/>
      <w:b/>
      <w:color w:val="918585"/>
      <w:sz w:val="24"/>
    </w:rPr>
  </w:style>
  <w:style w:type="paragraph" w:customStyle="1" w:styleId="Chapter">
    <w:name w:val="Chapter"/>
    <w:basedOn w:val="Normal"/>
    <w:rsid w:val="00C03EC9"/>
    <w:pPr>
      <w:spacing w:before="240"/>
    </w:pPr>
    <w:rPr>
      <w:rFonts w:ascii="Times New Roman" w:hAnsi="Times New Roman"/>
      <w:smallCaps/>
      <w:spacing w:val="80"/>
      <w:sz w:val="28"/>
    </w:rPr>
  </w:style>
  <w:style w:type="paragraph" w:customStyle="1" w:styleId="InChapter">
    <w:name w:val="InChapter"/>
    <w:basedOn w:val="Heading3"/>
    <w:rsid w:val="00C03EC9"/>
    <w:pPr>
      <w:spacing w:after="240"/>
      <w:outlineLvl w:val="9"/>
    </w:pPr>
    <w:rPr>
      <w:noProof/>
    </w:rPr>
  </w:style>
  <w:style w:type="paragraph" w:styleId="Index2">
    <w:name w:val="index 2"/>
    <w:basedOn w:val="Normal"/>
    <w:next w:val="Normal"/>
    <w:semiHidden/>
    <w:rsid w:val="00C03EC9"/>
    <w:pPr>
      <w:tabs>
        <w:tab w:val="right" w:pos="4176"/>
      </w:tabs>
      <w:ind w:left="568" w:hanging="284"/>
    </w:pPr>
    <w:rPr>
      <w:rFonts w:ascii="Garamond" w:hAnsi="Garamond"/>
    </w:rPr>
  </w:style>
  <w:style w:type="paragraph" w:customStyle="1" w:styleId="Byline">
    <w:name w:val="Byline"/>
    <w:rsid w:val="00C03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EC9"/>
    <w:pPr>
      <w:tabs>
        <w:tab w:val="clear" w:pos="3600"/>
        <w:tab w:val="clear" w:pos="3958"/>
      </w:tabs>
      <w:jc w:val="right"/>
    </w:pPr>
  </w:style>
  <w:style w:type="character" w:styleId="Emphasis">
    <w:name w:val="Emphasis"/>
    <w:basedOn w:val="DefaultParagraphFont"/>
    <w:qFormat/>
    <w:rsid w:val="00C03EC9"/>
    <w:rPr>
      <w:i/>
    </w:rPr>
  </w:style>
  <w:style w:type="paragraph" w:styleId="Caption">
    <w:name w:val="caption"/>
    <w:basedOn w:val="BodyText"/>
    <w:next w:val="Normal"/>
    <w:qFormat/>
    <w:rsid w:val="00C03EC9"/>
    <w:pPr>
      <w:framePr w:w="2268" w:hSpace="181" w:vSpace="181" w:wrap="around" w:vAnchor="text" w:hAnchor="page" w:x="1135" w:y="285" w:anchorLock="1"/>
    </w:pPr>
    <w:rPr>
      <w:i/>
    </w:rPr>
  </w:style>
  <w:style w:type="paragraph" w:customStyle="1" w:styleId="MiniTOCTitle">
    <w:name w:val="MiniTOCTitle"/>
    <w:basedOn w:val="Heading4"/>
    <w:rsid w:val="00C03EC9"/>
    <w:pPr>
      <w:spacing w:before="240"/>
      <w:outlineLvl w:val="9"/>
    </w:pPr>
    <w:rPr>
      <w:noProof/>
      <w:sz w:val="24"/>
    </w:rPr>
  </w:style>
  <w:style w:type="paragraph" w:customStyle="1" w:styleId="MiniTOCItem">
    <w:name w:val="MiniTOCItem"/>
    <w:basedOn w:val="ListBullet"/>
    <w:rsid w:val="00C03EC9"/>
    <w:pPr>
      <w:numPr>
        <w:numId w:val="0"/>
      </w:numPr>
      <w:tabs>
        <w:tab w:val="right" w:leader="dot" w:pos="6521"/>
      </w:tabs>
      <w:spacing w:before="0" w:after="0"/>
    </w:pPr>
  </w:style>
  <w:style w:type="paragraph" w:customStyle="1" w:styleId="TOFTitle">
    <w:name w:val="TOFTitle"/>
    <w:basedOn w:val="TOCTitle"/>
    <w:rsid w:val="00C03EC9"/>
  </w:style>
  <w:style w:type="paragraph" w:styleId="TableofFigures">
    <w:name w:val="table of figures"/>
    <w:basedOn w:val="Normal"/>
    <w:next w:val="Normal"/>
    <w:semiHidden/>
    <w:rsid w:val="00C03EC9"/>
    <w:pPr>
      <w:tabs>
        <w:tab w:val="right" w:leader="dot" w:pos="9072"/>
      </w:tabs>
      <w:ind w:left="970" w:hanging="403"/>
    </w:pPr>
    <w:rPr>
      <w:rFonts w:ascii="Times New Roman" w:hAnsi="Times New Roman"/>
      <w:b/>
    </w:rPr>
  </w:style>
  <w:style w:type="paragraph" w:styleId="ListNumber">
    <w:name w:val="List Number"/>
    <w:basedOn w:val="List"/>
    <w:rsid w:val="00C03EC9"/>
    <w:pPr>
      <w:numPr>
        <w:numId w:val="12"/>
      </w:numPr>
    </w:pPr>
  </w:style>
  <w:style w:type="character" w:customStyle="1" w:styleId="WingdingSymbols">
    <w:name w:val="Wingding Symbols"/>
    <w:rsid w:val="00C03EC9"/>
    <w:rPr>
      <w:rFonts w:ascii="Wingdings" w:hAnsi="Wingdings"/>
    </w:rPr>
  </w:style>
  <w:style w:type="paragraph" w:customStyle="1" w:styleId="TableHeading">
    <w:name w:val="Table Heading"/>
    <w:basedOn w:val="HeadingBase"/>
    <w:rsid w:val="00C03EC9"/>
    <w:pPr>
      <w:keepLines/>
      <w:pBdr>
        <w:bottom w:val="single" w:sz="6" w:space="1" w:color="918585"/>
      </w:pBdr>
      <w:spacing w:before="240"/>
    </w:pPr>
  </w:style>
  <w:style w:type="character" w:customStyle="1" w:styleId="HotSpot">
    <w:name w:val="HotSpot"/>
    <w:rsid w:val="00C03EC9"/>
    <w:rPr>
      <w:color w:val="0033CC"/>
      <w:u w:val="none"/>
    </w:rPr>
  </w:style>
  <w:style w:type="paragraph" w:customStyle="1" w:styleId="BodyTextRight">
    <w:name w:val="Body Text Right"/>
    <w:basedOn w:val="BodyText"/>
    <w:rsid w:val="00C03EC9"/>
    <w:pPr>
      <w:spacing w:before="0" w:after="0"/>
      <w:jc w:val="right"/>
    </w:pPr>
  </w:style>
  <w:style w:type="paragraph" w:styleId="Index3">
    <w:name w:val="index 3"/>
    <w:basedOn w:val="ListNumber2"/>
    <w:next w:val="Normal"/>
    <w:semiHidden/>
    <w:rsid w:val="00C03EC9"/>
    <w:pPr>
      <w:numPr>
        <w:numId w:val="0"/>
      </w:numPr>
      <w:tabs>
        <w:tab w:val="right" w:leader="dot" w:pos="4176"/>
      </w:tabs>
    </w:pPr>
  </w:style>
  <w:style w:type="paragraph" w:styleId="ListNumber2">
    <w:name w:val="List Number 2"/>
    <w:basedOn w:val="List2"/>
    <w:rsid w:val="00C03EC9"/>
    <w:pPr>
      <w:numPr>
        <w:numId w:val="11"/>
      </w:numPr>
      <w:tabs>
        <w:tab w:val="clear" w:pos="1060"/>
      </w:tabs>
    </w:pPr>
  </w:style>
  <w:style w:type="paragraph" w:customStyle="1" w:styleId="MarginNote">
    <w:name w:val="Margin Note"/>
    <w:basedOn w:val="BodyText"/>
    <w:rsid w:val="00C03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E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3EC9"/>
    <w:rPr>
      <w:sz w:val="32"/>
    </w:rPr>
  </w:style>
  <w:style w:type="paragraph" w:customStyle="1" w:styleId="HeadingProcedure">
    <w:name w:val="Heading Procedure"/>
    <w:basedOn w:val="HeadingBase"/>
    <w:next w:val="Normal"/>
    <w:rsid w:val="00C03EC9"/>
    <w:pPr>
      <w:tabs>
        <w:tab w:val="left" w:pos="0"/>
      </w:tabs>
      <w:spacing w:before="120" w:after="60"/>
    </w:pPr>
    <w:rPr>
      <w:i/>
      <w:color w:val="918585"/>
      <w:sz w:val="22"/>
    </w:rPr>
  </w:style>
  <w:style w:type="paragraph" w:customStyle="1" w:styleId="TableBodyText">
    <w:name w:val="Table Body Text"/>
    <w:basedOn w:val="BodyText"/>
    <w:rsid w:val="00C03EC9"/>
    <w:pPr>
      <w:spacing w:before="60" w:after="60"/>
    </w:pPr>
  </w:style>
  <w:style w:type="paragraph" w:styleId="ListContinue">
    <w:name w:val="List Continue"/>
    <w:basedOn w:val="List"/>
    <w:rsid w:val="00C03EC9"/>
    <w:pPr>
      <w:ind w:firstLine="0"/>
    </w:pPr>
  </w:style>
  <w:style w:type="paragraph" w:customStyle="1" w:styleId="ListNote">
    <w:name w:val="List Note"/>
    <w:basedOn w:val="List"/>
    <w:rsid w:val="00C03EC9"/>
    <w:pPr>
      <w:pBdr>
        <w:top w:val="single" w:sz="6" w:space="2" w:color="918585"/>
        <w:bottom w:val="single" w:sz="6" w:space="2" w:color="918585"/>
      </w:pBdr>
      <w:tabs>
        <w:tab w:val="left" w:pos="1021"/>
      </w:tabs>
      <w:ind w:firstLine="0"/>
    </w:pPr>
  </w:style>
  <w:style w:type="paragraph" w:customStyle="1" w:styleId="Warning">
    <w:name w:val="Warning"/>
    <w:basedOn w:val="BodyText"/>
    <w:rsid w:val="00C03EC9"/>
    <w:pPr>
      <w:shd w:val="clear" w:color="auto" w:fill="D9D9D9"/>
      <w:tabs>
        <w:tab w:val="left" w:pos="992"/>
      </w:tabs>
      <w:ind w:left="119" w:right="119"/>
    </w:pPr>
    <w:rPr>
      <w:sz w:val="20"/>
    </w:rPr>
  </w:style>
  <w:style w:type="paragraph" w:customStyle="1" w:styleId="MarginIcons">
    <w:name w:val="Margin Icons"/>
    <w:basedOn w:val="BodyText"/>
    <w:rsid w:val="00C03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EC9"/>
    <w:rPr>
      <w:rFonts w:ascii="Courier New" w:hAnsi="Courier New"/>
    </w:rPr>
  </w:style>
  <w:style w:type="paragraph" w:customStyle="1" w:styleId="NoteBullet">
    <w:name w:val="Note Bullet"/>
    <w:basedOn w:val="Note"/>
    <w:rsid w:val="00C03EC9"/>
    <w:pPr>
      <w:tabs>
        <w:tab w:val="clear" w:pos="680"/>
      </w:tabs>
      <w:spacing w:before="60" w:after="60"/>
    </w:pPr>
  </w:style>
  <w:style w:type="paragraph" w:customStyle="1" w:styleId="SubHeading2">
    <w:name w:val="SubHeading2"/>
    <w:basedOn w:val="HeadingBase"/>
    <w:rsid w:val="00C03EC9"/>
    <w:pPr>
      <w:spacing w:before="240" w:after="60"/>
    </w:pPr>
    <w:rPr>
      <w:sz w:val="20"/>
    </w:rPr>
  </w:style>
  <w:style w:type="paragraph" w:customStyle="1" w:styleId="SubHeading1">
    <w:name w:val="SubHeading1"/>
    <w:basedOn w:val="HeadingBase"/>
    <w:rsid w:val="00C03EC9"/>
    <w:pPr>
      <w:spacing w:before="240" w:after="60"/>
    </w:pPr>
    <w:rPr>
      <w:color w:val="918585"/>
      <w:sz w:val="22"/>
    </w:rPr>
  </w:style>
  <w:style w:type="paragraph" w:customStyle="1" w:styleId="SideHeading">
    <w:name w:val="Side Heading"/>
    <w:basedOn w:val="HeadingBase"/>
    <w:rsid w:val="00C03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EC9"/>
    <w:pPr>
      <w:numPr>
        <w:numId w:val="13"/>
      </w:numPr>
    </w:pPr>
  </w:style>
  <w:style w:type="paragraph" w:styleId="PlainText">
    <w:name w:val="Plain Text"/>
    <w:basedOn w:val="Normal"/>
    <w:link w:val="PlainTextChar"/>
    <w:rsid w:val="00C03EC9"/>
    <w:rPr>
      <w:sz w:val="20"/>
    </w:rPr>
  </w:style>
  <w:style w:type="character" w:customStyle="1" w:styleId="PlainTextChar">
    <w:name w:val="Plain Text Char"/>
    <w:basedOn w:val="DefaultParagraphFont"/>
    <w:link w:val="PlainText"/>
    <w:rsid w:val="00C03E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3EC9"/>
    <w:rPr>
      <w:b/>
      <w:smallCaps/>
    </w:rPr>
  </w:style>
  <w:style w:type="paragraph" w:customStyle="1" w:styleId="TableListNumber">
    <w:name w:val="Table List Number"/>
    <w:basedOn w:val="ListNumber"/>
    <w:rsid w:val="00C03EC9"/>
    <w:pPr>
      <w:numPr>
        <w:numId w:val="0"/>
      </w:numPr>
    </w:pPr>
  </w:style>
  <w:style w:type="paragraph" w:styleId="TOC4">
    <w:name w:val="toc 4"/>
    <w:basedOn w:val="TOCBase"/>
    <w:next w:val="Normal"/>
    <w:semiHidden/>
    <w:rsid w:val="00C03EC9"/>
    <w:pPr>
      <w:tabs>
        <w:tab w:val="right" w:leader="dot" w:pos="9071"/>
      </w:tabs>
      <w:ind w:left="1701"/>
    </w:pPr>
  </w:style>
  <w:style w:type="paragraph" w:customStyle="1" w:styleId="ListAlpha">
    <w:name w:val="List Alpha"/>
    <w:basedOn w:val="List"/>
    <w:rsid w:val="00C03EC9"/>
    <w:pPr>
      <w:numPr>
        <w:numId w:val="10"/>
      </w:numPr>
    </w:pPr>
  </w:style>
  <w:style w:type="paragraph" w:customStyle="1" w:styleId="ListAlpha2">
    <w:name w:val="List Alpha 2"/>
    <w:basedOn w:val="List2"/>
    <w:rsid w:val="00C03EC9"/>
    <w:pPr>
      <w:numPr>
        <w:numId w:val="9"/>
      </w:numPr>
    </w:pPr>
  </w:style>
  <w:style w:type="paragraph" w:styleId="List3">
    <w:name w:val="List 3"/>
    <w:basedOn w:val="BodyText"/>
    <w:rsid w:val="00C03EC9"/>
    <w:pPr>
      <w:tabs>
        <w:tab w:val="left" w:pos="1021"/>
      </w:tabs>
      <w:spacing w:before="60" w:after="60"/>
      <w:ind w:left="1020" w:hanging="340"/>
    </w:pPr>
  </w:style>
  <w:style w:type="paragraph" w:styleId="List4">
    <w:name w:val="List 4"/>
    <w:basedOn w:val="BodyText"/>
    <w:rsid w:val="00C03EC9"/>
    <w:pPr>
      <w:tabs>
        <w:tab w:val="left" w:pos="1361"/>
      </w:tabs>
      <w:spacing w:before="60" w:after="60"/>
      <w:ind w:left="1361" w:hanging="340"/>
    </w:pPr>
  </w:style>
  <w:style w:type="paragraph" w:styleId="List5">
    <w:name w:val="List 5"/>
    <w:basedOn w:val="BodyText"/>
    <w:rsid w:val="00C03EC9"/>
    <w:pPr>
      <w:tabs>
        <w:tab w:val="left" w:pos="1701"/>
      </w:tabs>
      <w:spacing w:before="60" w:after="60"/>
      <w:ind w:left="1701" w:hanging="340"/>
    </w:pPr>
  </w:style>
  <w:style w:type="paragraph" w:styleId="ListBullet4">
    <w:name w:val="List Bullet 4"/>
    <w:basedOn w:val="List4"/>
    <w:rsid w:val="00C03EC9"/>
    <w:pPr>
      <w:numPr>
        <w:numId w:val="4"/>
      </w:numPr>
    </w:pPr>
  </w:style>
  <w:style w:type="paragraph" w:styleId="ListBullet5">
    <w:name w:val="List Bullet 5"/>
    <w:basedOn w:val="List5"/>
    <w:rsid w:val="00C03EC9"/>
    <w:pPr>
      <w:numPr>
        <w:numId w:val="5"/>
      </w:numPr>
    </w:pPr>
  </w:style>
  <w:style w:type="paragraph" w:styleId="ListContinue2">
    <w:name w:val="List Continue 2"/>
    <w:basedOn w:val="List2"/>
    <w:rsid w:val="00C03EC9"/>
    <w:pPr>
      <w:ind w:firstLine="0"/>
    </w:pPr>
  </w:style>
  <w:style w:type="paragraph" w:styleId="ListContinue3">
    <w:name w:val="List Continue 3"/>
    <w:basedOn w:val="List3"/>
    <w:rsid w:val="00C03EC9"/>
    <w:pPr>
      <w:ind w:left="1021" w:firstLine="0"/>
    </w:pPr>
  </w:style>
  <w:style w:type="paragraph" w:styleId="ListContinue4">
    <w:name w:val="List Continue 4"/>
    <w:basedOn w:val="List4"/>
    <w:rsid w:val="00C03EC9"/>
    <w:pPr>
      <w:ind w:firstLine="0"/>
    </w:pPr>
  </w:style>
  <w:style w:type="paragraph" w:styleId="ListContinue5">
    <w:name w:val="List Continue 5"/>
    <w:basedOn w:val="List5"/>
    <w:rsid w:val="00C03EC9"/>
    <w:pPr>
      <w:ind w:firstLine="0"/>
    </w:pPr>
  </w:style>
  <w:style w:type="paragraph" w:styleId="ListNumber3">
    <w:name w:val="List Number 3"/>
    <w:basedOn w:val="List3"/>
    <w:rsid w:val="00C03EC9"/>
    <w:pPr>
      <w:numPr>
        <w:numId w:val="6"/>
      </w:numPr>
    </w:pPr>
  </w:style>
  <w:style w:type="paragraph" w:styleId="ListNumber4">
    <w:name w:val="List Number 4"/>
    <w:basedOn w:val="List4"/>
    <w:rsid w:val="00C03EC9"/>
    <w:pPr>
      <w:numPr>
        <w:numId w:val="7"/>
      </w:numPr>
    </w:pPr>
  </w:style>
  <w:style w:type="paragraph" w:styleId="ListNumber5">
    <w:name w:val="List Number 5"/>
    <w:basedOn w:val="List5"/>
    <w:rsid w:val="00C03EC9"/>
    <w:pPr>
      <w:numPr>
        <w:numId w:val="8"/>
      </w:numPr>
    </w:pPr>
  </w:style>
  <w:style w:type="paragraph" w:styleId="BlockText">
    <w:name w:val="Block Text"/>
    <w:basedOn w:val="Normal"/>
    <w:rsid w:val="00C03EC9"/>
    <w:pPr>
      <w:spacing w:after="120"/>
      <w:ind w:left="1440" w:right="1440"/>
    </w:pPr>
  </w:style>
  <w:style w:type="character" w:customStyle="1" w:styleId="Subscript">
    <w:name w:val="Subscript"/>
    <w:basedOn w:val="DefaultParagraphFont"/>
    <w:rsid w:val="00C03EC9"/>
    <w:rPr>
      <w:sz w:val="16"/>
      <w:vertAlign w:val="subscript"/>
    </w:rPr>
  </w:style>
  <w:style w:type="character" w:customStyle="1" w:styleId="Superscript">
    <w:name w:val="Superscript"/>
    <w:basedOn w:val="DefaultParagraphFont"/>
    <w:rsid w:val="00C03EC9"/>
    <w:rPr>
      <w:sz w:val="16"/>
      <w:vertAlign w:val="superscript"/>
    </w:rPr>
  </w:style>
  <w:style w:type="character" w:customStyle="1" w:styleId="Symbols">
    <w:name w:val="Symbols"/>
    <w:basedOn w:val="DefaultParagraphFont"/>
    <w:rsid w:val="00C03EC9"/>
    <w:rPr>
      <w:rFonts w:ascii="Symbol" w:hAnsi="Symbol"/>
    </w:rPr>
  </w:style>
  <w:style w:type="character" w:customStyle="1" w:styleId="MenuOptions">
    <w:name w:val="Menu Options"/>
    <w:basedOn w:val="DefaultParagraphFont"/>
    <w:rsid w:val="00C03EC9"/>
    <w:rPr>
      <w:rFonts w:ascii="Arial Narrow" w:hAnsi="Arial Narrow"/>
      <w:smallCaps/>
    </w:rPr>
  </w:style>
  <w:style w:type="character" w:customStyle="1" w:styleId="Buttons">
    <w:name w:val="Buttons"/>
    <w:basedOn w:val="DefaultParagraphFont"/>
    <w:rsid w:val="00C03EC9"/>
    <w:rPr>
      <w:b/>
    </w:rPr>
  </w:style>
  <w:style w:type="character" w:customStyle="1" w:styleId="Underlined">
    <w:name w:val="Underlined"/>
    <w:basedOn w:val="DefaultParagraphFont"/>
    <w:rsid w:val="00C03EC9"/>
    <w:rPr>
      <w:u w:val="single"/>
    </w:rPr>
  </w:style>
  <w:style w:type="paragraph" w:customStyle="1" w:styleId="TableBodyTextRight">
    <w:name w:val="Table Body Text Right"/>
    <w:basedOn w:val="TableBodyText"/>
    <w:rsid w:val="00C03EC9"/>
    <w:pPr>
      <w:widowControl w:val="0"/>
      <w:autoSpaceDE w:val="0"/>
      <w:autoSpaceDN w:val="0"/>
      <w:adjustRightInd w:val="0"/>
      <w:jc w:val="right"/>
    </w:pPr>
    <w:rPr>
      <w:rFonts w:cs="Arial"/>
      <w:szCs w:val="18"/>
    </w:rPr>
  </w:style>
  <w:style w:type="paragraph" w:customStyle="1" w:styleId="CopyrightText">
    <w:name w:val="Copyright Text"/>
    <w:basedOn w:val="BodyText"/>
    <w:rsid w:val="00C03EC9"/>
    <w:rPr>
      <w:sz w:val="18"/>
    </w:rPr>
  </w:style>
  <w:style w:type="paragraph" w:customStyle="1" w:styleId="BodySmallRight">
    <w:name w:val="Body Small Right"/>
    <w:basedOn w:val="BodyTextRight"/>
    <w:rsid w:val="00C03EC9"/>
    <w:rPr>
      <w:sz w:val="18"/>
      <w:szCs w:val="18"/>
    </w:rPr>
  </w:style>
  <w:style w:type="paragraph" w:customStyle="1" w:styleId="MarginEdition">
    <w:name w:val="Margin Edition"/>
    <w:basedOn w:val="MarginNote"/>
    <w:rsid w:val="00C03EC9"/>
    <w:pPr>
      <w:spacing w:before="0" w:after="0"/>
    </w:pPr>
    <w:rPr>
      <w:rFonts w:ascii="Times New Roman" w:hAnsi="Times New Roman"/>
      <w:color w:val="999999"/>
    </w:rPr>
  </w:style>
  <w:style w:type="paragraph" w:customStyle="1" w:styleId="Spacer">
    <w:name w:val="Spacer"/>
    <w:basedOn w:val="Normal"/>
    <w:rsid w:val="00C03EC9"/>
    <w:rPr>
      <w:sz w:val="2"/>
      <w:szCs w:val="2"/>
    </w:rPr>
  </w:style>
  <w:style w:type="character" w:customStyle="1" w:styleId="Small">
    <w:name w:val="Small"/>
    <w:basedOn w:val="DefaultParagraphFont"/>
    <w:rsid w:val="00C03EC9"/>
    <w:rPr>
      <w:sz w:val="16"/>
    </w:rPr>
  </w:style>
  <w:style w:type="paragraph" w:customStyle="1" w:styleId="WideTable">
    <w:name w:val="Wide Table"/>
    <w:basedOn w:val="Normal"/>
    <w:rsid w:val="00C03EC9"/>
    <w:pPr>
      <w:ind w:left="-1418"/>
    </w:pPr>
    <w:rPr>
      <w:sz w:val="2"/>
      <w:szCs w:val="2"/>
    </w:rPr>
  </w:style>
  <w:style w:type="character" w:styleId="PageNumber">
    <w:name w:val="page number"/>
    <w:basedOn w:val="DefaultParagraphFont"/>
    <w:rsid w:val="00C03EC9"/>
  </w:style>
  <w:style w:type="paragraph" w:styleId="Quote">
    <w:name w:val="Quote"/>
    <w:basedOn w:val="Heading1"/>
    <w:link w:val="QuoteChar"/>
    <w:qFormat/>
    <w:rsid w:val="00C03EC9"/>
    <w:rPr>
      <w:b w:val="0"/>
      <w:sz w:val="72"/>
      <w:szCs w:val="72"/>
      <w:lang w:val="en-NZ"/>
    </w:rPr>
  </w:style>
  <w:style w:type="character" w:customStyle="1" w:styleId="QuoteChar">
    <w:name w:val="Quote Char"/>
    <w:basedOn w:val="DefaultParagraphFont"/>
    <w:link w:val="Quote"/>
    <w:rsid w:val="00C03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EC9"/>
    <w:pPr>
      <w:pageBreakBefore/>
    </w:pPr>
  </w:style>
  <w:style w:type="paragraph" w:customStyle="1" w:styleId="Border">
    <w:name w:val="Border"/>
    <w:basedOn w:val="Normal"/>
    <w:qFormat/>
    <w:rsid w:val="00C03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EC9"/>
    <w:rPr>
      <w:b/>
      <w:bCs/>
      <w:i/>
      <w:iCs/>
      <w:color w:val="auto"/>
    </w:rPr>
  </w:style>
  <w:style w:type="paragraph" w:styleId="IntenseQuote">
    <w:name w:val="Intense Quote"/>
    <w:basedOn w:val="Normal"/>
    <w:next w:val="Normal"/>
    <w:link w:val="IntenseQuoteChar"/>
    <w:uiPriority w:val="30"/>
    <w:qFormat/>
    <w:rsid w:val="00C03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E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3EC9"/>
    <w:rPr>
      <w:smallCaps/>
      <w:color w:val="auto"/>
      <w:u w:val="single"/>
    </w:rPr>
  </w:style>
  <w:style w:type="character" w:styleId="IntenseReference">
    <w:name w:val="Intense Reference"/>
    <w:basedOn w:val="DefaultParagraphFont"/>
    <w:uiPriority w:val="32"/>
    <w:qFormat/>
    <w:rsid w:val="00C03EC9"/>
    <w:rPr>
      <w:b/>
      <w:bCs/>
      <w:smallCaps/>
      <w:color w:val="auto"/>
      <w:spacing w:val="5"/>
      <w:u w:val="single"/>
    </w:rPr>
  </w:style>
  <w:style w:type="paragraph" w:customStyle="1" w:styleId="2ColumnHeading">
    <w:name w:val="2Column Heading"/>
    <w:basedOn w:val="BodyText"/>
    <w:qFormat/>
    <w:rsid w:val="00C03EC9"/>
    <w:pPr>
      <w:spacing w:after="60"/>
      <w:ind w:left="-2268"/>
    </w:pPr>
    <w:rPr>
      <w:b/>
    </w:rPr>
  </w:style>
  <w:style w:type="paragraph" w:customStyle="1" w:styleId="Heading1TOC">
    <w:name w:val="Heading1 TOC"/>
    <w:basedOn w:val="Normal"/>
    <w:qFormat/>
    <w:rsid w:val="00C03EC9"/>
    <w:pPr>
      <w:spacing w:before="240" w:after="120"/>
    </w:pPr>
    <w:rPr>
      <w:rFonts w:ascii="Times New Roman" w:hAnsi="Times New Roman"/>
      <w:b/>
      <w:sz w:val="32"/>
    </w:rPr>
  </w:style>
  <w:style w:type="paragraph" w:customStyle="1" w:styleId="Heading2TOC">
    <w:name w:val="Heading2 TOC"/>
    <w:basedOn w:val="Normal"/>
    <w:qFormat/>
    <w:rsid w:val="00C03EC9"/>
    <w:pPr>
      <w:spacing w:before="240" w:after="60"/>
    </w:pPr>
    <w:rPr>
      <w:rFonts w:ascii="Times New Roman" w:hAnsi="Times New Roman"/>
      <w:b/>
      <w:sz w:val="28"/>
    </w:rPr>
  </w:style>
  <w:style w:type="character" w:customStyle="1" w:styleId="Underline">
    <w:name w:val="Underline"/>
    <w:basedOn w:val="DefaultParagraphFont"/>
    <w:qFormat/>
    <w:rsid w:val="00C03EC9"/>
    <w:rPr>
      <w:u w:val="single"/>
    </w:rPr>
  </w:style>
  <w:style w:type="paragraph" w:styleId="BalloonText">
    <w:name w:val="Balloon Text"/>
    <w:basedOn w:val="Normal"/>
    <w:link w:val="BalloonTextChar"/>
    <w:rsid w:val="00C03EC9"/>
    <w:rPr>
      <w:rFonts w:ascii="Tahoma" w:hAnsi="Tahoma" w:cs="Tahoma"/>
      <w:sz w:val="16"/>
      <w:szCs w:val="16"/>
    </w:rPr>
  </w:style>
  <w:style w:type="character" w:customStyle="1" w:styleId="BalloonTextChar">
    <w:name w:val="Balloon Text Char"/>
    <w:basedOn w:val="DefaultParagraphFont"/>
    <w:link w:val="BalloonText"/>
    <w:rsid w:val="00C03E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3E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E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1493</Words>
  <Characters>9713</Characters>
  <Application>Microsoft Office Word</Application>
  <DocSecurity>0</DocSecurity>
  <Lines>370</Lines>
  <Paragraphs>200</Paragraphs>
  <ScaleCrop>false</ScaleCrop>
  <Company>Author-it Software Corporation Ltd.</Company>
  <LinksUpToDate>false</LinksUpToDate>
  <CharactersWithSpaces>11124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CPCCCM1014A Conduct workplace communication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