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277" w:rsidP="003E2277">
      <w:pPr>
        <w:pStyle w:val="Title"/>
      </w:pPr>
      <w:r>
        <w:fldChar w:fldCharType="begin"/>
      </w:r>
      <w:r>
        <w:instrText xml:space="preserve"> TITLE   \* MERGEFORMAT </w:instrText>
      </w:r>
      <w:r>
        <w:fldChar w:fldCharType="separate"/>
      </w:r>
      <w:r>
        <w:t>CPCCCA3017A Install exterior cladding</w:t>
      </w:r>
      <w:r>
        <w:fldChar w:fldCharType="end"/>
      </w:r>
    </w:p>
    <w:p w:rsidR="003E2277" w:rsidP="003E2277">
      <w:pPr>
        <w:pStyle w:val="Version"/>
        <w:sectPr w:rsidSect="00B63C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C80" w:rsidP="00B63C80">
      <w:pPr>
        <w:pStyle w:val="SuperHeading"/>
      </w:pPr>
      <w:r w:rsidRPr="00B63C80">
        <w:t>CPCCCA3017A Install exterior cladding</w:t>
      </w:r>
    </w:p>
    <w:p w:rsidR="00000000" w:rsidRPr="00B63C80" w:rsidP="00B63C80">
      <w:pPr>
        <w:pStyle w:val="Heading1"/>
      </w:pPr>
      <w:bookmarkStart w:id="1" w:name="O_269516"/>
      <w:bookmarkEnd w:id="1"/>
      <w:r w:rsidRPr="00B63C80">
        <w:t>Modification History</w:t>
      </w:r>
    </w:p>
    <w:p w:rsidR="00000000" w:rsidRPr="00B63C80" w:rsidP="00B63C80">
      <w:pPr>
        <w:pStyle w:val="BodyText"/>
      </w:pPr>
      <w:r w:rsidRPr="00B63C80">
        <w:t>Not Applicable</w:t>
      </w:r>
    </w:p>
    <w:p w:rsidR="00000000" w:rsidRPr="00B63C80" w:rsidP="00B63C80">
      <w:pPr>
        <w:pStyle w:val="AllowPageBreak"/>
      </w:pPr>
    </w:p>
    <w:p w:rsidR="00000000" w:rsidRPr="00B63C80" w:rsidP="00B63C80">
      <w:pPr>
        <w:pStyle w:val="Heading1"/>
      </w:pPr>
      <w:bookmarkStart w:id="2" w:name="O_197472"/>
      <w:bookmarkEnd w:id="2"/>
      <w:r w:rsidRPr="00B63C80">
        <w:t>Unit Descriptor</w:t>
      </w:r>
    </w:p>
    <w:tbl>
      <w:tblPr>
        <w:tblW w:w="0" w:type="auto"/>
        <w:tblLayout w:type="fixed"/>
        <w:tblCellMar>
          <w:left w:w="62" w:type="dxa"/>
          <w:right w:w="62" w:type="dxa"/>
        </w:tblCellMar>
        <w:tblLook w:val="0000"/>
      </w:tblPr>
      <w:tblGrid>
        <w:gridCol w:w="2624"/>
        <w:gridCol w:w="5898"/>
      </w:tblGrid>
      <w:tr w:rsidTr="003E227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Unit descriptor</w:t>
            </w:r>
          </w:p>
        </w:tc>
        <w:tc>
          <w:tcPr>
            <w:tcW w:w="5898"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 xml:space="preserve">This unit of competency specifies the outcomes required to install material finishes applied to an external framed </w:t>
            </w:r>
            <w:r w:rsidRPr="00B63C80">
              <w:t>wall surface for the purpose of weatherproofing and securing the building. It includes sheet material, weatherboarding of timber, plastic, metal and fibre cement sheet.</w:t>
            </w:r>
          </w:p>
        </w:tc>
      </w:tr>
    </w:tbl>
    <w:p w:rsidR="003E2277" w:rsidP="00B63C80">
      <w:pPr>
        <w:pStyle w:val="BodyText"/>
      </w:pPr>
    </w:p>
    <w:p w:rsidR="003E2277" w:rsidP="00B63C80">
      <w:pPr>
        <w:pStyle w:val="BodyText"/>
      </w:pPr>
    </w:p>
    <w:p w:rsidR="00000000" w:rsidRPr="00B63C80" w:rsidP="00B63C80">
      <w:pPr>
        <w:pStyle w:val="Heading1"/>
      </w:pPr>
      <w:bookmarkStart w:id="3" w:name="O_197476"/>
      <w:bookmarkEnd w:id="3"/>
      <w:r w:rsidRPr="00B63C80">
        <w:t>Application of the Unit</w:t>
      </w:r>
    </w:p>
    <w:tbl>
      <w:tblPr>
        <w:tblW w:w="0" w:type="auto"/>
        <w:tblLayout w:type="fixed"/>
        <w:tblCellMar>
          <w:left w:w="62" w:type="dxa"/>
          <w:right w:w="62" w:type="dxa"/>
        </w:tblCellMar>
        <w:tblLook w:val="0000"/>
      </w:tblPr>
      <w:tblGrid>
        <w:gridCol w:w="2696"/>
        <w:gridCol w:w="5826"/>
      </w:tblGrid>
      <w:tr w:rsidTr="003E2277">
        <w:tblPrEx>
          <w:tblW w:w="0" w:type="auto"/>
          <w:tblLayout w:type="fixed"/>
          <w:tblCellMar>
            <w:left w:w="62" w:type="dxa"/>
            <w:right w:w="62" w:type="dxa"/>
          </w:tblCellMar>
          <w:tblLook w:val="0000"/>
        </w:tblPrEx>
        <w:trPr>
          <w:tblHeader/>
        </w:trPr>
        <w:tc>
          <w:tcPr>
            <w:tcW w:w="2696"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 xml:space="preserve">This unit of competency supports achievement of skills of applying material finishes to weatherproof a building in a range of construction projects, which includes working with others and as a member of a team. </w:t>
            </w:r>
          </w:p>
        </w:tc>
      </w:tr>
    </w:tbl>
    <w:p w:rsidR="003E2277" w:rsidP="00B63C80">
      <w:pPr>
        <w:pStyle w:val="BodyText"/>
      </w:pPr>
    </w:p>
    <w:p w:rsidR="003E2277" w:rsidP="00B63C80">
      <w:pPr>
        <w:pStyle w:val="BodyText"/>
      </w:pPr>
    </w:p>
    <w:p w:rsidR="00000000" w:rsidRPr="00B63C80" w:rsidP="00B63C80">
      <w:pPr>
        <w:pStyle w:val="Heading1"/>
      </w:pPr>
      <w:bookmarkStart w:id="4" w:name="O_277776"/>
      <w:bookmarkEnd w:id="4"/>
      <w:r w:rsidRPr="00B63C80">
        <w:t>Licensing/Regulatory Inf</w:t>
      </w:r>
      <w:r w:rsidRPr="00B63C80">
        <w:t>ormation</w:t>
      </w:r>
    </w:p>
    <w:p w:rsidR="00000000" w:rsidRPr="00B63C80" w:rsidP="00B63C80">
      <w:pPr>
        <w:pStyle w:val="BodyText"/>
      </w:pPr>
      <w:r w:rsidRPr="00B63C80">
        <w:t>Not Applicable</w:t>
      </w:r>
    </w:p>
    <w:p w:rsidR="00000000" w:rsidRPr="00B63C80" w:rsidP="00B63C80">
      <w:pPr>
        <w:pStyle w:val="AllowPageBreak"/>
      </w:pPr>
    </w:p>
    <w:p w:rsidR="00000000" w:rsidRPr="00B63C80" w:rsidP="00B63C80">
      <w:pPr>
        <w:pStyle w:val="Heading1"/>
      </w:pPr>
      <w:bookmarkStart w:id="5" w:name="O_197474"/>
      <w:bookmarkEnd w:id="5"/>
      <w:r w:rsidRPr="00B63C80">
        <w:t>Pre-Requisites</w:t>
      </w:r>
    </w:p>
    <w:tbl>
      <w:tblPr>
        <w:tblW w:w="0" w:type="auto"/>
        <w:tblLayout w:type="fixed"/>
        <w:tblCellMar>
          <w:left w:w="62" w:type="dxa"/>
          <w:right w:w="62" w:type="dxa"/>
        </w:tblCellMar>
        <w:tblLook w:val="0000"/>
      </w:tblPr>
      <w:tblGrid>
        <w:gridCol w:w="2691"/>
        <w:gridCol w:w="5831"/>
      </w:tblGrid>
      <w:tr w:rsidTr="003E2277">
        <w:tblPrEx>
          <w:tblW w:w="0" w:type="auto"/>
          <w:tblLayout w:type="fixed"/>
          <w:tblCellMar>
            <w:left w:w="62" w:type="dxa"/>
            <w:right w:w="62" w:type="dxa"/>
          </w:tblCellMar>
          <w:tblLook w:val="0000"/>
        </w:tblPrEx>
        <w:trPr>
          <w:tblHeader/>
        </w:trPr>
        <w:tc>
          <w:tcPr>
            <w:tcW w:w="2691"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Prerequisite units</w:t>
            </w:r>
          </w:p>
        </w:tc>
        <w:tc>
          <w:tcPr>
            <w:tcW w:w="5831"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CPCCOHS2001A Apply OHS requirements, policies and procedures in the construction industry</w:t>
            </w:r>
          </w:p>
        </w:tc>
      </w:tr>
    </w:tbl>
    <w:p w:rsidR="003E2277" w:rsidP="00B63C80">
      <w:pPr>
        <w:pStyle w:val="BodyText"/>
      </w:pPr>
    </w:p>
    <w:p w:rsidR="003E2277" w:rsidP="00B63C80">
      <w:pPr>
        <w:pStyle w:val="BodyText"/>
      </w:pPr>
    </w:p>
    <w:p w:rsidR="00000000" w:rsidRPr="00B63C80" w:rsidP="00B63C80">
      <w:pPr>
        <w:pStyle w:val="Heading1"/>
      </w:pPr>
      <w:bookmarkStart w:id="6" w:name="O_197473"/>
      <w:bookmarkEnd w:id="6"/>
      <w:r w:rsidRPr="00B63C80">
        <w:t>Employability Skills Information</w:t>
      </w:r>
    </w:p>
    <w:tbl>
      <w:tblPr>
        <w:tblW w:w="0" w:type="auto"/>
        <w:tblLayout w:type="fixed"/>
        <w:tblCellMar>
          <w:left w:w="62" w:type="dxa"/>
          <w:right w:w="62" w:type="dxa"/>
        </w:tblCellMar>
        <w:tblLook w:val="0000"/>
      </w:tblPr>
      <w:tblGrid>
        <w:gridCol w:w="2730"/>
        <w:gridCol w:w="5792"/>
      </w:tblGrid>
      <w:tr w:rsidTr="003E2277">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This unit contains employability skills.</w:t>
            </w:r>
          </w:p>
        </w:tc>
      </w:tr>
    </w:tbl>
    <w:p w:rsidR="003E2277" w:rsidP="00B63C80">
      <w:pPr>
        <w:pStyle w:val="BodyText"/>
      </w:pPr>
    </w:p>
    <w:p w:rsidR="003E2277" w:rsidP="00B63C80">
      <w:pPr>
        <w:pStyle w:val="BodyText"/>
      </w:pPr>
    </w:p>
    <w:p w:rsidR="00000000" w:rsidRPr="00B63C80" w:rsidP="00B63C80">
      <w:pPr>
        <w:pStyle w:val="Heading1"/>
      </w:pPr>
      <w:bookmarkStart w:id="7" w:name="O_287562"/>
      <w:bookmarkEnd w:id="7"/>
      <w:r w:rsidRPr="00B63C80">
        <w:t>Elements and Performance Criteria Pre-Content</w:t>
      </w:r>
    </w:p>
    <w:tbl>
      <w:tblPr>
        <w:tblW w:w="0" w:type="auto"/>
        <w:tblLayout w:type="fixed"/>
        <w:tblCellMar>
          <w:left w:w="62" w:type="dxa"/>
          <w:right w:w="62" w:type="dxa"/>
        </w:tblCellMar>
        <w:tblLook w:val="0000"/>
      </w:tblPr>
      <w:tblGrid>
        <w:gridCol w:w="2580"/>
        <w:gridCol w:w="5942"/>
      </w:tblGrid>
      <w:tr w:rsidTr="003E2277">
        <w:tblPrEx>
          <w:tblW w:w="0" w:type="auto"/>
          <w:tblLayout w:type="fixed"/>
          <w:tblCellMar>
            <w:left w:w="62" w:type="dxa"/>
            <w:right w:w="62" w:type="dxa"/>
          </w:tblCellMar>
          <w:tblLook w:val="0000"/>
        </w:tblPrEx>
        <w:tc>
          <w:tcPr>
            <w:tcW w:w="2580" w:type="dxa"/>
            <w:tcBorders>
              <w:top w:val="single" w:sz="6" w:space="0" w:color="auto"/>
              <w:left w:val="nil"/>
              <w:bottom w:val="nil"/>
              <w:right w:val="nil"/>
            </w:tcBorders>
            <w:tcMar>
              <w:top w:w="0" w:type="dxa"/>
              <w:left w:w="62" w:type="dxa"/>
              <w:bottom w:w="0" w:type="dxa"/>
              <w:right w:w="62" w:type="dxa"/>
            </w:tcMar>
          </w:tcPr>
          <w:p w:rsidR="00000000" w:rsidP="00B63C80">
            <w:pPr>
              <w:pStyle w:val="BodyText"/>
              <w:rPr>
                <w:lang w:val="en-NZ"/>
              </w:rPr>
            </w:pPr>
            <w:r w:rsidRPr="00B63C80">
              <w:t>Elements describe the essential outcomes of a unit of competency.</w:t>
            </w:r>
          </w:p>
        </w:tc>
        <w:tc>
          <w:tcPr>
            <w:tcW w:w="5942" w:type="dxa"/>
            <w:tcBorders>
              <w:top w:val="single" w:sz="6" w:space="0" w:color="auto"/>
              <w:left w:val="nil"/>
              <w:bottom w:val="nil"/>
              <w:right w:val="nil"/>
            </w:tcBorders>
            <w:tcMar>
              <w:top w:w="0" w:type="dxa"/>
              <w:left w:w="62" w:type="dxa"/>
              <w:bottom w:w="0" w:type="dxa"/>
              <w:right w:w="62" w:type="dxa"/>
            </w:tcMar>
          </w:tcPr>
          <w:p w:rsidR="00000000" w:rsidRPr="00B63C80" w:rsidP="00B63C80">
            <w:pPr>
              <w:pStyle w:val="BodyText"/>
            </w:pPr>
            <w:r w:rsidRPr="00B63C80">
              <w:t xml:space="preserve">Performance criteria describe the performance needed to demonstrate achievement of </w:t>
            </w:r>
            <w:r w:rsidRPr="00B63C80">
              <w:t>the element. Where bold italicised text is used, further information is detailed in the required skills and knowledge section and the range statement. Assessment of performance is to be consistent with the evidence guide.</w:t>
            </w:r>
          </w:p>
        </w:tc>
      </w:tr>
    </w:tbl>
    <w:p w:rsidR="00000000" w:rsidRPr="00B63C80" w:rsidP="00B63C80">
      <w:pPr>
        <w:pStyle w:val="BodyText"/>
      </w:pPr>
    </w:p>
    <w:p w:rsidR="00000000" w:rsidRPr="00B63C80" w:rsidP="00B63C80">
      <w:pPr>
        <w:pStyle w:val="AllowPageBreak"/>
      </w:pPr>
    </w:p>
    <w:p w:rsidR="00000000" w:rsidRPr="00B63C80" w:rsidP="00B63C80">
      <w:pPr>
        <w:pStyle w:val="Heading1"/>
      </w:pPr>
      <w:bookmarkStart w:id="8" w:name="O_234229"/>
      <w:bookmarkEnd w:id="8"/>
      <w:r w:rsidRPr="00B63C80">
        <w:t>Elements and Performance Criteria</w:t>
      </w:r>
    </w:p>
    <w:tbl>
      <w:tblPr>
        <w:tblW w:w="0" w:type="auto"/>
        <w:tblLayout w:type="fixed"/>
        <w:tblCellMar>
          <w:left w:w="62" w:type="dxa"/>
          <w:right w:w="62" w:type="dxa"/>
        </w:tblCellMar>
        <w:tblLook w:val="0000"/>
      </w:tblPr>
      <w:tblGrid>
        <w:gridCol w:w="2580"/>
        <w:gridCol w:w="5942"/>
      </w:tblGrid>
      <w:tr w:rsidTr="003E2277">
        <w:tblPrEx>
          <w:tblW w:w="0" w:type="auto"/>
          <w:tblLayout w:type="fixed"/>
          <w:tblCellMar>
            <w:left w:w="62" w:type="dxa"/>
            <w:right w:w="62" w:type="dxa"/>
          </w:tblCellMar>
          <w:tblLook w:val="0000"/>
        </w:tblPrEx>
        <w:trPr>
          <w:tblHeader/>
        </w:trPr>
        <w:tc>
          <w:tcPr>
            <w:tcW w:w="2580" w:type="dxa"/>
            <w:tcBorders>
              <w:top w:val="nil"/>
              <w:left w:val="nil"/>
              <w:bottom w:val="single" w:sz="6" w:space="0" w:color="auto"/>
              <w:right w:val="nil"/>
            </w:tcBorders>
            <w:tcMar>
              <w:top w:w="0" w:type="dxa"/>
              <w:left w:w="62" w:type="dxa"/>
              <w:bottom w:w="0" w:type="dxa"/>
              <w:right w:w="62" w:type="dxa"/>
            </w:tcMar>
          </w:tcPr>
          <w:p w:rsidR="00000000" w:rsidRPr="00B63C80" w:rsidP="00B63C80">
            <w:pPr>
              <w:pStyle w:val="BodyText"/>
            </w:pPr>
            <w:r w:rsidRPr="00B63C80">
              <w:rPr>
                <w:rStyle w:val="SpecialBold"/>
              </w:rPr>
              <w:t>ELEMENT</w:t>
            </w:r>
          </w:p>
        </w:tc>
        <w:tc>
          <w:tcPr>
            <w:tcW w:w="5942" w:type="dxa"/>
            <w:tcBorders>
              <w:top w:val="nil"/>
              <w:left w:val="nil"/>
              <w:bottom w:val="single" w:sz="6" w:space="0" w:color="auto"/>
              <w:right w:val="nil"/>
            </w:tcBorders>
            <w:tcMar>
              <w:top w:w="0" w:type="dxa"/>
              <w:left w:w="62" w:type="dxa"/>
              <w:bottom w:w="0" w:type="dxa"/>
              <w:right w:w="62" w:type="dxa"/>
            </w:tcMar>
          </w:tcPr>
          <w:p w:rsidR="00000000" w:rsidP="00B63C80">
            <w:pPr>
              <w:pStyle w:val="BodyText"/>
              <w:rPr>
                <w:lang w:val="en-NZ"/>
              </w:rPr>
            </w:pPr>
            <w:r w:rsidRPr="00B63C80">
              <w:rPr>
                <w:rStyle w:val="SpecialBold"/>
              </w:rPr>
              <w:t>PERFORMANCE CRITERIA</w:t>
            </w:r>
          </w:p>
        </w:tc>
      </w:tr>
      <w:tr w:rsidTr="003E227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63C80">
            <w:pPr>
              <w:pStyle w:val="List"/>
              <w:rPr>
                <w:lang w:val="en-NZ"/>
              </w:rPr>
            </w:pPr>
            <w:r w:rsidRPr="00B63C80">
              <w:t>1.</w:t>
            </w:r>
            <w:r w:rsidRPr="00B63C80">
              <w:tab/>
              <w:t>Plan and prepare.</w:t>
            </w:r>
          </w:p>
        </w:tc>
        <w:tc>
          <w:tcPr>
            <w:tcW w:w="5942" w:type="dxa"/>
            <w:tcBorders>
              <w:top w:val="nil"/>
              <w:left w:val="nil"/>
              <w:bottom w:val="nil"/>
              <w:right w:val="nil"/>
            </w:tcBorders>
            <w:tcMar>
              <w:top w:w="0" w:type="dxa"/>
              <w:left w:w="62" w:type="dxa"/>
              <w:bottom w:w="0" w:type="dxa"/>
              <w:right w:w="62" w:type="dxa"/>
            </w:tcMar>
          </w:tcPr>
          <w:p w:rsidR="00000000" w:rsidRPr="00B63C80" w:rsidP="00B63C80">
            <w:pPr>
              <w:pStyle w:val="List2"/>
            </w:pPr>
            <w:r w:rsidRPr="00B63C80">
              <w:t>1.1.</w:t>
            </w:r>
            <w:r w:rsidRPr="00B63C80">
              <w:tab/>
              <w:t xml:space="preserve">Work instructions, including plans, specifications, quality requirements and operational details, are obtained, confirmed and applied from relevant </w:t>
            </w:r>
            <w:r w:rsidRPr="00B63C80">
              <w:rPr>
                <w:rStyle w:val="BoldandItalics"/>
              </w:rPr>
              <w:t>information</w:t>
            </w:r>
            <w:r w:rsidRPr="00B63C80">
              <w:t xml:space="preserve"> for </w:t>
            </w:r>
            <w:r w:rsidRPr="00B63C80">
              <w:rPr>
                <w:rStyle w:val="BoldandItalics"/>
              </w:rPr>
              <w:t>pl</w:t>
            </w:r>
            <w:r w:rsidRPr="00B63C80">
              <w:rPr>
                <w:rStyle w:val="BoldandItalics"/>
              </w:rPr>
              <w:t>anning and preparation</w:t>
            </w:r>
            <w:r w:rsidRPr="00B63C80">
              <w:t xml:space="preserve"> purposes. </w:t>
            </w:r>
          </w:p>
          <w:p w:rsidR="00000000" w:rsidRPr="00B63C80" w:rsidP="00B63C80">
            <w:pPr>
              <w:pStyle w:val="List2"/>
            </w:pPr>
            <w:r w:rsidRPr="00B63C80">
              <w:t>1.2.</w:t>
            </w:r>
            <w:r w:rsidRPr="00B63C80">
              <w:tab/>
            </w:r>
            <w:r w:rsidRPr="00B63C80">
              <w:rPr>
                <w:rStyle w:val="BoldandItalics"/>
              </w:rPr>
              <w:t>Safety</w:t>
            </w:r>
            <w:r w:rsidRPr="00B63C80">
              <w:t xml:space="preserve"> (</w:t>
            </w:r>
            <w:r w:rsidRPr="00B63C80">
              <w:rPr>
                <w:rStyle w:val="BoldandItalics"/>
              </w:rPr>
              <w:t>OHS</w:t>
            </w:r>
            <w:r w:rsidRPr="00B63C80">
              <w:t xml:space="preserve">) requirements are followed in accordance with safety plans and policies. </w:t>
            </w:r>
          </w:p>
          <w:p w:rsidR="00000000" w:rsidRPr="00B63C80" w:rsidP="00B63C80">
            <w:pPr>
              <w:pStyle w:val="List2"/>
            </w:pPr>
            <w:r w:rsidRPr="00B63C80">
              <w:t>1.3.</w:t>
            </w:r>
            <w:r w:rsidRPr="00B63C80">
              <w:tab/>
              <w:t>Signage and barricade requirements are identified and implemented.</w:t>
            </w:r>
          </w:p>
          <w:p w:rsidR="00000000" w:rsidRPr="00B63C80" w:rsidP="00B63C80">
            <w:pPr>
              <w:pStyle w:val="List2"/>
            </w:pPr>
            <w:r w:rsidRPr="00B63C80">
              <w:t>1.4.</w:t>
            </w:r>
            <w:r w:rsidRPr="00B63C80">
              <w:tab/>
              <w:t xml:space="preserve">Plant, </w:t>
            </w:r>
            <w:r w:rsidRPr="00B63C80">
              <w:rPr>
                <w:rStyle w:val="BoldandItalics"/>
              </w:rPr>
              <w:t>tools and equipment</w:t>
            </w:r>
            <w:r w:rsidRPr="00B63C80">
              <w:t xml:space="preserve"> selected to carry out tasks are consistent with job requirements, checked for serviceability, and any faults are rectified or reported prior to commencement. </w:t>
            </w:r>
          </w:p>
          <w:p w:rsidR="00000000" w:rsidRPr="00B63C80" w:rsidP="00B63C80">
            <w:pPr>
              <w:pStyle w:val="List2"/>
            </w:pPr>
            <w:r w:rsidRPr="00B63C80">
              <w:t>1.5.</w:t>
            </w:r>
            <w:r w:rsidRPr="00B63C80">
              <w:tab/>
              <w:t xml:space="preserve">Material quantity requirements are calculated in accordance with plans, specifications and </w:t>
            </w:r>
            <w:r w:rsidRPr="00B63C80">
              <w:rPr>
                <w:rStyle w:val="BoldandItalics"/>
              </w:rPr>
              <w:t>quality requirements</w:t>
            </w:r>
            <w:r w:rsidRPr="00B63C80">
              <w:t xml:space="preserve">. </w:t>
            </w:r>
          </w:p>
          <w:p w:rsidR="00000000" w:rsidRPr="00B63C80" w:rsidP="00B63C80">
            <w:pPr>
              <w:pStyle w:val="List2"/>
            </w:pPr>
            <w:r w:rsidRPr="00B63C80">
              <w:t>1.6.</w:t>
            </w:r>
            <w:r w:rsidRPr="00B63C80">
              <w:tab/>
            </w:r>
            <w:r w:rsidRPr="00B63C80">
              <w:rPr>
                <w:rStyle w:val="BoldandItalics"/>
              </w:rPr>
              <w:t>Materials</w:t>
            </w:r>
            <w:r w:rsidRPr="00B63C80">
              <w:t xml:space="preserve"> appropriate to the work application are identified, obtained, prepared, safely handled and located ready for use. </w:t>
            </w:r>
          </w:p>
          <w:p w:rsidR="00000000" w:rsidP="00B63C80">
            <w:pPr>
              <w:pStyle w:val="List2"/>
              <w:rPr>
                <w:lang w:val="en-NZ"/>
              </w:rPr>
            </w:pPr>
            <w:r w:rsidRPr="00B63C80">
              <w:t>1.7.</w:t>
            </w:r>
            <w:r w:rsidRPr="00B63C80">
              <w:tab/>
            </w:r>
            <w:r w:rsidRPr="00B63C80">
              <w:rPr>
                <w:rStyle w:val="BoldandItalics"/>
              </w:rPr>
              <w:t>Environmental requirements</w:t>
            </w:r>
            <w:r w:rsidRPr="00B63C80">
              <w:t xml:space="preserve"> are identified for the project in accordance with environmental plans a</w:t>
            </w:r>
            <w:r w:rsidRPr="00B63C80">
              <w:t xml:space="preserve">nd </w:t>
            </w:r>
            <w:r w:rsidRPr="00B63C80">
              <w:rPr>
                <w:rStyle w:val="BoldandItalics"/>
              </w:rPr>
              <w:t>statutory and regulatory authority</w:t>
            </w:r>
            <w:r w:rsidRPr="00B63C80">
              <w:t xml:space="preserve"> obligations, and are applied. </w:t>
            </w:r>
          </w:p>
        </w:tc>
      </w:tr>
      <w:tr w:rsidTr="003E227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63C80">
            <w:pPr>
              <w:pStyle w:val="List"/>
              <w:rPr>
                <w:lang w:val="en-NZ"/>
              </w:rPr>
            </w:pPr>
            <w:r w:rsidRPr="00B63C80">
              <w:t>2.</w:t>
            </w:r>
            <w:r w:rsidRPr="00B63C80">
              <w:tab/>
              <w:t>Straighten and prepare exterior walls.</w:t>
            </w:r>
          </w:p>
        </w:tc>
        <w:tc>
          <w:tcPr>
            <w:tcW w:w="5942" w:type="dxa"/>
            <w:tcBorders>
              <w:top w:val="nil"/>
              <w:left w:val="nil"/>
              <w:bottom w:val="nil"/>
              <w:right w:val="nil"/>
            </w:tcBorders>
            <w:tcMar>
              <w:top w:w="0" w:type="dxa"/>
              <w:left w:w="62" w:type="dxa"/>
              <w:bottom w:w="0" w:type="dxa"/>
              <w:right w:w="62" w:type="dxa"/>
            </w:tcMar>
          </w:tcPr>
          <w:p w:rsidR="00000000" w:rsidRPr="00B63C80" w:rsidP="00B63C80">
            <w:pPr>
              <w:pStyle w:val="List2"/>
            </w:pPr>
            <w:r w:rsidRPr="00B63C80">
              <w:t>2.1.</w:t>
            </w:r>
            <w:r w:rsidRPr="00B63C80">
              <w:tab/>
              <w:t>Timber frame is checked for straightness and studs are trimmed or packed to provide true surface across studs.</w:t>
            </w:r>
          </w:p>
          <w:p w:rsidR="00000000" w:rsidP="00B63C80">
            <w:pPr>
              <w:pStyle w:val="List2"/>
              <w:rPr>
                <w:lang w:val="en-NZ"/>
              </w:rPr>
            </w:pPr>
            <w:r w:rsidRPr="00B63C80">
              <w:t>2.2.</w:t>
            </w:r>
            <w:r w:rsidRPr="00B63C80">
              <w:tab/>
              <w:t>Additional rows of nogg</w:t>
            </w:r>
            <w:r w:rsidRPr="00B63C80">
              <w:t xml:space="preserve">ing are fitted and fixed to line, flush with wall face and plumb, where specified to facilitate </w:t>
            </w:r>
            <w:r w:rsidRPr="00B63C80">
              <w:rPr>
                <w:rStyle w:val="BoldandItalics"/>
              </w:rPr>
              <w:t>exterior cladding</w:t>
            </w:r>
            <w:r w:rsidRPr="00B63C80">
              <w:t>.</w:t>
            </w:r>
          </w:p>
        </w:tc>
      </w:tr>
      <w:tr w:rsidTr="003E227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63C80">
            <w:pPr>
              <w:pStyle w:val="List"/>
              <w:rPr>
                <w:lang w:val="en-NZ"/>
              </w:rPr>
            </w:pPr>
            <w:r w:rsidRPr="00B63C80">
              <w:t>3.</w:t>
            </w:r>
            <w:r w:rsidRPr="00B63C80">
              <w:tab/>
              <w:t>Fix edge finishing, flashing and insulation.</w:t>
            </w:r>
          </w:p>
        </w:tc>
        <w:tc>
          <w:tcPr>
            <w:tcW w:w="5942" w:type="dxa"/>
            <w:tcBorders>
              <w:top w:val="nil"/>
              <w:left w:val="nil"/>
              <w:bottom w:val="nil"/>
              <w:right w:val="nil"/>
            </w:tcBorders>
            <w:tcMar>
              <w:top w:w="0" w:type="dxa"/>
              <w:left w:w="62" w:type="dxa"/>
              <w:bottom w:w="0" w:type="dxa"/>
              <w:right w:w="62" w:type="dxa"/>
            </w:tcMar>
          </w:tcPr>
          <w:p w:rsidR="00000000" w:rsidRPr="00B63C80" w:rsidP="00B63C80">
            <w:pPr>
              <w:pStyle w:val="List2"/>
            </w:pPr>
            <w:r w:rsidRPr="00B63C80">
              <w:t>3.1.</w:t>
            </w:r>
            <w:r w:rsidRPr="00B63C80">
              <w:tab/>
            </w:r>
            <w:r w:rsidRPr="00B63C80">
              <w:rPr>
                <w:rStyle w:val="BoldandItalics"/>
              </w:rPr>
              <w:t>Weatherproofing</w:t>
            </w:r>
            <w:r w:rsidRPr="00B63C80">
              <w:t xml:space="preserve">, </w:t>
            </w:r>
            <w:r w:rsidRPr="00B63C80">
              <w:rPr>
                <w:rStyle w:val="BoldandItalics"/>
              </w:rPr>
              <w:t>vapour barrier and flashing</w:t>
            </w:r>
            <w:r w:rsidRPr="00B63C80">
              <w:t xml:space="preserve"> material are cut and fitted into position </w:t>
            </w:r>
            <w:r w:rsidRPr="00B63C80">
              <w:t xml:space="preserve">and secured to specifications. </w:t>
            </w:r>
          </w:p>
          <w:p w:rsidR="00000000" w:rsidRPr="00B63C80" w:rsidP="00B63C80">
            <w:pPr>
              <w:pStyle w:val="List2"/>
            </w:pPr>
            <w:r w:rsidRPr="00B63C80">
              <w:t>3.2.</w:t>
            </w:r>
            <w:r w:rsidRPr="00B63C80">
              <w:tab/>
              <w:t>Location of edge finishing, joiners, corner moulds and flashing is prepared to length and position, and secured to specifications.</w:t>
            </w:r>
          </w:p>
          <w:p w:rsidR="00000000" w:rsidP="00B63C80">
            <w:pPr>
              <w:pStyle w:val="List2"/>
              <w:rPr>
                <w:lang w:val="en-NZ"/>
              </w:rPr>
            </w:pPr>
            <w:r w:rsidRPr="00B63C80">
              <w:t>3.3.</w:t>
            </w:r>
            <w:r w:rsidRPr="00B63C80">
              <w:tab/>
              <w:t>Wall insulation is cut and fixed where specified.</w:t>
            </w:r>
          </w:p>
        </w:tc>
      </w:tr>
      <w:tr w:rsidTr="003E227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63C80">
            <w:pPr>
              <w:pStyle w:val="List"/>
              <w:rPr>
                <w:lang w:val="en-NZ"/>
              </w:rPr>
            </w:pPr>
            <w:r w:rsidRPr="00B63C80">
              <w:t>4.</w:t>
            </w:r>
            <w:r w:rsidRPr="00B63C80">
              <w:tab/>
              <w:t>Set out, cut and fix horizont</w:t>
            </w:r>
            <w:r w:rsidRPr="00B63C80">
              <w:t>al weatherboards.</w:t>
            </w:r>
          </w:p>
        </w:tc>
        <w:tc>
          <w:tcPr>
            <w:tcW w:w="5942" w:type="dxa"/>
            <w:tcBorders>
              <w:top w:val="nil"/>
              <w:left w:val="nil"/>
              <w:bottom w:val="nil"/>
              <w:right w:val="nil"/>
            </w:tcBorders>
            <w:tcMar>
              <w:top w:w="0" w:type="dxa"/>
              <w:left w:w="62" w:type="dxa"/>
              <w:bottom w:w="0" w:type="dxa"/>
              <w:right w:w="62" w:type="dxa"/>
            </w:tcMar>
          </w:tcPr>
          <w:p w:rsidR="00000000" w:rsidRPr="00B63C80" w:rsidP="00B63C80">
            <w:pPr>
              <w:pStyle w:val="List2"/>
            </w:pPr>
            <w:r w:rsidRPr="00B63C80">
              <w:t>4.1.</w:t>
            </w:r>
            <w:r w:rsidRPr="00B63C80">
              <w:tab/>
              <w:t xml:space="preserve">Cover for </w:t>
            </w:r>
            <w:r w:rsidRPr="00B63C80">
              <w:rPr>
                <w:rStyle w:val="BoldandItalics"/>
              </w:rPr>
              <w:t>weatherboards</w:t>
            </w:r>
            <w:r w:rsidRPr="00B63C80">
              <w:t xml:space="preserve"> is determined from recommended lap, type and profile of board and height of wall. </w:t>
            </w:r>
          </w:p>
          <w:p w:rsidR="00000000" w:rsidRPr="00B63C80" w:rsidP="00B63C80">
            <w:pPr>
              <w:pStyle w:val="List2"/>
            </w:pPr>
            <w:r w:rsidRPr="00B63C80">
              <w:t>4.2.</w:t>
            </w:r>
            <w:r w:rsidRPr="00B63C80">
              <w:tab/>
              <w:t>Gauge rod is produced.</w:t>
            </w:r>
          </w:p>
          <w:p w:rsidR="00000000" w:rsidRPr="00B63C80" w:rsidP="00B63C80">
            <w:pPr>
              <w:pStyle w:val="List2"/>
            </w:pPr>
            <w:r w:rsidRPr="00B63C80">
              <w:t>4.3.</w:t>
            </w:r>
            <w:r w:rsidRPr="00B63C80">
              <w:tab/>
            </w:r>
            <w:r w:rsidRPr="00B63C80">
              <w:t>Stop locations of each board or starting board are marked on face to determined or specified position.</w:t>
            </w:r>
          </w:p>
          <w:p w:rsidR="00000000" w:rsidRPr="00B63C80" w:rsidP="00B63C80">
            <w:pPr>
              <w:pStyle w:val="List2"/>
            </w:pPr>
            <w:r w:rsidRPr="00B63C80">
              <w:t>4.4.</w:t>
            </w:r>
            <w:r w:rsidRPr="00B63C80">
              <w:tab/>
              <w:t>Boards are cut to fit length of wall faces.</w:t>
            </w:r>
          </w:p>
          <w:p w:rsidR="00000000" w:rsidRPr="00B63C80" w:rsidP="00B63C80">
            <w:pPr>
              <w:pStyle w:val="List2"/>
            </w:pPr>
            <w:r w:rsidRPr="00B63C80">
              <w:t>4.5.</w:t>
            </w:r>
            <w:r w:rsidRPr="00B63C80">
              <w:tab/>
              <w:t>Butt joints of timber boards are joined at centre of studs with joint flush to face and line.</w:t>
            </w:r>
          </w:p>
          <w:p w:rsidR="00000000" w:rsidRPr="00B63C80" w:rsidP="00B63C80">
            <w:pPr>
              <w:pStyle w:val="List2"/>
            </w:pPr>
            <w:r w:rsidRPr="00B63C80">
              <w:t>4.6.</w:t>
            </w:r>
            <w:r w:rsidRPr="00B63C80">
              <w:tab/>
            </w:r>
            <w:r w:rsidRPr="00B63C80">
              <w:t>Other boards are joined using manufacturer recommended joining profiles and fitted to specification.</w:t>
            </w:r>
          </w:p>
          <w:p w:rsidR="00000000" w:rsidRPr="00B63C80" w:rsidP="00B63C80">
            <w:pPr>
              <w:pStyle w:val="List2"/>
            </w:pPr>
            <w:r w:rsidRPr="00B63C80">
              <w:t>4.7.</w:t>
            </w:r>
            <w:r w:rsidRPr="00B63C80">
              <w:tab/>
              <w:t>Material is pre-drilled subject to splitting, and fixed at end junction or butt joints to avoid splitting.</w:t>
            </w:r>
          </w:p>
          <w:p w:rsidR="00000000" w:rsidRPr="00B63C80" w:rsidP="00B63C80">
            <w:pPr>
              <w:pStyle w:val="List2"/>
            </w:pPr>
            <w:r w:rsidRPr="00B63C80">
              <w:t>4.8.</w:t>
            </w:r>
            <w:r w:rsidRPr="00B63C80">
              <w:tab/>
              <w:t>Internal and external corners are fini</w:t>
            </w:r>
            <w:r w:rsidRPr="00B63C80">
              <w:t>shed to manufacturer recommendations and job specifications.</w:t>
            </w:r>
          </w:p>
          <w:p w:rsidR="00000000" w:rsidP="00B63C80">
            <w:pPr>
              <w:pStyle w:val="List2"/>
              <w:rPr>
                <w:lang w:val="en-NZ"/>
              </w:rPr>
            </w:pPr>
            <w:r w:rsidRPr="00B63C80">
              <w:t>4.9.</w:t>
            </w:r>
            <w:r w:rsidRPr="00B63C80">
              <w:tab/>
              <w:t>Timber weatherboards, where specified, are prepared with nominated primer to cover overlaps and end joints.</w:t>
            </w:r>
          </w:p>
        </w:tc>
      </w:tr>
      <w:tr w:rsidTr="003E227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63C80">
            <w:pPr>
              <w:pStyle w:val="List"/>
              <w:rPr>
                <w:lang w:val="en-NZ"/>
              </w:rPr>
            </w:pPr>
            <w:r w:rsidRPr="00B63C80">
              <w:t>5.</w:t>
            </w:r>
            <w:r w:rsidRPr="00B63C80">
              <w:tab/>
              <w:t>Fix panelling.</w:t>
            </w:r>
          </w:p>
        </w:tc>
        <w:tc>
          <w:tcPr>
            <w:tcW w:w="5942" w:type="dxa"/>
            <w:tcBorders>
              <w:top w:val="nil"/>
              <w:left w:val="nil"/>
              <w:bottom w:val="nil"/>
              <w:right w:val="nil"/>
            </w:tcBorders>
            <w:tcMar>
              <w:top w:w="0" w:type="dxa"/>
              <w:left w:w="62" w:type="dxa"/>
              <w:bottom w:w="0" w:type="dxa"/>
              <w:right w:w="62" w:type="dxa"/>
            </w:tcMar>
          </w:tcPr>
          <w:p w:rsidR="00000000" w:rsidRPr="00B63C80" w:rsidP="00B63C80">
            <w:pPr>
              <w:pStyle w:val="List2"/>
            </w:pPr>
            <w:r w:rsidRPr="00B63C80">
              <w:t>5.1.</w:t>
            </w:r>
            <w:r w:rsidRPr="00B63C80">
              <w:tab/>
              <w:t>Starting position of first panel is determined in accordan</w:t>
            </w:r>
            <w:r w:rsidRPr="00B63C80">
              <w:t>ce with specified design and finished effect against windows, doors and corners.</w:t>
            </w:r>
          </w:p>
          <w:p w:rsidR="00000000" w:rsidRPr="00B63C80" w:rsidP="00B63C80">
            <w:pPr>
              <w:pStyle w:val="List2"/>
            </w:pPr>
            <w:r w:rsidRPr="00B63C80">
              <w:t>5.2.</w:t>
            </w:r>
            <w:r w:rsidRPr="00B63C80">
              <w:tab/>
              <w:t>Panelling is cut to fit height of wall.</w:t>
            </w:r>
          </w:p>
          <w:p w:rsidR="00000000" w:rsidRPr="00B63C80" w:rsidP="00B63C80">
            <w:pPr>
              <w:pStyle w:val="List2"/>
            </w:pPr>
            <w:r w:rsidRPr="00B63C80">
              <w:t>5.3.</w:t>
            </w:r>
            <w:r w:rsidRPr="00B63C80">
              <w:tab/>
              <w:t>Abutting joints of panelling are fixed to manufacturer specification and requirements for covering flashing.</w:t>
            </w:r>
          </w:p>
          <w:p w:rsidR="00000000" w:rsidP="00B63C80">
            <w:pPr>
              <w:pStyle w:val="List2"/>
              <w:rPr>
                <w:lang w:val="en-NZ"/>
              </w:rPr>
            </w:pPr>
            <w:r w:rsidRPr="00B63C80">
              <w:t>5.4.</w:t>
            </w:r>
            <w:r w:rsidRPr="00B63C80">
              <w:tab/>
              <w:t>Panelling i</w:t>
            </w:r>
            <w:r w:rsidRPr="00B63C80">
              <w:t>s cut, fitted and fixed to manufacturer recommendations and job specification, maintaining plumb and level.</w:t>
            </w:r>
          </w:p>
        </w:tc>
      </w:tr>
      <w:tr w:rsidTr="003E2277">
        <w:tblPrEx>
          <w:tblW w:w="0" w:type="auto"/>
          <w:tblLayout w:type="fixed"/>
          <w:tblCellMar>
            <w:left w:w="62" w:type="dxa"/>
            <w:right w:w="62" w:type="dxa"/>
          </w:tblCellMar>
          <w:tblLook w:val="0000"/>
        </w:tblPrEx>
        <w:tc>
          <w:tcPr>
            <w:tcW w:w="2580" w:type="dxa"/>
            <w:tcBorders>
              <w:top w:val="nil"/>
              <w:left w:val="nil"/>
              <w:bottom w:val="nil"/>
              <w:right w:val="nil"/>
            </w:tcBorders>
            <w:tcMar>
              <w:top w:w="0" w:type="dxa"/>
              <w:left w:w="62" w:type="dxa"/>
              <w:bottom w:w="0" w:type="dxa"/>
              <w:right w:w="62" w:type="dxa"/>
            </w:tcMar>
          </w:tcPr>
          <w:p w:rsidR="00000000" w:rsidP="00B63C80">
            <w:pPr>
              <w:pStyle w:val="List"/>
              <w:rPr>
                <w:lang w:val="en-NZ"/>
              </w:rPr>
            </w:pPr>
            <w:r w:rsidRPr="00B63C80">
              <w:t>6.</w:t>
            </w:r>
            <w:r w:rsidRPr="00B63C80">
              <w:tab/>
              <w:t>Clean up.</w:t>
            </w:r>
          </w:p>
        </w:tc>
        <w:tc>
          <w:tcPr>
            <w:tcW w:w="5942" w:type="dxa"/>
            <w:tcBorders>
              <w:top w:val="nil"/>
              <w:left w:val="nil"/>
              <w:bottom w:val="nil"/>
              <w:right w:val="nil"/>
            </w:tcBorders>
            <w:tcMar>
              <w:top w:w="0" w:type="dxa"/>
              <w:left w:w="62" w:type="dxa"/>
              <w:bottom w:w="0" w:type="dxa"/>
              <w:right w:w="62" w:type="dxa"/>
            </w:tcMar>
          </w:tcPr>
          <w:p w:rsidR="00000000" w:rsidRPr="00B63C80" w:rsidP="00B63C80">
            <w:pPr>
              <w:pStyle w:val="List2"/>
            </w:pPr>
            <w:r w:rsidRPr="00B63C80">
              <w:t>6.1.</w:t>
            </w:r>
            <w:r w:rsidRPr="00B63C80">
              <w:tab/>
              <w:t>Work area is cleared and materials disposed of, reused or recycled in accordance with legislation, regulations, codes of practice</w:t>
            </w:r>
            <w:r w:rsidRPr="00B63C80">
              <w:t xml:space="preserve"> and job specification.</w:t>
            </w:r>
          </w:p>
          <w:p w:rsidR="00000000" w:rsidRPr="00B63C80" w:rsidP="00B63C80">
            <w:pPr>
              <w:pStyle w:val="List2"/>
            </w:pPr>
            <w:r w:rsidRPr="00B63C80">
              <w:t>6.2.</w:t>
            </w:r>
            <w:r w:rsidRPr="00B63C80">
              <w:tab/>
              <w:t>Plant, tools and equipment are cleaned, checked, maintained and stored in accordance with manufacturer recommendations and standard work practices.</w:t>
            </w:r>
          </w:p>
        </w:tc>
      </w:tr>
    </w:tbl>
    <w:p w:rsidR="003E2277" w:rsidP="00B63C80">
      <w:pPr>
        <w:pStyle w:val="BodyText"/>
      </w:pPr>
    </w:p>
    <w:p w:rsidR="003E2277" w:rsidP="00B63C80">
      <w:pPr>
        <w:pStyle w:val="BodyText"/>
      </w:pPr>
    </w:p>
    <w:p w:rsidR="00000000" w:rsidRPr="00B63C80" w:rsidP="00B63C80">
      <w:pPr>
        <w:pStyle w:val="Heading1"/>
      </w:pPr>
      <w:bookmarkStart w:id="9" w:name="O_258179"/>
      <w:bookmarkEnd w:id="9"/>
      <w:r w:rsidRPr="00B63C80">
        <w:t>Required Skills and Knowledge</w:t>
      </w:r>
    </w:p>
    <w:tbl>
      <w:tblPr>
        <w:tblW w:w="0" w:type="auto"/>
        <w:tblLayout w:type="fixed"/>
        <w:tblCellMar>
          <w:left w:w="62" w:type="dxa"/>
          <w:right w:w="62" w:type="dxa"/>
        </w:tblCellMar>
        <w:tblLook w:val="0000"/>
      </w:tblPr>
      <w:tblGrid>
        <w:gridCol w:w="8522"/>
      </w:tblGrid>
      <w:tr w:rsidTr="003E227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REQUIRED SKILLS AND KNOWLEDGE</w:t>
            </w:r>
          </w:p>
        </w:tc>
      </w:tr>
      <w:tr w:rsidTr="003E22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t>This section describes the skills and knowledge required for this unit.</w:t>
            </w:r>
          </w:p>
        </w:tc>
      </w:tr>
      <w:tr w:rsidTr="003E22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Required skills</w:t>
            </w:r>
          </w:p>
        </w:tc>
      </w:tr>
      <w:tr w:rsidTr="003E22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Required skills for this unit are:</w:t>
            </w:r>
          </w:p>
          <w:p w:rsidR="00000000" w:rsidRPr="00B63C80" w:rsidP="00B63C80">
            <w:pPr>
              <w:pStyle w:val="ListBullet"/>
            </w:pPr>
            <w:r w:rsidRPr="00B63C80">
              <w:t>communication skills to:</w:t>
            </w:r>
          </w:p>
          <w:p w:rsidR="00000000" w:rsidRPr="00B63C80" w:rsidP="00B63C80">
            <w:pPr>
              <w:pStyle w:val="ListBullet2"/>
            </w:pPr>
            <w:r w:rsidRPr="00B63C80">
              <w:t>determine requirements</w:t>
            </w:r>
          </w:p>
          <w:p w:rsidR="00000000" w:rsidRPr="00B63C80" w:rsidP="00B63C80">
            <w:pPr>
              <w:pStyle w:val="ListBullet2"/>
            </w:pPr>
            <w:r w:rsidRPr="00B63C80">
              <w:t>enable clear and direct communication, using questioning to identify and confirm requirements, share information, listen and understand</w:t>
            </w:r>
          </w:p>
          <w:p w:rsidR="00000000" w:rsidRPr="00B63C80" w:rsidP="00B63C80">
            <w:pPr>
              <w:pStyle w:val="ListBullet2"/>
            </w:pPr>
            <w:r w:rsidRPr="00B63C80">
              <w:t>follow instructions</w:t>
            </w:r>
          </w:p>
          <w:p w:rsidR="00000000" w:rsidRPr="00B63C80" w:rsidP="00B63C80">
            <w:pPr>
              <w:pStyle w:val="ListBullet2"/>
            </w:pPr>
            <w:r w:rsidRPr="00B63C80">
              <w:t>read and interpret:</w:t>
            </w:r>
          </w:p>
          <w:p w:rsidR="00000000" w:rsidRPr="00B63C80" w:rsidP="00B63C80">
            <w:pPr>
              <w:pStyle w:val="ListBullet3"/>
            </w:pPr>
            <w:r w:rsidRPr="00B63C80">
              <w:t>documentation from a variety of sources</w:t>
            </w:r>
          </w:p>
          <w:p w:rsidR="00000000" w:rsidRPr="00B63C80" w:rsidP="00B63C80">
            <w:pPr>
              <w:pStyle w:val="ListBullet3"/>
            </w:pPr>
            <w:r w:rsidRPr="00B63C80">
              <w:t>plans, specifications and drawings</w:t>
            </w:r>
          </w:p>
          <w:p w:rsidR="00000000" w:rsidRPr="00B63C80" w:rsidP="00B63C80">
            <w:pPr>
              <w:pStyle w:val="ListBullet2"/>
            </w:pPr>
            <w:r w:rsidRPr="00B63C80">
              <w:t>report faults</w:t>
            </w:r>
          </w:p>
          <w:p w:rsidR="00000000" w:rsidRPr="00B63C80" w:rsidP="00B63C80">
            <w:pPr>
              <w:pStyle w:val="ListBullet2"/>
            </w:pPr>
            <w:r w:rsidRPr="00B63C80">
              <w:t>use language and concepts appropriate to cultural differences</w:t>
            </w:r>
          </w:p>
          <w:p w:rsidR="00000000" w:rsidRPr="00B63C80" w:rsidP="00B63C80">
            <w:pPr>
              <w:pStyle w:val="ListBullet2"/>
            </w:pPr>
            <w:r w:rsidRPr="00B63C80">
              <w:t>use and interpret non-verbal communication, such as hand signals</w:t>
            </w:r>
          </w:p>
          <w:p w:rsidR="00000000" w:rsidRPr="00B63C80" w:rsidP="00B63C80">
            <w:pPr>
              <w:pStyle w:val="ListBullet"/>
            </w:pPr>
            <w:r w:rsidRPr="00B63C80">
              <w:t>numeracy skills to apply measurements and make calculations</w:t>
            </w:r>
          </w:p>
          <w:p w:rsidR="00000000" w:rsidRPr="00B63C80" w:rsidP="00B63C80">
            <w:pPr>
              <w:pStyle w:val="ListBullet"/>
            </w:pPr>
            <w:r w:rsidRPr="00B63C80">
              <w:t>organisational skills, including the ability to plan and set out work</w:t>
            </w:r>
          </w:p>
          <w:p w:rsidR="00000000" w:rsidRPr="00B63C80" w:rsidP="00B63C80">
            <w:pPr>
              <w:pStyle w:val="ListBullet"/>
            </w:pPr>
            <w:r w:rsidRPr="00B63C80">
              <w:t>teamwork skills to work with others to action tasks and relate to people from a range of cultural and ethnic backgrounds and with varying physical and mental abilities</w:t>
            </w:r>
          </w:p>
          <w:p w:rsidR="00000000" w:rsidRPr="00B63C80" w:rsidP="00B63C80">
            <w:pPr>
              <w:pStyle w:val="ListBullet"/>
            </w:pPr>
            <w:r w:rsidRPr="00B63C80">
              <w:t>technological skil</w:t>
            </w:r>
            <w:r w:rsidRPr="00B63C80">
              <w:t>ls to:</w:t>
            </w:r>
          </w:p>
          <w:p w:rsidR="00000000" w:rsidRPr="00B63C80" w:rsidP="00B63C80">
            <w:pPr>
              <w:pStyle w:val="ListBullet2"/>
            </w:pPr>
            <w:r w:rsidRPr="00B63C80">
              <w:t>use a range of mobile technology, such as two-way radio and mobile phones</w:t>
            </w:r>
          </w:p>
          <w:p w:rsidR="00000000" w:rsidP="00B63C80">
            <w:pPr>
              <w:pStyle w:val="ListBullet2"/>
              <w:rPr>
                <w:lang w:val="en-NZ"/>
              </w:rPr>
            </w:pPr>
            <w:r w:rsidRPr="00B63C80">
              <w:t>voice and hand signals to access and understand site-specific instructions.</w:t>
            </w:r>
          </w:p>
        </w:tc>
      </w:tr>
      <w:tr w:rsidTr="003E22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Required knowledge</w:t>
            </w:r>
          </w:p>
        </w:tc>
      </w:tr>
      <w:tr w:rsidTr="003E227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Required knowledge for this unit is:</w:t>
            </w:r>
          </w:p>
          <w:p w:rsidR="00000000" w:rsidRPr="00B63C80" w:rsidP="00B63C80">
            <w:pPr>
              <w:pStyle w:val="ListBullet"/>
            </w:pPr>
            <w:r w:rsidRPr="00B63C80">
              <w:t>construction terminology</w:t>
            </w:r>
          </w:p>
          <w:p w:rsidR="00000000" w:rsidRPr="00B63C80" w:rsidP="00B63C80">
            <w:pPr>
              <w:pStyle w:val="ListBullet"/>
            </w:pPr>
            <w:r w:rsidRPr="00B63C80">
              <w:t>exterior cladding materials and techniques</w:t>
            </w:r>
          </w:p>
          <w:p w:rsidR="00000000" w:rsidRPr="00B63C80" w:rsidP="00B63C80">
            <w:pPr>
              <w:pStyle w:val="ListBullet"/>
            </w:pPr>
            <w:r w:rsidRPr="00B63C80">
              <w:t>flashing and sarking</w:t>
            </w:r>
          </w:p>
          <w:p w:rsidR="00000000" w:rsidRPr="00B63C80" w:rsidP="00B63C80">
            <w:pPr>
              <w:pStyle w:val="ListBullet"/>
            </w:pPr>
            <w:r w:rsidRPr="00B63C80">
              <w:t>job safety analysis (JSA) and safe work method statements</w:t>
            </w:r>
          </w:p>
          <w:p w:rsidR="00000000" w:rsidRPr="00B63C80" w:rsidP="00B63C80">
            <w:pPr>
              <w:pStyle w:val="ListBullet"/>
            </w:pPr>
            <w:r w:rsidRPr="00B63C80">
              <w:t>material safety data sheets (MSDS)</w:t>
            </w:r>
          </w:p>
          <w:p w:rsidR="00000000" w:rsidRPr="00B63C80" w:rsidP="00B63C80">
            <w:pPr>
              <w:pStyle w:val="ListBullet"/>
            </w:pPr>
            <w:r w:rsidRPr="00B63C80">
              <w:t>materials storage and environmentally friendly waste management</w:t>
            </w:r>
          </w:p>
          <w:p w:rsidR="00000000" w:rsidRPr="00B63C80" w:rsidP="00B63C80">
            <w:pPr>
              <w:pStyle w:val="ListBullet"/>
            </w:pPr>
            <w:r w:rsidRPr="00B63C80">
              <w:t>plans, specifications and drawings</w:t>
            </w:r>
          </w:p>
          <w:p w:rsidR="00000000" w:rsidRPr="00B63C80" w:rsidP="00B63C80">
            <w:pPr>
              <w:pStyle w:val="ListBullet"/>
            </w:pPr>
            <w:r w:rsidRPr="00B63C80">
              <w:t>plant, tools and equipment types, characteristics, uses and limitation</w:t>
            </w:r>
          </w:p>
          <w:p w:rsidR="00000000" w:rsidRPr="00B63C80" w:rsidP="00B63C80">
            <w:pPr>
              <w:pStyle w:val="ListBullet"/>
            </w:pPr>
            <w:r w:rsidRPr="00B63C80">
              <w:t>processes for the calculation of material requirements</w:t>
            </w:r>
          </w:p>
          <w:p w:rsidR="00000000" w:rsidRPr="00B63C80" w:rsidP="00B63C80">
            <w:pPr>
              <w:pStyle w:val="ListBullet"/>
            </w:pPr>
            <w:r w:rsidRPr="00B63C80">
              <w:t>quality requirements of exterior cladding</w:t>
            </w:r>
          </w:p>
          <w:p w:rsidR="00000000" w:rsidRPr="00B63C80" w:rsidP="00B63C80">
            <w:pPr>
              <w:pStyle w:val="ListBullet"/>
            </w:pPr>
            <w:r w:rsidRPr="00B63C80">
              <w:t>safe use of scaffolding</w:t>
            </w:r>
          </w:p>
          <w:p w:rsidR="00000000" w:rsidRPr="00B63C80" w:rsidP="00B63C80">
            <w:pPr>
              <w:pStyle w:val="ListBullet"/>
            </w:pPr>
            <w:r w:rsidRPr="00B63C80">
              <w:t>wall frame construction</w:t>
            </w:r>
          </w:p>
          <w:p w:rsidR="00000000" w:rsidRPr="00B63C80" w:rsidP="00B63C80">
            <w:pPr>
              <w:pStyle w:val="ListBullet"/>
            </w:pPr>
            <w:r w:rsidRPr="00B63C80">
              <w:t>workplace and equipment safety requireme</w:t>
            </w:r>
            <w:r w:rsidRPr="00B63C80">
              <w:t>nts.</w:t>
            </w:r>
          </w:p>
        </w:tc>
      </w:tr>
    </w:tbl>
    <w:p w:rsidR="003E2277" w:rsidP="00B63C80">
      <w:pPr>
        <w:pStyle w:val="BodyText"/>
      </w:pPr>
    </w:p>
    <w:p w:rsidR="003E2277" w:rsidP="00B63C80">
      <w:pPr>
        <w:pStyle w:val="BodyText"/>
      </w:pPr>
    </w:p>
    <w:p w:rsidR="00000000" w:rsidRPr="00B63C80" w:rsidP="00B63C80">
      <w:pPr>
        <w:pStyle w:val="AllowPageBreak"/>
      </w:pPr>
    </w:p>
    <w:p w:rsidR="00000000" w:rsidRPr="00B63C80" w:rsidP="00B63C80">
      <w:pPr>
        <w:pStyle w:val="Heading1"/>
      </w:pPr>
      <w:bookmarkStart w:id="10" w:name="O_242213"/>
      <w:bookmarkEnd w:id="10"/>
      <w:r w:rsidRPr="00B63C80">
        <w:t>Evidence Guide</w:t>
      </w:r>
    </w:p>
    <w:tbl>
      <w:tblPr>
        <w:tblW w:w="0" w:type="auto"/>
        <w:tblLayout w:type="fixed"/>
        <w:tblCellMar>
          <w:left w:w="62" w:type="dxa"/>
          <w:right w:w="62" w:type="dxa"/>
        </w:tblCellMar>
        <w:tblLook w:val="0000"/>
      </w:tblPr>
      <w:tblGrid>
        <w:gridCol w:w="3507"/>
        <w:gridCol w:w="5015"/>
      </w:tblGrid>
      <w:tr w:rsidTr="003E227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63C80">
            <w:pPr>
              <w:pStyle w:val="BodyText"/>
              <w:rPr>
                <w:lang w:val="en-NZ"/>
              </w:rPr>
            </w:pPr>
            <w:r w:rsidRPr="00B63C80">
              <w:rPr>
                <w:rStyle w:val="SpecialBold"/>
              </w:rPr>
              <w:t>EVIDENCE GUIDE</w:t>
            </w:r>
          </w:p>
        </w:tc>
      </w:tr>
      <w:tr w:rsidTr="003E227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63C80">
            <w:pPr>
              <w:pStyle w:val="BodyText"/>
              <w:rPr>
                <w:lang w:val="en-NZ"/>
              </w:rPr>
            </w:pPr>
            <w:r w:rsidRPr="00B63C80">
              <w:t xml:space="preserve">The evidence guide provides advice on assessment and must be read in conjunction with the performance criteria, required skills and knowledge, </w:t>
            </w:r>
            <w:r w:rsidRPr="00B63C80">
              <w:t>range statement and the Assessment Guidelines for the Training Package.</w:t>
            </w:r>
          </w:p>
        </w:tc>
      </w:tr>
      <w:tr w:rsidTr="003E2277">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t xml:space="preserve">This unit of competency could be assessed in the workplace or a close simulation of the workplace environment, provided that simulated or project-based </w:t>
            </w:r>
            <w:r w:rsidRPr="00B63C80">
              <w:t xml:space="preserve">assessment techniques fully replicate construction workplace conditions, materials, activities, responsibilities and procedures. </w:t>
            </w:r>
          </w:p>
        </w:tc>
      </w:tr>
      <w:tr w:rsidTr="003E2277">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A person who demonstrates compet</w:t>
            </w:r>
            <w:r w:rsidRPr="00B63C80">
              <w:t>ency in this unit must be able to provide evidence of the ability to:</w:t>
            </w:r>
          </w:p>
          <w:p w:rsidR="00000000" w:rsidRPr="00B63C80" w:rsidP="00B63C80">
            <w:pPr>
              <w:pStyle w:val="ListBullet"/>
            </w:pPr>
            <w:r w:rsidRPr="00B63C80">
              <w:t>locate, interpret and apply relevant information, standards and specifications</w:t>
            </w:r>
          </w:p>
          <w:p w:rsidR="00000000" w:rsidRPr="00B63C80" w:rsidP="00B63C80">
            <w:pPr>
              <w:pStyle w:val="ListBullet"/>
            </w:pPr>
            <w:r w:rsidRPr="00B63C80">
              <w:t xml:space="preserve">comply with site safety plan, OHS regulations and state and territory legislation applicable to workplace </w:t>
            </w:r>
            <w:r w:rsidRPr="00B63C80">
              <w:t>operations</w:t>
            </w:r>
          </w:p>
          <w:p w:rsidR="00000000" w:rsidRPr="00B63C80" w:rsidP="00B63C80">
            <w:pPr>
              <w:pStyle w:val="ListBullet"/>
            </w:pPr>
            <w:r w:rsidRPr="00B63C80">
              <w:t>comply with organisational policies and procedures, including quality requirements</w:t>
            </w:r>
          </w:p>
          <w:p w:rsidR="00000000" w:rsidRPr="00B63C80" w:rsidP="00B63C80">
            <w:pPr>
              <w:pStyle w:val="ListBullet"/>
            </w:pPr>
            <w:r w:rsidRPr="00B63C80">
              <w:t>safely and effectively use tools, plant and equipment</w:t>
            </w:r>
          </w:p>
          <w:p w:rsidR="00000000" w:rsidRPr="00B63C80" w:rsidP="00B63C80">
            <w:pPr>
              <w:pStyle w:val="ListBullet"/>
            </w:pPr>
            <w:r w:rsidRPr="00B63C80">
              <w:t>communicate and work effectively and safely with others</w:t>
            </w:r>
          </w:p>
          <w:p w:rsidR="00000000" w:rsidRPr="00B63C80" w:rsidP="00B63C80">
            <w:pPr>
              <w:pStyle w:val="ListBullet"/>
            </w:pPr>
            <w:r w:rsidRPr="00B63C80">
              <w:t xml:space="preserve">produce a storey/set out rod for a full height wall </w:t>
            </w:r>
            <w:r w:rsidRPr="00B63C80">
              <w:t>using a weatherboard of a given profile or end cover</w:t>
            </w:r>
          </w:p>
          <w:p w:rsidR="00000000" w:rsidRPr="00B63C80" w:rsidP="00B63C80">
            <w:pPr>
              <w:pStyle w:val="ListBullet"/>
            </w:pPr>
            <w:r w:rsidRPr="00B63C80">
              <w:t>fix weatherboards to a height of at least six rows, incorporating an internal and external corner with stops, together with flashings and sarking for a window and a door</w:t>
            </w:r>
          </w:p>
          <w:p w:rsidR="00000000" w:rsidP="00B63C80">
            <w:pPr>
              <w:pStyle w:val="ListBullet"/>
              <w:rPr>
                <w:lang w:val="en-NZ"/>
              </w:rPr>
            </w:pPr>
            <w:r w:rsidRPr="00B63C80">
              <w:t>install a minimum of two differen</w:t>
            </w:r>
            <w:r w:rsidRPr="00B63C80">
              <w:t>t types of panels, incorporating an internal and external corner with stops, vertical and horizontal joints, together with flashings and sarking for a window and a door.</w:t>
            </w:r>
          </w:p>
        </w:tc>
      </w:tr>
      <w:tr w:rsidTr="003E2277">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This competency is to be assessed us</w:t>
            </w:r>
            <w:r w:rsidRPr="00B63C80">
              <w:t>ing standard and authorised work practices, safety requirements and environmental constraints.</w:t>
            </w:r>
          </w:p>
          <w:p w:rsidR="00000000" w:rsidRPr="00B63C80" w:rsidP="00B63C80">
            <w:pPr>
              <w:pStyle w:val="BodyText"/>
            </w:pPr>
            <w:r w:rsidRPr="00B63C80">
              <w:t>Assessment of essential underpinning knowledge will usually be conducted in an off-site context.</w:t>
            </w:r>
          </w:p>
          <w:p w:rsidR="00000000" w:rsidRPr="00B63C80" w:rsidP="00B63C80">
            <w:pPr>
              <w:pStyle w:val="BodyText"/>
            </w:pPr>
            <w:r w:rsidRPr="00B63C80">
              <w:t>Assessment is to comply with relevant regulatory or Australian standards' requirements.</w:t>
            </w:r>
          </w:p>
          <w:p w:rsidR="00000000" w:rsidRPr="00B63C80" w:rsidP="00B63C80">
            <w:pPr>
              <w:pStyle w:val="BodyText"/>
            </w:pPr>
            <w:r w:rsidRPr="00B63C80">
              <w:t>Resource implications for assessment include:</w:t>
            </w:r>
          </w:p>
          <w:p w:rsidR="00000000" w:rsidRPr="00B63C80" w:rsidP="00B63C80">
            <w:pPr>
              <w:pStyle w:val="ListBullet"/>
            </w:pPr>
            <w:r w:rsidRPr="00B63C80">
              <w:t>an induction procedure and requirement</w:t>
            </w:r>
          </w:p>
          <w:p w:rsidR="00000000" w:rsidRPr="00B63C80" w:rsidP="00B63C80">
            <w:pPr>
              <w:pStyle w:val="ListBullet"/>
            </w:pPr>
            <w:r w:rsidRPr="00B63C80">
              <w:t>realistic tasks or simulated tasks covering the mandatory task requirements</w:t>
            </w:r>
          </w:p>
          <w:p w:rsidR="00000000" w:rsidRPr="00B63C80" w:rsidP="00B63C80">
            <w:pPr>
              <w:pStyle w:val="ListBullet"/>
            </w:pPr>
            <w:r w:rsidRPr="00B63C80">
              <w:t>releva</w:t>
            </w:r>
            <w:r w:rsidRPr="00B63C80">
              <w:t>nt specifications and work instructions</w:t>
            </w:r>
          </w:p>
          <w:p w:rsidR="00000000" w:rsidRPr="00B63C80" w:rsidP="00B63C80">
            <w:pPr>
              <w:pStyle w:val="ListBullet"/>
            </w:pPr>
            <w:r w:rsidRPr="00B63C80">
              <w:t>tools and equipment appropriate to applying safe work practices</w:t>
            </w:r>
          </w:p>
          <w:p w:rsidR="00000000" w:rsidRPr="00B63C80" w:rsidP="00B63C80">
            <w:pPr>
              <w:pStyle w:val="ListBullet"/>
            </w:pPr>
            <w:r w:rsidRPr="00B63C80">
              <w:t>support materials appropriate to activity</w:t>
            </w:r>
          </w:p>
          <w:p w:rsidR="00000000" w:rsidRPr="00B63C80" w:rsidP="00B63C80">
            <w:pPr>
              <w:pStyle w:val="ListBullet"/>
            </w:pPr>
            <w:r w:rsidRPr="00B63C80">
              <w:t>workplace instructions relating to safe work practices and addressing hazards and emergencies</w:t>
            </w:r>
          </w:p>
          <w:p w:rsidR="00000000" w:rsidRPr="00B63C80" w:rsidP="00B63C80">
            <w:pPr>
              <w:pStyle w:val="ListBullet"/>
            </w:pPr>
            <w:r w:rsidRPr="00B63C80">
              <w:t xml:space="preserve">material safety </w:t>
            </w:r>
            <w:r w:rsidRPr="00B63C80">
              <w:t>data sheets</w:t>
            </w:r>
          </w:p>
          <w:p w:rsidR="00000000" w:rsidRPr="00B63C80" w:rsidP="00B63C80">
            <w:pPr>
              <w:pStyle w:val="ListBullet"/>
            </w:pPr>
            <w:r w:rsidRPr="00B63C80">
              <w:t>research resources, including industry related systems information.</w:t>
            </w:r>
          </w:p>
          <w:p w:rsidR="00000000" w:rsidP="00B63C80">
            <w:pPr>
              <w:pStyle w:val="BodyText"/>
              <w:rPr>
                <w:lang w:val="en-NZ"/>
              </w:rPr>
            </w:pPr>
            <w:r w:rsidRPr="00B63C80">
              <w:t>Reasonable adjustments for people with disabilities must be made to assessment processes where required. This could include access to modified equipment and other physical reso</w:t>
            </w:r>
            <w:r w:rsidRPr="00B63C80">
              <w:t xml:space="preserve">urces, and the provision of appropriate assessment support. </w:t>
            </w:r>
          </w:p>
        </w:tc>
      </w:tr>
      <w:tr w:rsidTr="003E2277">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Assessment methods must:</w:t>
            </w:r>
          </w:p>
          <w:p w:rsidR="00000000" w:rsidRPr="00B63C80" w:rsidP="00B63C80">
            <w:pPr>
              <w:pStyle w:val="ListBullet"/>
            </w:pPr>
            <w:r w:rsidRPr="00B63C80">
              <w:t>satisfy the endorsed Assessment Guidelines of the Construction, Plumbing and Services Training Package</w:t>
            </w:r>
          </w:p>
          <w:p w:rsidR="00000000" w:rsidRPr="00B63C80" w:rsidP="00B63C80">
            <w:pPr>
              <w:pStyle w:val="ListBullet"/>
            </w:pPr>
            <w:r w:rsidRPr="00B63C80">
              <w:t>include direct observation of tasks in real or simulated work conditions, with questioning to confirm the ability to consistently identify and correctly interpret the essential underpinning knowledge required for practical application</w:t>
            </w:r>
          </w:p>
          <w:p w:rsidR="00000000" w:rsidRPr="00B63C80" w:rsidP="00B63C80">
            <w:pPr>
              <w:pStyle w:val="ListBullet"/>
            </w:pPr>
            <w:r w:rsidRPr="00B63C80">
              <w:t>reinforce the integra</w:t>
            </w:r>
            <w:r w:rsidRPr="00B63C80">
              <w:t>tion of employability skills with workplace tasks and job roles</w:t>
            </w:r>
          </w:p>
          <w:p w:rsidR="00000000" w:rsidRPr="00B63C80" w:rsidP="00B63C80">
            <w:pPr>
              <w:pStyle w:val="ListBullet"/>
            </w:pPr>
            <w:r w:rsidRPr="00B63C80">
              <w:t>confirm that competency is verified and able to be transferred to other circumstances and environments.</w:t>
            </w:r>
          </w:p>
          <w:p w:rsidR="00000000" w:rsidRPr="00B63C80" w:rsidP="00B63C80">
            <w:pPr>
              <w:pStyle w:val="BodyText"/>
            </w:pPr>
            <w:r w:rsidRPr="00B63C80">
              <w:t>Validity and sufficiency of evidence requires that:</w:t>
            </w:r>
          </w:p>
          <w:p w:rsidR="00000000" w:rsidRPr="00B63C80" w:rsidP="00B63C80">
            <w:pPr>
              <w:pStyle w:val="ListBullet"/>
            </w:pPr>
            <w:r w:rsidRPr="00B63C80">
              <w:t>competency will need to be demonstr</w:t>
            </w:r>
            <w:r w:rsidRPr="00B63C80">
              <w:t>ated over a period of time reflecting the scope of the role and the practical requirements of the workplace</w:t>
            </w:r>
          </w:p>
          <w:p w:rsidR="00000000" w:rsidRPr="00B63C80" w:rsidP="00B63C80">
            <w:pPr>
              <w:pStyle w:val="ListBullet"/>
            </w:pPr>
            <w:r w:rsidRPr="00B63C80">
              <w:t>where the assessment is part of a structured learning experience the evidence collected must relate to a number of performances assessed at differen</w:t>
            </w:r>
            <w:r w:rsidRPr="00B63C80">
              <w:t>t points in time and separated by further learning and practice, with a decision on competency only taken at the point when the assessor has complete confidence in the person's demonstrated ability and applied knowledge</w:t>
            </w:r>
          </w:p>
          <w:p w:rsidR="00000000" w:rsidRPr="00B63C80" w:rsidP="00B63C80">
            <w:pPr>
              <w:pStyle w:val="ListBullet"/>
            </w:pPr>
            <w:r w:rsidRPr="00B63C80">
              <w:t>all assessment that is part of a str</w:t>
            </w:r>
            <w:r w:rsidRPr="00B63C80">
              <w:t>uctured learning experience must include a combination of direct, indirect and supplementary evidence.</w:t>
            </w:r>
          </w:p>
          <w:p w:rsidR="00000000" w:rsidRPr="00B63C80" w:rsidP="00B63C80">
            <w:pPr>
              <w:pStyle w:val="BodyText"/>
            </w:pPr>
            <w:r w:rsidRPr="00B63C80">
              <w:t>Assessment processes and techniques should as far as is practical take into account the language, literacy and numeracy capacity of the candidate in rela</w:t>
            </w:r>
            <w:r w:rsidRPr="00B63C80">
              <w:t>tion to the competency being assessed.</w:t>
            </w:r>
          </w:p>
          <w:p w:rsidR="00000000" w:rsidRPr="00B63C80" w:rsidP="00B63C80">
            <w:pPr>
              <w:pStyle w:val="BodyText"/>
            </w:pPr>
            <w:r w:rsidRPr="00B63C80">
              <w:t xml:space="preserve">Supplementary evidence of competency may be obtained from relevant authenticated documentation from third parties, such as existing supervisors, team leaders or specialist training staff. </w:t>
            </w:r>
          </w:p>
        </w:tc>
      </w:tr>
    </w:tbl>
    <w:p w:rsidR="003E2277" w:rsidP="00B63C80">
      <w:pPr>
        <w:pStyle w:val="BodyText"/>
      </w:pPr>
    </w:p>
    <w:p w:rsidR="003E2277" w:rsidP="00B63C80">
      <w:pPr>
        <w:pStyle w:val="BodyText"/>
      </w:pPr>
    </w:p>
    <w:p w:rsidR="00000000" w:rsidRPr="00B63C80" w:rsidP="00B63C80">
      <w:pPr>
        <w:pStyle w:val="Heading1"/>
      </w:pPr>
      <w:bookmarkStart w:id="11" w:name="O_250196"/>
      <w:bookmarkEnd w:id="11"/>
      <w:r w:rsidRPr="00B63C80">
        <w:t>Range Statement</w:t>
      </w:r>
    </w:p>
    <w:tbl>
      <w:tblPr>
        <w:tblW w:w="0" w:type="auto"/>
        <w:tblLayout w:type="fixed"/>
        <w:tblCellMar>
          <w:left w:w="62" w:type="dxa"/>
          <w:right w:w="62" w:type="dxa"/>
        </w:tblCellMar>
        <w:tblLook w:val="0000"/>
      </w:tblPr>
      <w:tblGrid>
        <w:gridCol w:w="3520"/>
        <w:gridCol w:w="5002"/>
      </w:tblGrid>
      <w:tr w:rsidTr="003E227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63C80">
            <w:pPr>
              <w:pStyle w:val="BodyText"/>
              <w:rPr>
                <w:lang w:val="en-NZ"/>
              </w:rPr>
            </w:pPr>
            <w:r w:rsidRPr="00B63C80">
              <w:rPr>
                <w:rStyle w:val="SpecialBold"/>
              </w:rPr>
              <w:t>RANGE STATEMENT</w:t>
            </w:r>
          </w:p>
        </w:tc>
      </w:tr>
      <w:tr w:rsidTr="003E227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63C80">
            <w:pPr>
              <w:pStyle w:val="BodyText"/>
              <w:rPr>
                <w:lang w:val="en-NZ"/>
              </w:rPr>
            </w:pPr>
            <w:r w:rsidRPr="00B63C80">
              <w:t>The range statement relates to the unit of competency as a whole. It allows for different work environments and situations that may affect performance. Bold italicised wording, if used in the performance criteria, is detai</w:t>
            </w:r>
            <w:r w:rsidRPr="00B63C80">
              <w:t>led below. Essential operating conditions that may be present with training and assessment (depending on the work situation, needs of the candidate, accessibility of the item, and local industry and regional contexts) may also be included.</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Information</w:t>
            </w:r>
            <w:r w:rsidRPr="00B63C80">
              <w:t xml:space="preserve"> in</w:t>
            </w:r>
            <w:r w:rsidRPr="00B63C80">
              <w:t xml:space="preserve">cludes: </w:t>
            </w:r>
          </w:p>
        </w:tc>
        <w:tc>
          <w:tcPr>
            <w:tcW w:w="5002" w:type="dxa"/>
            <w:tcBorders>
              <w:top w:val="nil"/>
              <w:left w:val="nil"/>
              <w:bottom w:val="nil"/>
              <w:right w:val="nil"/>
            </w:tcBorders>
            <w:tcMar>
              <w:top w:w="0" w:type="dxa"/>
              <w:left w:w="62" w:type="dxa"/>
              <w:bottom w:w="0" w:type="dxa"/>
              <w:right w:w="62" w:type="dxa"/>
            </w:tcMar>
          </w:tcPr>
          <w:p w:rsidR="00000000" w:rsidRPr="00B63C80" w:rsidP="00B63C80">
            <w:pPr>
              <w:pStyle w:val="ListBullet"/>
            </w:pPr>
            <w:r w:rsidRPr="00B63C80">
              <w:t>diagrams or sketches</w:t>
            </w:r>
          </w:p>
          <w:p w:rsidR="00000000" w:rsidRPr="00B63C80" w:rsidP="00B63C80">
            <w:pPr>
              <w:pStyle w:val="ListBullet"/>
            </w:pPr>
            <w:r w:rsidRPr="00B63C80">
              <w:t>instructions issued by authorised organisational or external personnel</w:t>
            </w:r>
          </w:p>
          <w:p w:rsidR="00000000" w:rsidRPr="00B63C80" w:rsidP="00B63C80">
            <w:pPr>
              <w:pStyle w:val="ListBullet"/>
            </w:pPr>
            <w:r w:rsidRPr="00B63C80">
              <w:t>manufacturer specifications and instructions where specified</w:t>
            </w:r>
          </w:p>
          <w:p w:rsidR="00000000" w:rsidRPr="00B63C80" w:rsidP="00B63C80">
            <w:pPr>
              <w:pStyle w:val="ListBullet"/>
            </w:pPr>
            <w:r w:rsidRPr="00B63C80">
              <w:t>memos</w:t>
            </w:r>
          </w:p>
          <w:p w:rsidR="00000000" w:rsidRPr="00B63C80" w:rsidP="00B63C80">
            <w:pPr>
              <w:pStyle w:val="ListBullet"/>
            </w:pPr>
            <w:r w:rsidRPr="00B63C80">
              <w:t>MSDS</w:t>
            </w:r>
          </w:p>
          <w:p w:rsidR="00000000" w:rsidRPr="00B63C80" w:rsidP="00B63C80">
            <w:pPr>
              <w:pStyle w:val="ListBullet"/>
            </w:pPr>
            <w:r w:rsidRPr="00B63C80">
              <w:t>organisation work specifications and requirements</w:t>
            </w:r>
          </w:p>
          <w:p w:rsidR="00000000" w:rsidRPr="00B63C80" w:rsidP="00B63C80">
            <w:pPr>
              <w:pStyle w:val="ListBullet"/>
            </w:pPr>
            <w:r w:rsidRPr="00B63C80">
              <w:t>plans and specifications</w:t>
            </w:r>
          </w:p>
          <w:p w:rsidR="00000000" w:rsidRPr="00B63C80" w:rsidP="00B63C80">
            <w:pPr>
              <w:pStyle w:val="ListBullet"/>
            </w:pPr>
            <w:r w:rsidRPr="00B63C80">
              <w:t>regulatory and legislative requirements pertaining to installing exterior cladding</w:t>
            </w:r>
          </w:p>
          <w:p w:rsidR="00000000" w:rsidRPr="00B63C80" w:rsidP="00B63C80">
            <w:pPr>
              <w:pStyle w:val="ListBullet"/>
            </w:pPr>
            <w:r w:rsidRPr="00B63C80">
              <w:t>relevant Australian standards</w:t>
            </w:r>
          </w:p>
          <w:p w:rsidR="00000000" w:rsidRPr="00B63C80" w:rsidP="00B63C80">
            <w:pPr>
              <w:pStyle w:val="ListBullet"/>
            </w:pPr>
            <w:r w:rsidRPr="00B63C80">
              <w:t>safe work procedures related to installing exterior cladding</w:t>
            </w:r>
          </w:p>
          <w:p w:rsidR="00000000" w:rsidRPr="00B63C80" w:rsidP="00B63C80">
            <w:pPr>
              <w:pStyle w:val="ListBullet"/>
            </w:pPr>
            <w:r w:rsidRPr="00B63C80">
              <w:t>signage</w:t>
            </w:r>
          </w:p>
          <w:p w:rsidR="00000000" w:rsidRPr="00B63C80" w:rsidP="00B63C80">
            <w:pPr>
              <w:pStyle w:val="ListBullet"/>
            </w:pPr>
            <w:r w:rsidRPr="00B63C80">
              <w:t>verbal or written and graphical instructions</w:t>
            </w:r>
          </w:p>
          <w:p w:rsidR="00000000" w:rsidRPr="00B63C80" w:rsidP="00B63C80">
            <w:pPr>
              <w:pStyle w:val="ListBullet"/>
            </w:pPr>
            <w:r w:rsidRPr="00B63C80">
              <w:t>work bulletins</w:t>
            </w:r>
          </w:p>
          <w:p w:rsidR="00000000" w:rsidP="00B63C80">
            <w:pPr>
              <w:pStyle w:val="ListBullet"/>
              <w:rPr>
                <w:lang w:val="en-NZ"/>
              </w:rPr>
            </w:pPr>
            <w:r w:rsidRPr="00B63C80">
              <w:t>work schedules</w:t>
            </w:r>
            <w:r w:rsidRPr="00B63C80">
              <w:t>.</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Planning and preparation</w:t>
            </w:r>
            <w:r w:rsidRPr="00B63C80">
              <w:t xml:space="preserve"> include: </w:t>
            </w:r>
          </w:p>
        </w:tc>
        <w:tc>
          <w:tcPr>
            <w:tcW w:w="5002" w:type="dxa"/>
            <w:tcBorders>
              <w:top w:val="nil"/>
              <w:left w:val="nil"/>
              <w:bottom w:val="nil"/>
              <w:right w:val="nil"/>
            </w:tcBorders>
            <w:tcMar>
              <w:top w:w="0" w:type="dxa"/>
              <w:left w:w="62" w:type="dxa"/>
              <w:bottom w:w="0" w:type="dxa"/>
              <w:right w:w="62" w:type="dxa"/>
            </w:tcMar>
          </w:tcPr>
          <w:p w:rsidR="00000000" w:rsidRPr="00B63C80" w:rsidP="00B63C80">
            <w:pPr>
              <w:pStyle w:val="ListBullet"/>
            </w:pPr>
            <w:r w:rsidRPr="00B63C80">
              <w:t>work site inspection</w:t>
            </w:r>
          </w:p>
          <w:p w:rsidR="00000000" w:rsidRPr="00B63C80" w:rsidP="00B63C80">
            <w:pPr>
              <w:pStyle w:val="ListBullet"/>
            </w:pPr>
            <w:r w:rsidRPr="00B63C80">
              <w:t>equipment defect identification</w:t>
            </w:r>
          </w:p>
          <w:p w:rsidR="00000000" w:rsidRPr="00B63C80" w:rsidP="00B63C80">
            <w:pPr>
              <w:pStyle w:val="ListBullet"/>
            </w:pPr>
            <w:r w:rsidRPr="00B63C80">
              <w:t>assessment of conditions and hazards</w:t>
            </w:r>
          </w:p>
          <w:p w:rsidR="00000000" w:rsidP="00B63C80">
            <w:pPr>
              <w:pStyle w:val="ListBullet"/>
              <w:rPr>
                <w:lang w:val="en-NZ"/>
              </w:rPr>
            </w:pPr>
            <w:r w:rsidRPr="00B63C80">
              <w:t>determination of work requirements.</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Safety</w:t>
            </w:r>
            <w:r w:rsidRPr="00B63C80">
              <w:t xml:space="preserve"> (</w:t>
            </w:r>
            <w:r w:rsidRPr="00B63C80">
              <w:rPr>
                <w:rStyle w:val="BoldandItalics"/>
              </w:rPr>
              <w:t>OHS</w:t>
            </w:r>
            <w:r w:rsidRPr="00B63C80">
              <w:t xml:space="preserve">) is to </w:t>
            </w:r>
            <w:r w:rsidRPr="00B63C80">
              <w:t xml:space="preserve">be in accordance with state or territory legislation, regulations, codes of practice, organisational safety policies and procedures, and project safety plan and may include: </w:t>
            </w:r>
          </w:p>
        </w:tc>
        <w:tc>
          <w:tcPr>
            <w:tcW w:w="5002" w:type="dxa"/>
            <w:tcBorders>
              <w:top w:val="nil"/>
              <w:left w:val="nil"/>
              <w:bottom w:val="nil"/>
              <w:right w:val="nil"/>
            </w:tcBorders>
            <w:tcMar>
              <w:top w:w="0" w:type="dxa"/>
              <w:left w:w="62" w:type="dxa"/>
              <w:bottom w:w="0" w:type="dxa"/>
              <w:right w:w="62" w:type="dxa"/>
            </w:tcMar>
          </w:tcPr>
          <w:p w:rsidR="00000000" w:rsidRPr="00B63C80" w:rsidP="00B63C80">
            <w:pPr>
              <w:pStyle w:val="ListBullet"/>
            </w:pPr>
            <w:r w:rsidRPr="00B63C80">
              <w:t>emergency procedures, including extinguishing fires, organisational first aid re</w:t>
            </w:r>
            <w:r w:rsidRPr="00B63C80">
              <w:t>quirements and evacuation</w:t>
            </w:r>
          </w:p>
          <w:p w:rsidR="00000000" w:rsidRPr="00B63C80" w:rsidP="00B63C80">
            <w:pPr>
              <w:pStyle w:val="ListBullet"/>
            </w:pPr>
            <w:r w:rsidRPr="00B63C80">
              <w:t>handling of materials</w:t>
            </w:r>
          </w:p>
          <w:p w:rsidR="00000000" w:rsidRPr="00B63C80" w:rsidP="00B63C80">
            <w:pPr>
              <w:pStyle w:val="ListBullet"/>
            </w:pPr>
            <w:r w:rsidRPr="00B63C80">
              <w:t>hazard control</w:t>
            </w:r>
          </w:p>
          <w:p w:rsidR="00000000" w:rsidRPr="00B63C80" w:rsidP="00B63C80">
            <w:pPr>
              <w:pStyle w:val="ListBullet"/>
            </w:pPr>
            <w:r w:rsidRPr="00B63C80">
              <w:t>hazardous materials and substances</w:t>
            </w:r>
          </w:p>
          <w:p w:rsidR="00000000" w:rsidRPr="00B63C80" w:rsidP="00B63C80">
            <w:pPr>
              <w:pStyle w:val="ListBullet"/>
            </w:pPr>
            <w:r w:rsidRPr="00B63C80">
              <w:t>safe operating procedures, including the conduct of operational risk assessment and treatments associated with:</w:t>
            </w:r>
          </w:p>
          <w:p w:rsidR="00000000" w:rsidRPr="00B63C80" w:rsidP="00B63C80">
            <w:pPr>
              <w:pStyle w:val="ListBullet2"/>
            </w:pPr>
            <w:r w:rsidRPr="00B63C80">
              <w:t>earth leakage boxes</w:t>
            </w:r>
          </w:p>
          <w:p w:rsidR="00000000" w:rsidRPr="00B63C80" w:rsidP="00B63C80">
            <w:pPr>
              <w:pStyle w:val="ListBullet2"/>
            </w:pPr>
            <w:r w:rsidRPr="00B63C80">
              <w:t>lighting</w:t>
            </w:r>
          </w:p>
          <w:p w:rsidR="00000000" w:rsidRPr="00B63C80" w:rsidP="00B63C80">
            <w:pPr>
              <w:pStyle w:val="ListBullet2"/>
            </w:pPr>
            <w:r w:rsidRPr="00B63C80">
              <w:t>personnel</w:t>
            </w:r>
          </w:p>
          <w:p w:rsidR="00000000" w:rsidRPr="00B63C80" w:rsidP="00B63C80">
            <w:pPr>
              <w:pStyle w:val="ListBullet2"/>
            </w:pPr>
            <w:r w:rsidRPr="00B63C80">
              <w:t>power cables, including overhead service trays, cables and conduits</w:t>
            </w:r>
          </w:p>
          <w:p w:rsidR="00000000" w:rsidRPr="00B63C80" w:rsidP="00B63C80">
            <w:pPr>
              <w:pStyle w:val="ListBullet2"/>
            </w:pPr>
            <w:r w:rsidRPr="00B63C80">
              <w:t>restricted access barriers</w:t>
            </w:r>
          </w:p>
          <w:p w:rsidR="00000000" w:rsidRPr="00B63C80" w:rsidP="00B63C80">
            <w:pPr>
              <w:pStyle w:val="ListBullet2"/>
            </w:pPr>
            <w:r w:rsidRPr="00B63C80">
              <w:t>surrounding structures</w:t>
            </w:r>
          </w:p>
          <w:p w:rsidR="00000000" w:rsidRPr="00B63C80" w:rsidP="00B63C80">
            <w:pPr>
              <w:pStyle w:val="ListBullet2"/>
            </w:pPr>
            <w:r w:rsidRPr="00B63C80">
              <w:t>traffic control</w:t>
            </w:r>
          </w:p>
          <w:p w:rsidR="00000000" w:rsidRPr="00B63C80" w:rsidP="00B63C80">
            <w:pPr>
              <w:pStyle w:val="ListBullet2"/>
            </w:pPr>
            <w:r w:rsidRPr="00B63C80">
              <w:t>trip hazards</w:t>
            </w:r>
          </w:p>
          <w:p w:rsidR="00000000" w:rsidRPr="00B63C80" w:rsidP="00B63C80">
            <w:pPr>
              <w:pStyle w:val="ListBullet2"/>
            </w:pPr>
            <w:r w:rsidRPr="00B63C80">
              <w:t>work site visitors and the public</w:t>
            </w:r>
          </w:p>
          <w:p w:rsidR="00000000" w:rsidRPr="00B63C80" w:rsidP="00B63C80">
            <w:pPr>
              <w:pStyle w:val="ListBullet2"/>
            </w:pPr>
            <w:r w:rsidRPr="00B63C80">
              <w:t>working at heights</w:t>
            </w:r>
          </w:p>
          <w:p w:rsidR="00000000" w:rsidRPr="00B63C80" w:rsidP="00B63C80">
            <w:pPr>
              <w:pStyle w:val="ListBullet2"/>
            </w:pPr>
            <w:r w:rsidRPr="00B63C80">
              <w:t>working in confined spaces</w:t>
            </w:r>
          </w:p>
          <w:p w:rsidR="00000000" w:rsidRPr="00B63C80" w:rsidP="00B63C80">
            <w:pPr>
              <w:pStyle w:val="ListBullet2"/>
            </w:pPr>
            <w:r w:rsidRPr="00B63C80">
              <w:t>working with dangerous materi</w:t>
            </w:r>
            <w:r w:rsidRPr="00B63C80">
              <w:t>als</w:t>
            </w:r>
          </w:p>
          <w:p w:rsidR="00000000" w:rsidRPr="00B63C80" w:rsidP="00B63C80">
            <w:pPr>
              <w:pStyle w:val="ListBullet"/>
            </w:pPr>
            <w:r w:rsidRPr="00B63C80">
              <w:t>organisational first aid</w:t>
            </w:r>
          </w:p>
          <w:p w:rsidR="00000000" w:rsidRPr="00B63C80" w:rsidP="00B63C80">
            <w:pPr>
              <w:pStyle w:val="ListBullet"/>
            </w:pPr>
            <w:r w:rsidRPr="00B63C80">
              <w:t>personal protective clothing and equipment prescribed under legislation, regulations and workplace policies and practices</w:t>
            </w:r>
          </w:p>
          <w:p w:rsidR="00000000" w:rsidRPr="00B63C80" w:rsidP="00B63C80">
            <w:pPr>
              <w:pStyle w:val="ListBullet"/>
            </w:pPr>
            <w:r w:rsidRPr="00B63C80">
              <w:t>use of firefighting equipment</w:t>
            </w:r>
          </w:p>
          <w:p w:rsidR="00000000" w:rsidRPr="00B63C80" w:rsidP="00B63C80">
            <w:pPr>
              <w:pStyle w:val="ListBullet"/>
            </w:pPr>
            <w:r w:rsidRPr="00B63C80">
              <w:t>use of tools and equipment</w:t>
            </w:r>
          </w:p>
          <w:p w:rsidR="00000000" w:rsidP="00B63C80">
            <w:pPr>
              <w:pStyle w:val="ListBullet"/>
              <w:rPr>
                <w:lang w:val="en-NZ"/>
              </w:rPr>
            </w:pPr>
            <w:r w:rsidRPr="00B63C80">
              <w:t>workplace environment and safety.</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Tools and equipment</w:t>
            </w:r>
            <w:r w:rsidRPr="00B63C80">
              <w:t xml:space="preserve"> include: </w:t>
            </w:r>
          </w:p>
        </w:tc>
        <w:tc>
          <w:tcPr>
            <w:tcW w:w="5002" w:type="dxa"/>
            <w:tcBorders>
              <w:top w:val="nil"/>
              <w:left w:val="nil"/>
              <w:bottom w:val="nil"/>
              <w:right w:val="nil"/>
            </w:tcBorders>
            <w:tcMar>
              <w:top w:w="0" w:type="dxa"/>
              <w:left w:w="62" w:type="dxa"/>
              <w:bottom w:w="0" w:type="dxa"/>
              <w:right w:w="62" w:type="dxa"/>
            </w:tcMar>
          </w:tcPr>
          <w:p w:rsidR="00000000" w:rsidRPr="00B63C80" w:rsidP="00B63C80">
            <w:pPr>
              <w:pStyle w:val="ListBullet"/>
            </w:pPr>
            <w:r w:rsidRPr="00B63C80">
              <w:t>air compressors and hoses</w:t>
            </w:r>
          </w:p>
          <w:p w:rsidR="00000000" w:rsidRPr="00B63C80" w:rsidP="00B63C80">
            <w:pPr>
              <w:pStyle w:val="ListBullet"/>
            </w:pPr>
            <w:r w:rsidRPr="00B63C80">
              <w:t>angle grinders</w:t>
            </w:r>
          </w:p>
          <w:p w:rsidR="00000000" w:rsidRPr="00B63C80" w:rsidP="00B63C80">
            <w:pPr>
              <w:pStyle w:val="ListBullet"/>
            </w:pPr>
            <w:r w:rsidRPr="00B63C80">
              <w:t>chalk lines</w:t>
            </w:r>
          </w:p>
          <w:p w:rsidR="00000000" w:rsidRPr="00B63C80" w:rsidP="00B63C80">
            <w:pPr>
              <w:pStyle w:val="ListBullet"/>
            </w:pPr>
            <w:r w:rsidRPr="00B63C80">
              <w:t>chisels</w:t>
            </w:r>
          </w:p>
          <w:p w:rsidR="00000000" w:rsidRPr="00B63C80" w:rsidP="00B63C80">
            <w:pPr>
              <w:pStyle w:val="ListBullet"/>
            </w:pPr>
            <w:r w:rsidRPr="00B63C80">
              <w:t>fibre cement sheet cutters</w:t>
            </w:r>
          </w:p>
          <w:p w:rsidR="00000000" w:rsidRPr="00B63C80" w:rsidP="00B63C80">
            <w:pPr>
              <w:pStyle w:val="ListBullet"/>
            </w:pPr>
            <w:r w:rsidRPr="00B63C80">
              <w:t>hammers</w:t>
            </w:r>
          </w:p>
          <w:p w:rsidR="00000000" w:rsidRPr="00B63C80" w:rsidP="00B63C80">
            <w:pPr>
              <w:pStyle w:val="ListBullet"/>
            </w:pPr>
            <w:r w:rsidRPr="00B63C80">
              <w:t>hand saws</w:t>
            </w:r>
          </w:p>
          <w:p w:rsidR="00000000" w:rsidRPr="00B63C80" w:rsidP="00B63C80">
            <w:pPr>
              <w:pStyle w:val="ListBullet"/>
            </w:pPr>
            <w:r w:rsidRPr="00B63C80">
              <w:t>levelling equipment</w:t>
            </w:r>
          </w:p>
          <w:p w:rsidR="00000000" w:rsidRPr="00B63C80" w:rsidP="00B63C80">
            <w:pPr>
              <w:pStyle w:val="ListBullet"/>
            </w:pPr>
            <w:r w:rsidRPr="00B63C80">
              <w:t>marking equipment</w:t>
            </w:r>
          </w:p>
          <w:p w:rsidR="00000000" w:rsidRPr="00B63C80" w:rsidP="00B63C80">
            <w:pPr>
              <w:pStyle w:val="ListBullet"/>
            </w:pPr>
            <w:r w:rsidRPr="00B63C80">
              <w:t>measuring tapes and rules</w:t>
            </w:r>
          </w:p>
          <w:p w:rsidR="00000000" w:rsidRPr="00B63C80" w:rsidP="00B63C80">
            <w:pPr>
              <w:pStyle w:val="ListBullet"/>
            </w:pPr>
            <w:r w:rsidRPr="00B63C80">
              <w:t>nail bags</w:t>
            </w:r>
          </w:p>
          <w:p w:rsidR="00000000" w:rsidRPr="00B63C80" w:rsidP="00B63C80">
            <w:pPr>
              <w:pStyle w:val="ListBullet"/>
            </w:pPr>
            <w:r w:rsidRPr="00B63C80">
              <w:t>nail guns</w:t>
            </w:r>
          </w:p>
          <w:p w:rsidR="00000000" w:rsidRPr="00B63C80" w:rsidP="00B63C80">
            <w:pPr>
              <w:pStyle w:val="ListBullet"/>
            </w:pPr>
            <w:r w:rsidRPr="00B63C80">
              <w:t>power drills</w:t>
            </w:r>
          </w:p>
          <w:p w:rsidR="00000000" w:rsidRPr="00B63C80" w:rsidP="00B63C80">
            <w:pPr>
              <w:pStyle w:val="ListBullet"/>
            </w:pPr>
            <w:r w:rsidRPr="00B63C80">
              <w:t>power leads</w:t>
            </w:r>
          </w:p>
          <w:p w:rsidR="00000000" w:rsidRPr="00B63C80" w:rsidP="00B63C80">
            <w:pPr>
              <w:pStyle w:val="ListBullet"/>
            </w:pPr>
            <w:r w:rsidRPr="00B63C80">
              <w:t>power planers</w:t>
            </w:r>
          </w:p>
          <w:p w:rsidR="00000000" w:rsidRPr="00B63C80" w:rsidP="00B63C80">
            <w:pPr>
              <w:pStyle w:val="ListBullet"/>
            </w:pPr>
            <w:r w:rsidRPr="00B63C80">
              <w:t>power saws</w:t>
            </w:r>
          </w:p>
          <w:p w:rsidR="00000000" w:rsidRPr="00B63C80" w:rsidP="00B63C80">
            <w:pPr>
              <w:pStyle w:val="ListBullet"/>
            </w:pPr>
            <w:r w:rsidRPr="00B63C80">
              <w:t>power screwdrivers</w:t>
            </w:r>
          </w:p>
          <w:p w:rsidR="00000000" w:rsidRPr="00B63C80" w:rsidP="00B63C80">
            <w:pPr>
              <w:pStyle w:val="ListBullet"/>
            </w:pPr>
            <w:r w:rsidRPr="00B63C80">
              <w:t>saw stools</w:t>
            </w:r>
          </w:p>
          <w:p w:rsidR="00000000" w:rsidRPr="00B63C80" w:rsidP="00B63C80">
            <w:pPr>
              <w:pStyle w:val="ListBullet"/>
            </w:pPr>
            <w:r w:rsidRPr="00B63C80">
              <w:t>scaffolding</w:t>
            </w:r>
          </w:p>
          <w:p w:rsidR="00000000" w:rsidRPr="00B63C80" w:rsidP="00B63C80">
            <w:pPr>
              <w:pStyle w:val="ListBullet"/>
            </w:pPr>
            <w:r w:rsidRPr="00B63C80">
              <w:t>spanners</w:t>
            </w:r>
          </w:p>
          <w:p w:rsidR="00000000" w:rsidRPr="00B63C80" w:rsidP="00B63C80">
            <w:pPr>
              <w:pStyle w:val="ListBullet"/>
            </w:pPr>
            <w:r w:rsidRPr="00B63C80">
              <w:t>spirit levels</w:t>
            </w:r>
          </w:p>
          <w:p w:rsidR="00000000" w:rsidRPr="00B63C80" w:rsidP="00B63C80">
            <w:pPr>
              <w:pStyle w:val="ListBullet"/>
            </w:pPr>
            <w:r w:rsidRPr="00B63C80">
              <w:t>squares (combination/tri)</w:t>
            </w:r>
          </w:p>
          <w:p w:rsidR="00000000" w:rsidRPr="00B63C80" w:rsidP="00B63C80">
            <w:pPr>
              <w:pStyle w:val="ListBullet"/>
            </w:pPr>
            <w:r w:rsidRPr="00B63C80">
              <w:t>string lines</w:t>
            </w:r>
          </w:p>
          <w:p w:rsidR="00000000" w:rsidP="00B63C80">
            <w:pPr>
              <w:pStyle w:val="ListBullet"/>
              <w:rPr>
                <w:lang w:val="en-NZ"/>
              </w:rPr>
            </w:pPr>
            <w:r w:rsidRPr="00B63C80">
              <w:t>tin snips.</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Quality requirements</w:t>
            </w:r>
            <w:r w:rsidRPr="00B63C80">
              <w:t xml:space="preserve"> include relevant regulations, including: </w:t>
            </w:r>
          </w:p>
        </w:tc>
        <w:tc>
          <w:tcPr>
            <w:tcW w:w="5002" w:type="dxa"/>
            <w:tcBorders>
              <w:top w:val="nil"/>
              <w:left w:val="nil"/>
              <w:bottom w:val="nil"/>
              <w:right w:val="nil"/>
            </w:tcBorders>
            <w:tcMar>
              <w:top w:w="0" w:type="dxa"/>
              <w:left w:w="62" w:type="dxa"/>
              <w:bottom w:w="0" w:type="dxa"/>
              <w:right w:w="62" w:type="dxa"/>
            </w:tcMar>
          </w:tcPr>
          <w:p w:rsidR="00000000" w:rsidRPr="00B63C80" w:rsidP="00B63C80">
            <w:pPr>
              <w:pStyle w:val="ListBullet"/>
            </w:pPr>
            <w:r w:rsidRPr="00B63C80">
              <w:t>Australian standards</w:t>
            </w:r>
          </w:p>
          <w:p w:rsidR="00000000" w:rsidRPr="00B63C80" w:rsidP="00B63C80">
            <w:pPr>
              <w:pStyle w:val="ListBullet"/>
            </w:pPr>
            <w:r w:rsidRPr="00B63C80">
              <w:t>internal company quality policy and standards</w:t>
            </w:r>
          </w:p>
          <w:p w:rsidR="00000000" w:rsidRPr="00B63C80" w:rsidP="00B63C80">
            <w:pPr>
              <w:pStyle w:val="ListBullet"/>
            </w:pPr>
            <w:r w:rsidRPr="00B63C80">
              <w:t>manufacturer specifications, where specified</w:t>
            </w:r>
          </w:p>
          <w:p w:rsidR="00000000" w:rsidP="00B63C80">
            <w:pPr>
              <w:pStyle w:val="ListBullet"/>
              <w:rPr>
                <w:lang w:val="en-NZ"/>
              </w:rPr>
            </w:pPr>
            <w:r w:rsidRPr="00B63C80">
              <w:t>workplace operations and procedures.</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Materials</w:t>
            </w:r>
            <w:r w:rsidRPr="00B63C80">
              <w:t xml:space="preserve"> include: </w:t>
            </w:r>
          </w:p>
        </w:tc>
        <w:tc>
          <w:tcPr>
            <w:tcW w:w="5002" w:type="dxa"/>
            <w:tcBorders>
              <w:top w:val="nil"/>
              <w:left w:val="nil"/>
              <w:bottom w:val="nil"/>
              <w:right w:val="nil"/>
            </w:tcBorders>
            <w:tcMar>
              <w:top w:w="0" w:type="dxa"/>
              <w:left w:w="62" w:type="dxa"/>
              <w:bottom w:w="0" w:type="dxa"/>
              <w:right w:w="62" w:type="dxa"/>
            </w:tcMar>
          </w:tcPr>
          <w:p w:rsidR="00000000" w:rsidRPr="00B63C80" w:rsidP="00B63C80">
            <w:pPr>
              <w:pStyle w:val="ListBullet"/>
            </w:pPr>
            <w:r w:rsidRPr="00B63C80">
              <w:t>aluminium weatherboards</w:t>
            </w:r>
          </w:p>
          <w:p w:rsidR="00000000" w:rsidRPr="00B63C80" w:rsidP="00B63C80">
            <w:pPr>
              <w:pStyle w:val="ListBullet"/>
            </w:pPr>
            <w:r w:rsidRPr="00B63C80">
              <w:t>chamfer boards</w:t>
            </w:r>
          </w:p>
          <w:p w:rsidR="00000000" w:rsidRPr="00B63C80" w:rsidP="00B63C80">
            <w:pPr>
              <w:pStyle w:val="ListBullet"/>
            </w:pPr>
            <w:r w:rsidRPr="00B63C80">
              <w:t>fibre cement sheet panels, sheets and planks</w:t>
            </w:r>
          </w:p>
          <w:p w:rsidR="00000000" w:rsidRPr="00B63C80" w:rsidP="00B63C80">
            <w:pPr>
              <w:pStyle w:val="ListBullet"/>
            </w:pPr>
            <w:r w:rsidRPr="00B63C80">
              <w:t>flashing and sarking</w:t>
            </w:r>
          </w:p>
          <w:p w:rsidR="00000000" w:rsidRPr="00B63C80" w:rsidP="00B63C80">
            <w:pPr>
              <w:pStyle w:val="ListBullet"/>
            </w:pPr>
            <w:r w:rsidRPr="00B63C80">
              <w:t>m</w:t>
            </w:r>
            <w:r w:rsidRPr="00B63C80">
              <w:t>anufactured cladding materials (strips, sheets, boards and planks)</w:t>
            </w:r>
          </w:p>
          <w:p w:rsidR="00000000" w:rsidRPr="00B63C80" w:rsidP="00B63C80">
            <w:pPr>
              <w:pStyle w:val="ListBullet"/>
            </w:pPr>
            <w:r w:rsidRPr="00B63C80">
              <w:t>metal panelling</w:t>
            </w:r>
          </w:p>
          <w:p w:rsidR="00000000" w:rsidRPr="00B63C80" w:rsidP="00B63C80">
            <w:pPr>
              <w:pStyle w:val="ListBullet"/>
            </w:pPr>
            <w:r w:rsidRPr="00B63C80">
              <w:t>nails and screws</w:t>
            </w:r>
          </w:p>
          <w:p w:rsidR="00000000" w:rsidRPr="00B63C80" w:rsidP="00B63C80">
            <w:pPr>
              <w:pStyle w:val="ListBullet"/>
            </w:pPr>
            <w:r w:rsidRPr="00B63C80">
              <w:t>patented metal fasteners, clips and joiners</w:t>
            </w:r>
          </w:p>
          <w:p w:rsidR="00000000" w:rsidRPr="00B63C80" w:rsidP="00B63C80">
            <w:pPr>
              <w:pStyle w:val="ListBullet"/>
            </w:pPr>
            <w:r w:rsidRPr="00B63C80">
              <w:t>primer</w:t>
            </w:r>
          </w:p>
          <w:p w:rsidR="00000000" w:rsidRPr="00B63C80" w:rsidP="00B63C80">
            <w:pPr>
              <w:pStyle w:val="ListBullet"/>
            </w:pPr>
            <w:r w:rsidRPr="00B63C80">
              <w:t>reconstituted timber products</w:t>
            </w:r>
          </w:p>
          <w:p w:rsidR="00000000" w:rsidRPr="00B63C80" w:rsidP="00B63C80">
            <w:pPr>
              <w:pStyle w:val="ListBullet"/>
            </w:pPr>
            <w:r w:rsidRPr="00B63C80">
              <w:t>tempered hardboard strips</w:t>
            </w:r>
          </w:p>
          <w:p w:rsidR="00000000" w:rsidRPr="00B63C80" w:rsidP="00B63C80">
            <w:pPr>
              <w:pStyle w:val="ListBullet"/>
            </w:pPr>
            <w:r w:rsidRPr="00B63C80">
              <w:t>timber weatherboards</w:t>
            </w:r>
          </w:p>
          <w:p w:rsidR="00000000" w:rsidRPr="00B63C80" w:rsidP="00B63C80">
            <w:pPr>
              <w:pStyle w:val="ListBullet"/>
            </w:pPr>
            <w:r w:rsidRPr="00B63C80">
              <w:t>tongue and grooved timber boards</w:t>
            </w:r>
          </w:p>
          <w:p w:rsidR="00000000" w:rsidP="00B63C80">
            <w:pPr>
              <w:pStyle w:val="ListBullet"/>
              <w:rPr>
                <w:lang w:val="en-NZ"/>
              </w:rPr>
            </w:pPr>
            <w:r w:rsidRPr="00B63C80">
              <w:t>vinyl weatherboards and cladding.</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Environmental requirements</w:t>
            </w:r>
            <w:r w:rsidRPr="00B63C80">
              <w:t xml:space="preserve"> include: </w:t>
            </w:r>
          </w:p>
        </w:tc>
        <w:tc>
          <w:tcPr>
            <w:tcW w:w="5002" w:type="dxa"/>
            <w:tcBorders>
              <w:top w:val="nil"/>
              <w:left w:val="nil"/>
              <w:bottom w:val="nil"/>
              <w:right w:val="nil"/>
            </w:tcBorders>
            <w:tcMar>
              <w:top w:w="0" w:type="dxa"/>
              <w:left w:w="62" w:type="dxa"/>
              <w:bottom w:w="0" w:type="dxa"/>
              <w:right w:w="62" w:type="dxa"/>
            </w:tcMar>
          </w:tcPr>
          <w:p w:rsidR="00000000" w:rsidRPr="00B63C80" w:rsidP="00B63C80">
            <w:pPr>
              <w:pStyle w:val="ListBullet"/>
            </w:pPr>
            <w:r w:rsidRPr="00B63C80">
              <w:t>clean-up protection</w:t>
            </w:r>
          </w:p>
          <w:p w:rsidR="00000000" w:rsidRPr="00B63C80" w:rsidP="00B63C80">
            <w:pPr>
              <w:pStyle w:val="ListBullet"/>
            </w:pPr>
            <w:r w:rsidRPr="00B63C80">
              <w:t>noise and dust</w:t>
            </w:r>
          </w:p>
          <w:p w:rsidR="00000000" w:rsidRPr="00B63C80" w:rsidP="00B63C80">
            <w:pPr>
              <w:pStyle w:val="ListBullet"/>
            </w:pPr>
            <w:r w:rsidRPr="00B63C80">
              <w:t>vibration</w:t>
            </w:r>
          </w:p>
          <w:p w:rsidR="00000000" w:rsidP="00B63C80">
            <w:pPr>
              <w:pStyle w:val="ListBullet"/>
              <w:rPr>
                <w:lang w:val="en-NZ"/>
              </w:rPr>
            </w:pPr>
            <w:r w:rsidRPr="00B63C80">
              <w:t>waste management.</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Statutory and regulatory authorities</w:t>
            </w:r>
            <w:r w:rsidRPr="00B63C80">
              <w:t xml:space="preserve"> include: </w:t>
            </w:r>
          </w:p>
        </w:tc>
        <w:tc>
          <w:tcPr>
            <w:tcW w:w="5002" w:type="dxa"/>
            <w:tcBorders>
              <w:top w:val="nil"/>
              <w:left w:val="nil"/>
              <w:bottom w:val="nil"/>
              <w:right w:val="nil"/>
            </w:tcBorders>
            <w:tcMar>
              <w:top w:w="0" w:type="dxa"/>
              <w:left w:w="62" w:type="dxa"/>
              <w:bottom w:w="0" w:type="dxa"/>
              <w:right w:w="62" w:type="dxa"/>
            </w:tcMar>
          </w:tcPr>
          <w:p w:rsidR="00000000" w:rsidP="00B63C80">
            <w:pPr>
              <w:pStyle w:val="ListBullet"/>
              <w:rPr>
                <w:lang w:val="en-NZ"/>
              </w:rPr>
            </w:pPr>
            <w:r w:rsidRPr="00B63C80">
              <w:t>federal, state and local authorities a</w:t>
            </w:r>
            <w:r w:rsidRPr="00B63C80">
              <w:t>dministering applicable Acts, regulations and codes of practice.</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Exterior cladding</w:t>
            </w:r>
            <w:r w:rsidRPr="00B63C80">
              <w:t xml:space="preserve"> includes: </w:t>
            </w:r>
          </w:p>
        </w:tc>
        <w:tc>
          <w:tcPr>
            <w:tcW w:w="5002" w:type="dxa"/>
            <w:tcBorders>
              <w:top w:val="nil"/>
              <w:left w:val="nil"/>
              <w:bottom w:val="nil"/>
              <w:right w:val="nil"/>
            </w:tcBorders>
            <w:tcMar>
              <w:top w:w="0" w:type="dxa"/>
              <w:left w:w="62" w:type="dxa"/>
              <w:bottom w:w="0" w:type="dxa"/>
              <w:right w:w="62" w:type="dxa"/>
            </w:tcMar>
          </w:tcPr>
          <w:p w:rsidR="00000000" w:rsidRPr="00B63C80" w:rsidP="00B63C80">
            <w:pPr>
              <w:pStyle w:val="ListBullet"/>
            </w:pPr>
            <w:r w:rsidRPr="00B63C80">
              <w:t>fibre cement sheet</w:t>
            </w:r>
          </w:p>
          <w:p w:rsidR="00000000" w:rsidRPr="00B63C80" w:rsidP="00B63C80">
            <w:pPr>
              <w:pStyle w:val="ListBullet"/>
            </w:pPr>
            <w:r w:rsidRPr="00B63C80">
              <w:t>hardboard</w:t>
            </w:r>
          </w:p>
          <w:p w:rsidR="00000000" w:rsidRPr="00B63C80" w:rsidP="00B63C80">
            <w:pPr>
              <w:pStyle w:val="ListBullet"/>
            </w:pPr>
            <w:r w:rsidRPr="00B63C80">
              <w:t>metal</w:t>
            </w:r>
          </w:p>
          <w:p w:rsidR="00000000" w:rsidRPr="00B63C80" w:rsidP="00B63C80">
            <w:pPr>
              <w:pStyle w:val="ListBullet"/>
            </w:pPr>
            <w:r w:rsidRPr="00B63C80">
              <w:t>plastic</w:t>
            </w:r>
          </w:p>
          <w:p w:rsidR="00000000" w:rsidRPr="00B63C80" w:rsidP="00B63C80">
            <w:pPr>
              <w:pStyle w:val="ListBullet"/>
            </w:pPr>
            <w:r w:rsidRPr="00B63C80">
              <w:t>roof sheeting</w:t>
            </w:r>
          </w:p>
          <w:p w:rsidR="00000000" w:rsidP="00B63C80">
            <w:pPr>
              <w:pStyle w:val="ListBullet"/>
              <w:rPr>
                <w:lang w:val="en-NZ"/>
              </w:rPr>
            </w:pPr>
            <w:r w:rsidRPr="00B63C80">
              <w:t>timber.</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Weatherproofing</w:t>
            </w:r>
            <w:r w:rsidRPr="00B63C80">
              <w:t xml:space="preserve">, </w:t>
            </w:r>
            <w:r w:rsidRPr="00B63C80">
              <w:rPr>
                <w:rStyle w:val="BoldandItalics"/>
              </w:rPr>
              <w:t>vapour barrier and flashing</w:t>
            </w:r>
            <w:r w:rsidRPr="00B63C80">
              <w:t xml:space="preserve"> are in accordance with: </w:t>
            </w:r>
          </w:p>
        </w:tc>
        <w:tc>
          <w:tcPr>
            <w:tcW w:w="5002" w:type="dxa"/>
            <w:tcBorders>
              <w:top w:val="nil"/>
              <w:left w:val="nil"/>
              <w:bottom w:val="nil"/>
              <w:right w:val="nil"/>
            </w:tcBorders>
            <w:tcMar>
              <w:top w:w="0" w:type="dxa"/>
              <w:left w:w="62" w:type="dxa"/>
              <w:bottom w:w="0" w:type="dxa"/>
              <w:right w:w="62" w:type="dxa"/>
            </w:tcMar>
          </w:tcPr>
          <w:p w:rsidR="00000000" w:rsidRPr="00B63C80" w:rsidP="00B63C80">
            <w:pPr>
              <w:pStyle w:val="ListBullet"/>
            </w:pPr>
            <w:r w:rsidRPr="00B63C80">
              <w:t>manufacturer specifications</w:t>
            </w:r>
          </w:p>
          <w:p w:rsidR="00000000" w:rsidP="00B63C80">
            <w:pPr>
              <w:pStyle w:val="ListBullet"/>
              <w:rPr>
                <w:lang w:val="en-NZ"/>
              </w:rPr>
            </w:pPr>
            <w:r w:rsidRPr="00B63C80">
              <w:t>regulations.</w:t>
            </w:r>
          </w:p>
        </w:tc>
      </w:tr>
      <w:tr w:rsidTr="003E2277">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BoldandItalics"/>
              </w:rPr>
              <w:t>Weatherboards</w:t>
            </w:r>
            <w:r w:rsidRPr="00B63C80">
              <w:t xml:space="preserve">: </w:t>
            </w:r>
          </w:p>
        </w:tc>
        <w:tc>
          <w:tcPr>
            <w:tcW w:w="5002" w:type="dxa"/>
            <w:tcBorders>
              <w:top w:val="nil"/>
              <w:left w:val="nil"/>
              <w:bottom w:val="nil"/>
              <w:right w:val="nil"/>
            </w:tcBorders>
            <w:tcMar>
              <w:top w:w="0" w:type="dxa"/>
              <w:left w:w="62" w:type="dxa"/>
              <w:bottom w:w="0" w:type="dxa"/>
              <w:right w:w="62" w:type="dxa"/>
            </w:tcMar>
          </w:tcPr>
          <w:p w:rsidR="00000000" w:rsidRPr="00B63C80" w:rsidP="00B63C80">
            <w:pPr>
              <w:pStyle w:val="ListBullet"/>
            </w:pPr>
            <w:r w:rsidRPr="00B63C80">
              <w:t>may be fixed horizontal, vertical, diagonal or raked</w:t>
            </w:r>
          </w:p>
          <w:p w:rsidR="00000000" w:rsidRPr="00B63C80" w:rsidP="00B63C80">
            <w:pPr>
              <w:pStyle w:val="ListBullet"/>
            </w:pPr>
            <w:r w:rsidRPr="00B63C80">
              <w:t>internal/external corners and joints between boards can be determined by the material being used, manufacturer recommendations and job specifica</w:t>
            </w:r>
            <w:r w:rsidRPr="00B63C80">
              <w:t>tions</w:t>
            </w:r>
          </w:p>
          <w:p w:rsidR="00000000" w:rsidRPr="00B63C80" w:rsidP="00B63C80">
            <w:pPr>
              <w:pStyle w:val="ListBullet"/>
            </w:pPr>
            <w:r w:rsidRPr="00B63C80">
              <w:t>effective cover of weatherboard is determined by weatherboard profile or type</w:t>
            </w:r>
          </w:p>
          <w:p w:rsidR="00000000" w:rsidRPr="00B63C80" w:rsidP="00B63C80">
            <w:pPr>
              <w:pStyle w:val="ListBullet"/>
            </w:pPr>
            <w:r w:rsidRPr="00B63C80">
              <w:t>gauge rod is to be used for weatherboard set out.</w:t>
            </w:r>
          </w:p>
        </w:tc>
      </w:tr>
    </w:tbl>
    <w:p w:rsidR="003E2277" w:rsidP="00B63C80">
      <w:pPr>
        <w:pStyle w:val="BodyText"/>
      </w:pPr>
    </w:p>
    <w:p w:rsidR="003E2277" w:rsidP="00B63C80">
      <w:pPr>
        <w:pStyle w:val="BodyText"/>
      </w:pPr>
    </w:p>
    <w:p w:rsidR="00000000" w:rsidRPr="00B63C80" w:rsidP="00B63C80">
      <w:pPr>
        <w:pStyle w:val="Heading1"/>
      </w:pPr>
      <w:bookmarkStart w:id="12" w:name="O_197478"/>
      <w:bookmarkEnd w:id="12"/>
      <w:r w:rsidRPr="00B63C80">
        <w:t>Unit Sector(s)</w:t>
      </w:r>
    </w:p>
    <w:tbl>
      <w:tblPr>
        <w:tblW w:w="0" w:type="auto"/>
        <w:tblLayout w:type="fixed"/>
        <w:tblCellMar>
          <w:left w:w="62" w:type="dxa"/>
          <w:right w:w="62" w:type="dxa"/>
        </w:tblCellMar>
        <w:tblLook w:val="0000"/>
      </w:tblPr>
      <w:tblGrid>
        <w:gridCol w:w="2594"/>
        <w:gridCol w:w="5928"/>
      </w:tblGrid>
      <w:tr w:rsidTr="003E2277">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Construction</w:t>
            </w:r>
          </w:p>
        </w:tc>
      </w:tr>
    </w:tbl>
    <w:p w:rsidR="003E2277" w:rsidP="00B63C80">
      <w:pPr>
        <w:pStyle w:val="BodyText"/>
      </w:pPr>
    </w:p>
    <w:p w:rsidR="003E2277" w:rsidP="00B63C80">
      <w:pPr>
        <w:pStyle w:val="BodyText"/>
      </w:pPr>
    </w:p>
    <w:p w:rsidR="00000000" w:rsidRPr="00B63C80" w:rsidP="00B63C80">
      <w:pPr>
        <w:pStyle w:val="Heading1"/>
      </w:pPr>
      <w:bookmarkStart w:id="13" w:name="O_197475"/>
      <w:bookmarkEnd w:id="13"/>
      <w:r w:rsidRPr="00B63C80">
        <w:t>Co-requisite units</w:t>
      </w:r>
    </w:p>
    <w:tbl>
      <w:tblPr>
        <w:tblW w:w="0" w:type="auto"/>
        <w:tblLayout w:type="fixed"/>
        <w:tblCellMar>
          <w:left w:w="62" w:type="dxa"/>
          <w:right w:w="62" w:type="dxa"/>
        </w:tblCellMar>
        <w:tblLook w:val="0000"/>
      </w:tblPr>
      <w:tblGrid>
        <w:gridCol w:w="2607"/>
        <w:gridCol w:w="5915"/>
      </w:tblGrid>
      <w:tr w:rsidTr="003E2277">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Co-requisite units</w:t>
            </w:r>
          </w:p>
        </w:tc>
        <w:tc>
          <w:tcPr>
            <w:tcW w:w="5915" w:type="dxa"/>
            <w:tcBorders>
              <w:top w:val="nil"/>
              <w:left w:val="nil"/>
              <w:bottom w:val="nil"/>
              <w:right w:val="nil"/>
            </w:tcBorders>
            <w:tcMar>
              <w:top w:w="0" w:type="dxa"/>
              <w:left w:w="62" w:type="dxa"/>
              <w:bottom w:w="0" w:type="dxa"/>
              <w:right w:w="62" w:type="dxa"/>
            </w:tcMar>
          </w:tcPr>
          <w:p w:rsidR="00000000" w:rsidRPr="00B63C80" w:rsidP="00B63C80">
            <w:pPr>
              <w:pStyle w:val="BodyText"/>
            </w:pPr>
            <w:r w:rsidRPr="00B63C80">
              <w:t>Nil</w:t>
            </w:r>
          </w:p>
        </w:tc>
      </w:tr>
    </w:tbl>
    <w:p w:rsidR="003E2277" w:rsidP="00B63C80">
      <w:pPr>
        <w:pStyle w:val="BodyText"/>
      </w:pPr>
    </w:p>
    <w:p w:rsidR="003E2277" w:rsidP="00B63C80">
      <w:pPr>
        <w:pStyle w:val="BodyText"/>
      </w:pPr>
    </w:p>
    <w:p w:rsidR="00000000" w:rsidRPr="00B63C80" w:rsidP="00B63C80">
      <w:pPr>
        <w:pStyle w:val="Heading1"/>
      </w:pPr>
      <w:bookmarkStart w:id="14" w:name="O_197477"/>
      <w:bookmarkEnd w:id="14"/>
      <w:r w:rsidRPr="00B63C80">
        <w:t>Functional area</w:t>
      </w:r>
    </w:p>
    <w:tbl>
      <w:tblPr>
        <w:tblW w:w="0" w:type="auto"/>
        <w:tblLayout w:type="fixed"/>
        <w:tblCellMar>
          <w:left w:w="62" w:type="dxa"/>
          <w:right w:w="62" w:type="dxa"/>
        </w:tblCellMar>
        <w:tblLook w:val="0000"/>
      </w:tblPr>
      <w:tblGrid>
        <w:gridCol w:w="2695"/>
        <w:gridCol w:w="5827"/>
      </w:tblGrid>
      <w:tr w:rsidTr="003E2277">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B63C80">
            <w:pPr>
              <w:pStyle w:val="BodyText"/>
              <w:rPr>
                <w:lang w:val="en-NZ"/>
              </w:rPr>
            </w:pPr>
            <w:r w:rsidRPr="00B63C80">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B63C80" w:rsidP="00B63C80">
            <w:pPr>
              <w:pStyle w:val="BodyText"/>
            </w:pPr>
          </w:p>
        </w:tc>
      </w:tr>
    </w:tbl>
    <w:p w:rsidR="003E2277" w:rsidP="00B63C80">
      <w:pPr>
        <w:pStyle w:val="BodyText"/>
      </w:pPr>
    </w:p>
    <w:p w:rsidR="003E2277" w:rsidP="00B63C80">
      <w:pPr>
        <w:pStyle w:val="BodyText"/>
      </w:pPr>
    </w:p>
    <w:p w:rsidR="00000000" w:rsidRPr="00B63C80" w:rsidP="00B63C80"/>
    <w:sectPr w:rsidSect="00B63C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277" w:rsidP="003E2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277" w:rsidP="00B63C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E2277" w:rsidP="00B63C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E2277" w:rsidP="00B63C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277" w:rsidP="003E22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C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277" w:rsidP="00B63C80">
    <w:pPr>
      <w:pStyle w:val="Header"/>
      <w:framePr w:wrap="around"/>
    </w:pPr>
    <w:r>
      <w:fldChar w:fldCharType="begin"/>
    </w:r>
    <w:r>
      <w:instrText xml:space="preserve"> TITLE   \* MERGEFORMAT </w:instrText>
    </w:r>
    <w:r>
      <w:fldChar w:fldCharType="separate"/>
    </w:r>
    <w:r>
      <w:t>CPCCCA3017A Install exterior cladding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E2277" w:rsidP="00B63C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B6F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EC91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565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C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3C80"/>
    <w:pPr>
      <w:spacing w:before="360" w:after="60"/>
      <w:outlineLvl w:val="0"/>
    </w:pPr>
    <w:rPr>
      <w:sz w:val="32"/>
    </w:rPr>
  </w:style>
  <w:style w:type="paragraph" w:styleId="Heading2">
    <w:name w:val="heading 2"/>
    <w:basedOn w:val="HeadingBase"/>
    <w:next w:val="BodyText"/>
    <w:link w:val="Heading2Char"/>
    <w:qFormat/>
    <w:rsid w:val="00B63C80"/>
    <w:pPr>
      <w:keepLines/>
      <w:spacing w:before="240" w:after="120"/>
      <w:outlineLvl w:val="1"/>
    </w:pPr>
    <w:rPr>
      <w:sz w:val="28"/>
      <w:szCs w:val="40"/>
    </w:rPr>
  </w:style>
  <w:style w:type="paragraph" w:styleId="Heading3">
    <w:name w:val="heading 3"/>
    <w:basedOn w:val="HeadingBase"/>
    <w:next w:val="BodyText"/>
    <w:link w:val="Heading3Char"/>
    <w:qFormat/>
    <w:rsid w:val="00B63C80"/>
    <w:pPr>
      <w:spacing w:before="180" w:after="120"/>
      <w:outlineLvl w:val="2"/>
    </w:pPr>
    <w:rPr>
      <w:spacing w:val="-10"/>
      <w:kern w:val="32"/>
    </w:rPr>
  </w:style>
  <w:style w:type="paragraph" w:styleId="Heading4">
    <w:name w:val="heading 4"/>
    <w:basedOn w:val="HeadingBase"/>
    <w:next w:val="BodyText"/>
    <w:link w:val="Heading4Char"/>
    <w:qFormat/>
    <w:rsid w:val="00B63C80"/>
    <w:pPr>
      <w:spacing w:before="160" w:after="120"/>
      <w:outlineLvl w:val="3"/>
    </w:pPr>
    <w:rPr>
      <w:sz w:val="22"/>
    </w:rPr>
  </w:style>
  <w:style w:type="paragraph" w:styleId="Heading5">
    <w:name w:val="heading 5"/>
    <w:basedOn w:val="HeadingBase"/>
    <w:next w:val="Normal"/>
    <w:link w:val="Heading5Char"/>
    <w:qFormat/>
    <w:rsid w:val="00B63C80"/>
    <w:pPr>
      <w:spacing w:before="80"/>
      <w:outlineLvl w:val="4"/>
    </w:pPr>
    <w:rPr>
      <w:color w:val="918585"/>
      <w:sz w:val="20"/>
    </w:rPr>
  </w:style>
  <w:style w:type="paragraph" w:styleId="Heading6">
    <w:name w:val="heading 6"/>
    <w:basedOn w:val="HeadingBase"/>
    <w:next w:val="Normal"/>
    <w:link w:val="Heading6Char"/>
    <w:qFormat/>
    <w:rsid w:val="00B63C80"/>
    <w:pPr>
      <w:spacing w:before="60"/>
      <w:outlineLvl w:val="5"/>
    </w:pPr>
    <w:rPr>
      <w:color w:val="918585"/>
      <w:sz w:val="20"/>
    </w:rPr>
  </w:style>
  <w:style w:type="paragraph" w:styleId="Heading7">
    <w:name w:val="heading 7"/>
    <w:basedOn w:val="Normal"/>
    <w:next w:val="Normal"/>
    <w:link w:val="Heading7Char"/>
    <w:qFormat/>
    <w:rsid w:val="00B63C80"/>
    <w:pPr>
      <w:ind w:left="720"/>
      <w:outlineLvl w:val="6"/>
    </w:pPr>
    <w:rPr>
      <w:i/>
    </w:rPr>
  </w:style>
  <w:style w:type="paragraph" w:styleId="Heading8">
    <w:name w:val="heading 8"/>
    <w:basedOn w:val="Normal"/>
    <w:next w:val="Normal"/>
    <w:link w:val="Heading8Char"/>
    <w:qFormat/>
    <w:rsid w:val="00B63C80"/>
    <w:pPr>
      <w:ind w:left="720"/>
      <w:outlineLvl w:val="7"/>
    </w:pPr>
    <w:rPr>
      <w:i/>
    </w:rPr>
  </w:style>
  <w:style w:type="paragraph" w:styleId="Heading9">
    <w:name w:val="heading 9"/>
    <w:basedOn w:val="Normal"/>
    <w:next w:val="Normal"/>
    <w:link w:val="Heading9Char"/>
    <w:qFormat/>
    <w:rsid w:val="00B63C80"/>
    <w:pPr>
      <w:ind w:left="720"/>
      <w:outlineLvl w:val="8"/>
    </w:pPr>
    <w:rPr>
      <w:i/>
    </w:rPr>
  </w:style>
  <w:style w:type="character" w:default="1" w:styleId="DefaultParagraphFont">
    <w:name w:val="Default Paragraph Font"/>
    <w:uiPriority w:val="1"/>
    <w:unhideWhenUsed/>
    <w:rsid w:val="00B63C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C80"/>
  </w:style>
  <w:style w:type="character" w:customStyle="1" w:styleId="Heading1Char">
    <w:name w:val="Heading 1 Char"/>
    <w:basedOn w:val="DefaultParagraphFont"/>
    <w:link w:val="Heading1"/>
    <w:rsid w:val="00B63C80"/>
    <w:rPr>
      <w:rFonts w:ascii="Times New Roman" w:eastAsia="Times New Roman" w:hAnsi="Times New Roman" w:cs="Times New Roman"/>
      <w:b/>
      <w:sz w:val="32"/>
      <w:szCs w:val="20"/>
      <w:lang w:eastAsia="en-US"/>
    </w:rPr>
  </w:style>
  <w:style w:type="paragraph" w:styleId="BodyText">
    <w:name w:val="Body Text"/>
    <w:basedOn w:val="Normal"/>
    <w:link w:val="BodyTextChar"/>
    <w:rsid w:val="00B63C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C80"/>
    <w:rPr>
      <w:rFonts w:ascii="Times New Roman" w:eastAsia="Times New Roman" w:hAnsi="Times New Roman" w:cs="Times New Roman"/>
      <w:sz w:val="24"/>
      <w:lang w:val="en-US" w:eastAsia="en-US"/>
    </w:rPr>
  </w:style>
  <w:style w:type="paragraph" w:styleId="Footer">
    <w:name w:val="footer"/>
    <w:basedOn w:val="Normal"/>
    <w:link w:val="FooterChar"/>
    <w:rsid w:val="00B63C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C80"/>
    <w:rPr>
      <w:rFonts w:ascii="Times New Roman" w:eastAsia="Times New Roman" w:hAnsi="Times New Roman" w:cs="Times New Roman"/>
      <w:sz w:val="16"/>
      <w:lang w:val="en-US" w:eastAsia="en-US"/>
    </w:rPr>
  </w:style>
  <w:style w:type="paragraph" w:styleId="List">
    <w:name w:val="List"/>
    <w:basedOn w:val="BodyText"/>
    <w:next w:val="BodyText"/>
    <w:rsid w:val="00B63C80"/>
    <w:pPr>
      <w:tabs>
        <w:tab w:val="left" w:pos="340"/>
      </w:tabs>
      <w:spacing w:before="60" w:after="60"/>
      <w:ind w:left="340" w:hanging="340"/>
    </w:pPr>
  </w:style>
  <w:style w:type="paragraph" w:styleId="ListBullet">
    <w:name w:val="List Bullet"/>
    <w:basedOn w:val="List"/>
    <w:rsid w:val="00B63C80"/>
    <w:pPr>
      <w:numPr>
        <w:numId w:val="14"/>
      </w:numPr>
      <w:tabs>
        <w:tab w:val="clear" w:pos="340"/>
      </w:tabs>
      <w:spacing w:before="40" w:after="40"/>
    </w:pPr>
  </w:style>
  <w:style w:type="character" w:customStyle="1" w:styleId="SpecialBold">
    <w:name w:val="Special Bold"/>
    <w:basedOn w:val="DefaultParagraphFont"/>
    <w:rsid w:val="00B63C80"/>
    <w:rPr>
      <w:b/>
      <w:spacing w:val="0"/>
    </w:rPr>
  </w:style>
  <w:style w:type="paragraph" w:styleId="ListBullet2">
    <w:name w:val="List Bullet 2"/>
    <w:basedOn w:val="List2"/>
    <w:rsid w:val="00B63C80"/>
    <w:pPr>
      <w:numPr>
        <w:numId w:val="15"/>
      </w:numPr>
      <w:tabs>
        <w:tab w:val="clear" w:pos="680"/>
      </w:tabs>
    </w:pPr>
  </w:style>
  <w:style w:type="paragraph" w:styleId="Header">
    <w:name w:val="header"/>
    <w:basedOn w:val="Normal"/>
    <w:link w:val="HeaderChar"/>
    <w:rsid w:val="00B63C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C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3C80"/>
    <w:pPr>
      <w:spacing w:before="240" w:after="120"/>
      <w:outlineLvl w:val="0"/>
    </w:pPr>
    <w:rPr>
      <w:rFonts w:ascii="Times New Roman" w:hAnsi="Times New Roman"/>
      <w:b/>
      <w:sz w:val="28"/>
    </w:rPr>
  </w:style>
  <w:style w:type="paragraph" w:customStyle="1" w:styleId="AllowPageBreak">
    <w:name w:val="AllowPageBreak"/>
    <w:rsid w:val="00B63C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3C80"/>
    <w:pPr>
      <w:tabs>
        <w:tab w:val="left" w:pos="680"/>
      </w:tabs>
      <w:spacing w:before="60" w:after="60"/>
      <w:ind w:left="680" w:hanging="340"/>
    </w:pPr>
  </w:style>
  <w:style w:type="paragraph" w:styleId="ListBullet3">
    <w:name w:val="List Bullet 3"/>
    <w:basedOn w:val="List3"/>
    <w:rsid w:val="00B63C80"/>
    <w:pPr>
      <w:numPr>
        <w:numId w:val="3"/>
      </w:numPr>
      <w:tabs>
        <w:tab w:val="clear" w:pos="1021"/>
      </w:tabs>
      <w:ind w:left="1037" w:hanging="357"/>
    </w:pPr>
  </w:style>
  <w:style w:type="character" w:customStyle="1" w:styleId="BoldandItalics">
    <w:name w:val="Bold and Italics"/>
    <w:qFormat/>
    <w:rsid w:val="00B63C80"/>
    <w:rPr>
      <w:b/>
      <w:i/>
      <w:u w:val="none"/>
    </w:rPr>
  </w:style>
  <w:style w:type="character" w:customStyle="1" w:styleId="Heading2Char">
    <w:name w:val="Heading 2 Char"/>
    <w:basedOn w:val="DefaultParagraphFont"/>
    <w:link w:val="Heading2"/>
    <w:rsid w:val="00B63C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C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C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C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C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C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3C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3C80"/>
    <w:rPr>
      <w:rFonts w:ascii="Courier New" w:eastAsia="Times New Roman" w:hAnsi="Courier New" w:cs="Times New Roman"/>
      <w:i/>
      <w:szCs w:val="20"/>
      <w:lang w:val="en-US" w:eastAsia="en-US"/>
    </w:rPr>
  </w:style>
  <w:style w:type="paragraph" w:customStyle="1" w:styleId="HeadingBase">
    <w:name w:val="Heading Base"/>
    <w:rsid w:val="00B63C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C80"/>
    <w:pPr>
      <w:tabs>
        <w:tab w:val="right" w:leader="dot" w:pos="9072"/>
      </w:tabs>
      <w:ind w:left="567"/>
    </w:pPr>
    <w:rPr>
      <w:szCs w:val="22"/>
    </w:rPr>
  </w:style>
  <w:style w:type="paragraph" w:customStyle="1" w:styleId="TOCBase">
    <w:name w:val="TOC Base"/>
    <w:rsid w:val="00B63C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C80"/>
    <w:pPr>
      <w:tabs>
        <w:tab w:val="right" w:leader="dot" w:pos="9072"/>
      </w:tabs>
      <w:spacing w:before="40" w:after="40"/>
      <w:ind w:left="284"/>
    </w:pPr>
    <w:rPr>
      <w:rFonts w:ascii="Times New Roman" w:hAnsi="Times New Roman"/>
    </w:rPr>
  </w:style>
  <w:style w:type="paragraph" w:styleId="TOC1">
    <w:name w:val="toc 1"/>
    <w:basedOn w:val="TOCBase"/>
    <w:next w:val="Normal"/>
    <w:rsid w:val="00B63C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C80"/>
    <w:pPr>
      <w:spacing w:before="5040"/>
      <w:jc w:val="center"/>
    </w:pPr>
    <w:rPr>
      <w:sz w:val="48"/>
      <w:szCs w:val="72"/>
      <w:lang w:val="en-US"/>
    </w:rPr>
  </w:style>
  <w:style w:type="character" w:customStyle="1" w:styleId="TitleChar">
    <w:name w:val="Title Char"/>
    <w:basedOn w:val="DefaultParagraphFont"/>
    <w:link w:val="Title"/>
    <w:rsid w:val="00B63C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C80"/>
    <w:pPr>
      <w:tabs>
        <w:tab w:val="left" w:pos="3600"/>
        <w:tab w:val="left" w:pos="3958"/>
      </w:tabs>
    </w:pPr>
  </w:style>
  <w:style w:type="paragraph" w:customStyle="1" w:styleId="Note">
    <w:name w:val="Note"/>
    <w:basedOn w:val="BodyText"/>
    <w:rsid w:val="00B63C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C80"/>
    <w:pPr>
      <w:framePr w:wrap="auto" w:hAnchor="text" w:y="6049"/>
    </w:pPr>
    <w:rPr>
      <w:color w:val="000000"/>
      <w:sz w:val="40"/>
    </w:rPr>
  </w:style>
  <w:style w:type="paragraph" w:customStyle="1" w:styleId="TOCTitle">
    <w:name w:val="TOCTitle"/>
    <w:basedOn w:val="Heading1"/>
    <w:rsid w:val="00B63C80"/>
    <w:pPr>
      <w:spacing w:after="240"/>
      <w:jc w:val="center"/>
      <w:outlineLvl w:val="9"/>
    </w:pPr>
    <w:rPr>
      <w:caps/>
    </w:rPr>
  </w:style>
  <w:style w:type="paragraph" w:customStyle="1" w:styleId="Version">
    <w:name w:val="Version"/>
    <w:rsid w:val="00B63C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C80"/>
    <w:pPr>
      <w:keepNext w:val="0"/>
      <w:tabs>
        <w:tab w:val="right" w:pos="4176"/>
      </w:tabs>
      <w:ind w:left="198" w:hanging="198"/>
    </w:pPr>
    <w:rPr>
      <w:rFonts w:ascii="Garamond" w:hAnsi="Garamond"/>
    </w:rPr>
  </w:style>
  <w:style w:type="paragraph" w:styleId="IndexHeading">
    <w:name w:val="index heading"/>
    <w:basedOn w:val="Normal"/>
    <w:next w:val="Index1"/>
    <w:semiHidden/>
    <w:rsid w:val="00B63C80"/>
    <w:pPr>
      <w:spacing w:before="120" w:after="120"/>
    </w:pPr>
    <w:rPr>
      <w:rFonts w:ascii="Arial" w:hAnsi="Arial"/>
      <w:b/>
      <w:color w:val="918585"/>
      <w:sz w:val="24"/>
    </w:rPr>
  </w:style>
  <w:style w:type="paragraph" w:customStyle="1" w:styleId="Chapter">
    <w:name w:val="Chapter"/>
    <w:basedOn w:val="Normal"/>
    <w:rsid w:val="00B63C80"/>
    <w:pPr>
      <w:spacing w:before="240"/>
    </w:pPr>
    <w:rPr>
      <w:rFonts w:ascii="Times New Roman" w:hAnsi="Times New Roman"/>
      <w:smallCaps/>
      <w:spacing w:val="80"/>
      <w:sz w:val="28"/>
    </w:rPr>
  </w:style>
  <w:style w:type="paragraph" w:customStyle="1" w:styleId="InChapter">
    <w:name w:val="InChapter"/>
    <w:basedOn w:val="Heading3"/>
    <w:rsid w:val="00B63C80"/>
    <w:pPr>
      <w:spacing w:after="240"/>
      <w:outlineLvl w:val="9"/>
    </w:pPr>
    <w:rPr>
      <w:noProof/>
    </w:rPr>
  </w:style>
  <w:style w:type="paragraph" w:styleId="Index2">
    <w:name w:val="index 2"/>
    <w:basedOn w:val="Normal"/>
    <w:next w:val="Normal"/>
    <w:semiHidden/>
    <w:rsid w:val="00B63C80"/>
    <w:pPr>
      <w:tabs>
        <w:tab w:val="right" w:pos="4176"/>
      </w:tabs>
      <w:ind w:left="568" w:hanging="284"/>
    </w:pPr>
    <w:rPr>
      <w:rFonts w:ascii="Garamond" w:hAnsi="Garamond"/>
    </w:rPr>
  </w:style>
  <w:style w:type="paragraph" w:customStyle="1" w:styleId="Byline">
    <w:name w:val="Byline"/>
    <w:rsid w:val="00B63C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C80"/>
    <w:pPr>
      <w:tabs>
        <w:tab w:val="clear" w:pos="3600"/>
        <w:tab w:val="clear" w:pos="3958"/>
      </w:tabs>
      <w:jc w:val="right"/>
    </w:pPr>
  </w:style>
  <w:style w:type="character" w:styleId="Emphasis">
    <w:name w:val="Emphasis"/>
    <w:basedOn w:val="DefaultParagraphFont"/>
    <w:qFormat/>
    <w:rsid w:val="00B63C80"/>
    <w:rPr>
      <w:i/>
    </w:rPr>
  </w:style>
  <w:style w:type="paragraph" w:styleId="Caption">
    <w:name w:val="caption"/>
    <w:basedOn w:val="BodyText"/>
    <w:next w:val="Normal"/>
    <w:qFormat/>
    <w:rsid w:val="00B63C80"/>
    <w:pPr>
      <w:framePr w:w="2268" w:hSpace="181" w:vSpace="181" w:wrap="around" w:vAnchor="text" w:hAnchor="page" w:x="1135" w:y="285" w:anchorLock="1"/>
    </w:pPr>
    <w:rPr>
      <w:i/>
    </w:rPr>
  </w:style>
  <w:style w:type="paragraph" w:customStyle="1" w:styleId="MiniTOCTitle">
    <w:name w:val="MiniTOCTitle"/>
    <w:basedOn w:val="Heading4"/>
    <w:rsid w:val="00B63C80"/>
    <w:pPr>
      <w:spacing w:before="240"/>
      <w:outlineLvl w:val="9"/>
    </w:pPr>
    <w:rPr>
      <w:noProof/>
      <w:sz w:val="24"/>
    </w:rPr>
  </w:style>
  <w:style w:type="paragraph" w:customStyle="1" w:styleId="MiniTOCItem">
    <w:name w:val="MiniTOCItem"/>
    <w:basedOn w:val="ListBullet"/>
    <w:rsid w:val="00B63C80"/>
    <w:pPr>
      <w:numPr>
        <w:numId w:val="0"/>
      </w:numPr>
      <w:tabs>
        <w:tab w:val="right" w:leader="dot" w:pos="6521"/>
      </w:tabs>
      <w:spacing w:before="0" w:after="0"/>
    </w:pPr>
  </w:style>
  <w:style w:type="paragraph" w:customStyle="1" w:styleId="TOFTitle">
    <w:name w:val="TOFTitle"/>
    <w:basedOn w:val="TOCTitle"/>
    <w:rsid w:val="00B63C80"/>
  </w:style>
  <w:style w:type="paragraph" w:styleId="TableofFigures">
    <w:name w:val="table of figures"/>
    <w:basedOn w:val="Normal"/>
    <w:next w:val="Normal"/>
    <w:semiHidden/>
    <w:rsid w:val="00B63C80"/>
    <w:pPr>
      <w:tabs>
        <w:tab w:val="right" w:leader="dot" w:pos="9072"/>
      </w:tabs>
      <w:ind w:left="970" w:hanging="403"/>
    </w:pPr>
    <w:rPr>
      <w:rFonts w:ascii="Times New Roman" w:hAnsi="Times New Roman"/>
      <w:b/>
    </w:rPr>
  </w:style>
  <w:style w:type="paragraph" w:styleId="ListNumber">
    <w:name w:val="List Number"/>
    <w:basedOn w:val="List"/>
    <w:rsid w:val="00B63C80"/>
    <w:pPr>
      <w:numPr>
        <w:numId w:val="12"/>
      </w:numPr>
    </w:pPr>
  </w:style>
  <w:style w:type="character" w:customStyle="1" w:styleId="WingdingSymbols">
    <w:name w:val="Wingding Symbols"/>
    <w:rsid w:val="00B63C80"/>
    <w:rPr>
      <w:rFonts w:ascii="Wingdings" w:hAnsi="Wingdings"/>
    </w:rPr>
  </w:style>
  <w:style w:type="paragraph" w:customStyle="1" w:styleId="TableHeading">
    <w:name w:val="Table Heading"/>
    <w:basedOn w:val="HeadingBase"/>
    <w:rsid w:val="00B63C80"/>
    <w:pPr>
      <w:keepLines/>
      <w:pBdr>
        <w:bottom w:val="single" w:sz="6" w:space="1" w:color="918585"/>
      </w:pBdr>
      <w:spacing w:before="240"/>
    </w:pPr>
  </w:style>
  <w:style w:type="character" w:customStyle="1" w:styleId="HotSpot">
    <w:name w:val="HotSpot"/>
    <w:rsid w:val="00B63C80"/>
    <w:rPr>
      <w:color w:val="0033CC"/>
      <w:u w:val="none"/>
    </w:rPr>
  </w:style>
  <w:style w:type="paragraph" w:customStyle="1" w:styleId="BodyTextRight">
    <w:name w:val="Body Text Right"/>
    <w:basedOn w:val="BodyText"/>
    <w:rsid w:val="00B63C80"/>
    <w:pPr>
      <w:spacing w:before="0" w:after="0"/>
      <w:jc w:val="right"/>
    </w:pPr>
  </w:style>
  <w:style w:type="paragraph" w:styleId="Index3">
    <w:name w:val="index 3"/>
    <w:basedOn w:val="ListNumber2"/>
    <w:next w:val="Normal"/>
    <w:semiHidden/>
    <w:rsid w:val="00B63C80"/>
    <w:pPr>
      <w:numPr>
        <w:numId w:val="0"/>
      </w:numPr>
      <w:tabs>
        <w:tab w:val="right" w:leader="dot" w:pos="4176"/>
      </w:tabs>
    </w:pPr>
  </w:style>
  <w:style w:type="paragraph" w:styleId="ListNumber2">
    <w:name w:val="List Number 2"/>
    <w:basedOn w:val="List2"/>
    <w:rsid w:val="00B63C80"/>
    <w:pPr>
      <w:numPr>
        <w:numId w:val="11"/>
      </w:numPr>
      <w:tabs>
        <w:tab w:val="clear" w:pos="1060"/>
      </w:tabs>
    </w:pPr>
  </w:style>
  <w:style w:type="paragraph" w:customStyle="1" w:styleId="MarginNote">
    <w:name w:val="Margin Note"/>
    <w:basedOn w:val="BodyText"/>
    <w:rsid w:val="00B63C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C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C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3C80"/>
    <w:rPr>
      <w:sz w:val="32"/>
    </w:rPr>
  </w:style>
  <w:style w:type="paragraph" w:customStyle="1" w:styleId="HeadingProcedure">
    <w:name w:val="Heading Procedure"/>
    <w:basedOn w:val="HeadingBase"/>
    <w:next w:val="Normal"/>
    <w:rsid w:val="00B63C80"/>
    <w:pPr>
      <w:tabs>
        <w:tab w:val="left" w:pos="0"/>
      </w:tabs>
      <w:spacing w:before="120" w:after="60"/>
    </w:pPr>
    <w:rPr>
      <w:i/>
      <w:color w:val="918585"/>
      <w:sz w:val="22"/>
    </w:rPr>
  </w:style>
  <w:style w:type="paragraph" w:customStyle="1" w:styleId="TableBodyText">
    <w:name w:val="Table Body Text"/>
    <w:basedOn w:val="BodyText"/>
    <w:rsid w:val="00B63C80"/>
    <w:pPr>
      <w:spacing w:before="60" w:after="60"/>
    </w:pPr>
  </w:style>
  <w:style w:type="paragraph" w:styleId="ListContinue">
    <w:name w:val="List Continue"/>
    <w:basedOn w:val="List"/>
    <w:rsid w:val="00B63C80"/>
    <w:pPr>
      <w:ind w:firstLine="0"/>
    </w:pPr>
  </w:style>
  <w:style w:type="paragraph" w:customStyle="1" w:styleId="ListNote">
    <w:name w:val="List Note"/>
    <w:basedOn w:val="List"/>
    <w:rsid w:val="00B63C80"/>
    <w:pPr>
      <w:pBdr>
        <w:top w:val="single" w:sz="6" w:space="2" w:color="918585"/>
        <w:bottom w:val="single" w:sz="6" w:space="2" w:color="918585"/>
      </w:pBdr>
      <w:tabs>
        <w:tab w:val="left" w:pos="1021"/>
      </w:tabs>
      <w:ind w:firstLine="0"/>
    </w:pPr>
  </w:style>
  <w:style w:type="paragraph" w:customStyle="1" w:styleId="Warning">
    <w:name w:val="Warning"/>
    <w:basedOn w:val="BodyText"/>
    <w:rsid w:val="00B63C80"/>
    <w:pPr>
      <w:shd w:val="clear" w:color="auto" w:fill="D9D9D9"/>
      <w:tabs>
        <w:tab w:val="left" w:pos="992"/>
      </w:tabs>
      <w:ind w:left="119" w:right="119"/>
    </w:pPr>
    <w:rPr>
      <w:sz w:val="20"/>
    </w:rPr>
  </w:style>
  <w:style w:type="paragraph" w:customStyle="1" w:styleId="MarginIcons">
    <w:name w:val="Margin Icons"/>
    <w:basedOn w:val="BodyText"/>
    <w:rsid w:val="00B63C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C80"/>
    <w:rPr>
      <w:rFonts w:ascii="Courier New" w:hAnsi="Courier New"/>
    </w:rPr>
  </w:style>
  <w:style w:type="paragraph" w:customStyle="1" w:styleId="NoteBullet">
    <w:name w:val="Note Bullet"/>
    <w:basedOn w:val="Note"/>
    <w:rsid w:val="00B63C80"/>
    <w:pPr>
      <w:tabs>
        <w:tab w:val="clear" w:pos="680"/>
      </w:tabs>
      <w:spacing w:before="60" w:after="60"/>
    </w:pPr>
  </w:style>
  <w:style w:type="paragraph" w:customStyle="1" w:styleId="SubHeading2">
    <w:name w:val="SubHeading2"/>
    <w:basedOn w:val="HeadingBase"/>
    <w:rsid w:val="00B63C80"/>
    <w:pPr>
      <w:spacing w:before="240" w:after="60"/>
    </w:pPr>
    <w:rPr>
      <w:sz w:val="20"/>
    </w:rPr>
  </w:style>
  <w:style w:type="paragraph" w:customStyle="1" w:styleId="SubHeading1">
    <w:name w:val="SubHeading1"/>
    <w:basedOn w:val="HeadingBase"/>
    <w:rsid w:val="00B63C80"/>
    <w:pPr>
      <w:spacing w:before="240" w:after="60"/>
    </w:pPr>
    <w:rPr>
      <w:color w:val="918585"/>
      <w:sz w:val="22"/>
    </w:rPr>
  </w:style>
  <w:style w:type="paragraph" w:customStyle="1" w:styleId="SideHeading">
    <w:name w:val="Side Heading"/>
    <w:basedOn w:val="HeadingBase"/>
    <w:rsid w:val="00B63C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C80"/>
    <w:pPr>
      <w:numPr>
        <w:numId w:val="13"/>
      </w:numPr>
    </w:pPr>
  </w:style>
  <w:style w:type="paragraph" w:styleId="PlainText">
    <w:name w:val="Plain Text"/>
    <w:basedOn w:val="Normal"/>
    <w:link w:val="PlainTextChar"/>
    <w:rsid w:val="00B63C80"/>
    <w:rPr>
      <w:sz w:val="20"/>
    </w:rPr>
  </w:style>
  <w:style w:type="character" w:customStyle="1" w:styleId="PlainTextChar">
    <w:name w:val="Plain Text Char"/>
    <w:basedOn w:val="DefaultParagraphFont"/>
    <w:link w:val="PlainText"/>
    <w:rsid w:val="00B63C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3C80"/>
    <w:rPr>
      <w:b/>
      <w:smallCaps/>
    </w:rPr>
  </w:style>
  <w:style w:type="paragraph" w:customStyle="1" w:styleId="TableListNumber">
    <w:name w:val="Table List Number"/>
    <w:basedOn w:val="ListNumber"/>
    <w:rsid w:val="00B63C80"/>
    <w:pPr>
      <w:numPr>
        <w:numId w:val="0"/>
      </w:numPr>
    </w:pPr>
  </w:style>
  <w:style w:type="paragraph" w:styleId="TOC4">
    <w:name w:val="toc 4"/>
    <w:basedOn w:val="TOCBase"/>
    <w:next w:val="Normal"/>
    <w:semiHidden/>
    <w:rsid w:val="00B63C80"/>
    <w:pPr>
      <w:tabs>
        <w:tab w:val="right" w:leader="dot" w:pos="9071"/>
      </w:tabs>
      <w:ind w:left="1701"/>
    </w:pPr>
  </w:style>
  <w:style w:type="paragraph" w:customStyle="1" w:styleId="ListAlpha">
    <w:name w:val="List Alpha"/>
    <w:basedOn w:val="List"/>
    <w:rsid w:val="00B63C80"/>
    <w:pPr>
      <w:numPr>
        <w:numId w:val="10"/>
      </w:numPr>
    </w:pPr>
  </w:style>
  <w:style w:type="paragraph" w:customStyle="1" w:styleId="ListAlpha2">
    <w:name w:val="List Alpha 2"/>
    <w:basedOn w:val="List2"/>
    <w:rsid w:val="00B63C80"/>
    <w:pPr>
      <w:numPr>
        <w:numId w:val="9"/>
      </w:numPr>
    </w:pPr>
  </w:style>
  <w:style w:type="paragraph" w:styleId="List3">
    <w:name w:val="List 3"/>
    <w:basedOn w:val="BodyText"/>
    <w:rsid w:val="00B63C80"/>
    <w:pPr>
      <w:tabs>
        <w:tab w:val="left" w:pos="1021"/>
      </w:tabs>
      <w:spacing w:before="60" w:after="60"/>
      <w:ind w:left="1020" w:hanging="340"/>
    </w:pPr>
  </w:style>
  <w:style w:type="paragraph" w:styleId="List4">
    <w:name w:val="List 4"/>
    <w:basedOn w:val="BodyText"/>
    <w:rsid w:val="00B63C80"/>
    <w:pPr>
      <w:tabs>
        <w:tab w:val="left" w:pos="1361"/>
      </w:tabs>
      <w:spacing w:before="60" w:after="60"/>
      <w:ind w:left="1361" w:hanging="340"/>
    </w:pPr>
  </w:style>
  <w:style w:type="paragraph" w:styleId="List5">
    <w:name w:val="List 5"/>
    <w:basedOn w:val="BodyText"/>
    <w:rsid w:val="00B63C80"/>
    <w:pPr>
      <w:tabs>
        <w:tab w:val="left" w:pos="1701"/>
      </w:tabs>
      <w:spacing w:before="60" w:after="60"/>
      <w:ind w:left="1701" w:hanging="340"/>
    </w:pPr>
  </w:style>
  <w:style w:type="paragraph" w:styleId="ListBullet4">
    <w:name w:val="List Bullet 4"/>
    <w:basedOn w:val="List4"/>
    <w:rsid w:val="00B63C80"/>
    <w:pPr>
      <w:numPr>
        <w:numId w:val="4"/>
      </w:numPr>
    </w:pPr>
  </w:style>
  <w:style w:type="paragraph" w:styleId="ListBullet5">
    <w:name w:val="List Bullet 5"/>
    <w:basedOn w:val="List5"/>
    <w:rsid w:val="00B63C80"/>
    <w:pPr>
      <w:numPr>
        <w:numId w:val="5"/>
      </w:numPr>
    </w:pPr>
  </w:style>
  <w:style w:type="paragraph" w:styleId="ListContinue2">
    <w:name w:val="List Continue 2"/>
    <w:basedOn w:val="List2"/>
    <w:rsid w:val="00B63C80"/>
    <w:pPr>
      <w:ind w:firstLine="0"/>
    </w:pPr>
  </w:style>
  <w:style w:type="paragraph" w:styleId="ListContinue3">
    <w:name w:val="List Continue 3"/>
    <w:basedOn w:val="List3"/>
    <w:rsid w:val="00B63C80"/>
    <w:pPr>
      <w:ind w:left="1021" w:firstLine="0"/>
    </w:pPr>
  </w:style>
  <w:style w:type="paragraph" w:styleId="ListContinue4">
    <w:name w:val="List Continue 4"/>
    <w:basedOn w:val="List4"/>
    <w:rsid w:val="00B63C80"/>
    <w:pPr>
      <w:ind w:firstLine="0"/>
    </w:pPr>
  </w:style>
  <w:style w:type="paragraph" w:styleId="ListContinue5">
    <w:name w:val="List Continue 5"/>
    <w:basedOn w:val="List5"/>
    <w:rsid w:val="00B63C80"/>
    <w:pPr>
      <w:ind w:firstLine="0"/>
    </w:pPr>
  </w:style>
  <w:style w:type="paragraph" w:styleId="ListNumber3">
    <w:name w:val="List Number 3"/>
    <w:basedOn w:val="List3"/>
    <w:rsid w:val="00B63C80"/>
    <w:pPr>
      <w:numPr>
        <w:numId w:val="6"/>
      </w:numPr>
    </w:pPr>
  </w:style>
  <w:style w:type="paragraph" w:styleId="ListNumber4">
    <w:name w:val="List Number 4"/>
    <w:basedOn w:val="List4"/>
    <w:rsid w:val="00B63C80"/>
    <w:pPr>
      <w:numPr>
        <w:numId w:val="7"/>
      </w:numPr>
    </w:pPr>
  </w:style>
  <w:style w:type="paragraph" w:styleId="ListNumber5">
    <w:name w:val="List Number 5"/>
    <w:basedOn w:val="List5"/>
    <w:rsid w:val="00B63C80"/>
    <w:pPr>
      <w:numPr>
        <w:numId w:val="8"/>
      </w:numPr>
    </w:pPr>
  </w:style>
  <w:style w:type="paragraph" w:styleId="BlockText">
    <w:name w:val="Block Text"/>
    <w:basedOn w:val="Normal"/>
    <w:rsid w:val="00B63C80"/>
    <w:pPr>
      <w:spacing w:after="120"/>
      <w:ind w:left="1440" w:right="1440"/>
    </w:pPr>
  </w:style>
  <w:style w:type="character" w:customStyle="1" w:styleId="Subscript">
    <w:name w:val="Subscript"/>
    <w:basedOn w:val="DefaultParagraphFont"/>
    <w:rsid w:val="00B63C80"/>
    <w:rPr>
      <w:sz w:val="16"/>
      <w:vertAlign w:val="subscript"/>
    </w:rPr>
  </w:style>
  <w:style w:type="character" w:customStyle="1" w:styleId="Superscript">
    <w:name w:val="Superscript"/>
    <w:basedOn w:val="DefaultParagraphFont"/>
    <w:rsid w:val="00B63C80"/>
    <w:rPr>
      <w:sz w:val="16"/>
      <w:vertAlign w:val="superscript"/>
    </w:rPr>
  </w:style>
  <w:style w:type="character" w:customStyle="1" w:styleId="Symbols">
    <w:name w:val="Symbols"/>
    <w:basedOn w:val="DefaultParagraphFont"/>
    <w:rsid w:val="00B63C80"/>
    <w:rPr>
      <w:rFonts w:ascii="Symbol" w:hAnsi="Symbol"/>
    </w:rPr>
  </w:style>
  <w:style w:type="character" w:customStyle="1" w:styleId="MenuOptions">
    <w:name w:val="Menu Options"/>
    <w:basedOn w:val="DefaultParagraphFont"/>
    <w:rsid w:val="00B63C80"/>
    <w:rPr>
      <w:rFonts w:ascii="Arial Narrow" w:hAnsi="Arial Narrow"/>
      <w:smallCaps/>
    </w:rPr>
  </w:style>
  <w:style w:type="character" w:customStyle="1" w:styleId="Buttons">
    <w:name w:val="Buttons"/>
    <w:basedOn w:val="DefaultParagraphFont"/>
    <w:rsid w:val="00B63C80"/>
    <w:rPr>
      <w:b/>
    </w:rPr>
  </w:style>
  <w:style w:type="character" w:customStyle="1" w:styleId="Underlined">
    <w:name w:val="Underlined"/>
    <w:basedOn w:val="DefaultParagraphFont"/>
    <w:rsid w:val="00B63C80"/>
    <w:rPr>
      <w:u w:val="single"/>
    </w:rPr>
  </w:style>
  <w:style w:type="paragraph" w:customStyle="1" w:styleId="TableBodyTextRight">
    <w:name w:val="Table Body Text Right"/>
    <w:basedOn w:val="TableBodyText"/>
    <w:rsid w:val="00B63C80"/>
    <w:pPr>
      <w:widowControl w:val="0"/>
      <w:autoSpaceDE w:val="0"/>
      <w:autoSpaceDN w:val="0"/>
      <w:adjustRightInd w:val="0"/>
      <w:jc w:val="right"/>
    </w:pPr>
    <w:rPr>
      <w:rFonts w:cs="Arial"/>
      <w:szCs w:val="18"/>
    </w:rPr>
  </w:style>
  <w:style w:type="paragraph" w:customStyle="1" w:styleId="CopyrightText">
    <w:name w:val="Copyright Text"/>
    <w:basedOn w:val="BodyText"/>
    <w:rsid w:val="00B63C80"/>
    <w:rPr>
      <w:sz w:val="18"/>
    </w:rPr>
  </w:style>
  <w:style w:type="paragraph" w:customStyle="1" w:styleId="BodySmallRight">
    <w:name w:val="Body Small Right"/>
    <w:basedOn w:val="BodyTextRight"/>
    <w:rsid w:val="00B63C80"/>
    <w:rPr>
      <w:sz w:val="18"/>
      <w:szCs w:val="18"/>
    </w:rPr>
  </w:style>
  <w:style w:type="paragraph" w:customStyle="1" w:styleId="MarginEdition">
    <w:name w:val="Margin Edition"/>
    <w:basedOn w:val="MarginNote"/>
    <w:rsid w:val="00B63C80"/>
    <w:pPr>
      <w:spacing w:before="0" w:after="0"/>
    </w:pPr>
    <w:rPr>
      <w:rFonts w:ascii="Times New Roman" w:hAnsi="Times New Roman"/>
      <w:color w:val="999999"/>
    </w:rPr>
  </w:style>
  <w:style w:type="paragraph" w:customStyle="1" w:styleId="Spacer">
    <w:name w:val="Spacer"/>
    <w:basedOn w:val="Normal"/>
    <w:rsid w:val="00B63C80"/>
    <w:rPr>
      <w:sz w:val="2"/>
      <w:szCs w:val="2"/>
    </w:rPr>
  </w:style>
  <w:style w:type="character" w:customStyle="1" w:styleId="Small">
    <w:name w:val="Small"/>
    <w:basedOn w:val="DefaultParagraphFont"/>
    <w:rsid w:val="00B63C80"/>
    <w:rPr>
      <w:sz w:val="16"/>
    </w:rPr>
  </w:style>
  <w:style w:type="paragraph" w:customStyle="1" w:styleId="WideTable">
    <w:name w:val="Wide Table"/>
    <w:basedOn w:val="Normal"/>
    <w:rsid w:val="00B63C80"/>
    <w:pPr>
      <w:ind w:left="-1418"/>
    </w:pPr>
    <w:rPr>
      <w:sz w:val="2"/>
      <w:szCs w:val="2"/>
    </w:rPr>
  </w:style>
  <w:style w:type="character" w:styleId="PageNumber">
    <w:name w:val="page number"/>
    <w:basedOn w:val="DefaultParagraphFont"/>
    <w:rsid w:val="00B63C80"/>
  </w:style>
  <w:style w:type="paragraph" w:styleId="Quote">
    <w:name w:val="Quote"/>
    <w:basedOn w:val="Heading1"/>
    <w:link w:val="QuoteChar"/>
    <w:qFormat/>
    <w:rsid w:val="00B63C80"/>
    <w:rPr>
      <w:b w:val="0"/>
      <w:sz w:val="72"/>
      <w:szCs w:val="72"/>
      <w:lang w:val="en-NZ"/>
    </w:rPr>
  </w:style>
  <w:style w:type="character" w:customStyle="1" w:styleId="QuoteChar">
    <w:name w:val="Quote Char"/>
    <w:basedOn w:val="DefaultParagraphFont"/>
    <w:link w:val="Quote"/>
    <w:rsid w:val="00B63C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C80"/>
    <w:pPr>
      <w:pageBreakBefore/>
    </w:pPr>
  </w:style>
  <w:style w:type="paragraph" w:customStyle="1" w:styleId="Border">
    <w:name w:val="Border"/>
    <w:basedOn w:val="Normal"/>
    <w:qFormat/>
    <w:rsid w:val="00B63C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C80"/>
    <w:rPr>
      <w:b/>
      <w:bCs/>
      <w:i/>
      <w:iCs/>
      <w:color w:val="auto"/>
    </w:rPr>
  </w:style>
  <w:style w:type="paragraph" w:styleId="IntenseQuote">
    <w:name w:val="Intense Quote"/>
    <w:basedOn w:val="Normal"/>
    <w:next w:val="Normal"/>
    <w:link w:val="IntenseQuoteChar"/>
    <w:uiPriority w:val="30"/>
    <w:qFormat/>
    <w:rsid w:val="00B63C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C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3C80"/>
    <w:rPr>
      <w:smallCaps/>
      <w:color w:val="auto"/>
      <w:u w:val="single"/>
    </w:rPr>
  </w:style>
  <w:style w:type="character" w:styleId="IntenseReference">
    <w:name w:val="Intense Reference"/>
    <w:basedOn w:val="DefaultParagraphFont"/>
    <w:uiPriority w:val="32"/>
    <w:qFormat/>
    <w:rsid w:val="00B63C80"/>
    <w:rPr>
      <w:b/>
      <w:bCs/>
      <w:smallCaps/>
      <w:color w:val="auto"/>
      <w:spacing w:val="5"/>
      <w:u w:val="single"/>
    </w:rPr>
  </w:style>
  <w:style w:type="paragraph" w:customStyle="1" w:styleId="2ColumnHeading">
    <w:name w:val="2Column Heading"/>
    <w:basedOn w:val="BodyText"/>
    <w:qFormat/>
    <w:rsid w:val="00B63C80"/>
    <w:pPr>
      <w:spacing w:after="60"/>
      <w:ind w:left="-2268"/>
    </w:pPr>
    <w:rPr>
      <w:b/>
    </w:rPr>
  </w:style>
  <w:style w:type="paragraph" w:customStyle="1" w:styleId="Heading1TOC">
    <w:name w:val="Heading1 TOC"/>
    <w:basedOn w:val="Normal"/>
    <w:qFormat/>
    <w:rsid w:val="00B63C80"/>
    <w:pPr>
      <w:spacing w:before="240" w:after="120"/>
    </w:pPr>
    <w:rPr>
      <w:rFonts w:ascii="Times New Roman" w:hAnsi="Times New Roman"/>
      <w:b/>
      <w:sz w:val="32"/>
    </w:rPr>
  </w:style>
  <w:style w:type="paragraph" w:customStyle="1" w:styleId="Heading2TOC">
    <w:name w:val="Heading2 TOC"/>
    <w:basedOn w:val="Normal"/>
    <w:qFormat/>
    <w:rsid w:val="00B63C80"/>
    <w:pPr>
      <w:spacing w:before="240" w:after="60"/>
    </w:pPr>
    <w:rPr>
      <w:rFonts w:ascii="Times New Roman" w:hAnsi="Times New Roman"/>
      <w:b/>
      <w:sz w:val="28"/>
    </w:rPr>
  </w:style>
  <w:style w:type="character" w:customStyle="1" w:styleId="Underline">
    <w:name w:val="Underline"/>
    <w:basedOn w:val="DefaultParagraphFont"/>
    <w:qFormat/>
    <w:rsid w:val="00B63C80"/>
    <w:rPr>
      <w:u w:val="single"/>
    </w:rPr>
  </w:style>
  <w:style w:type="paragraph" w:styleId="BalloonText">
    <w:name w:val="Balloon Text"/>
    <w:basedOn w:val="Normal"/>
    <w:link w:val="BalloonTextChar"/>
    <w:rsid w:val="00B63C80"/>
    <w:rPr>
      <w:rFonts w:ascii="Tahoma" w:hAnsi="Tahoma" w:cs="Tahoma"/>
      <w:sz w:val="16"/>
      <w:szCs w:val="16"/>
    </w:rPr>
  </w:style>
  <w:style w:type="character" w:customStyle="1" w:styleId="BalloonTextChar">
    <w:name w:val="Balloon Text Char"/>
    <w:basedOn w:val="DefaultParagraphFont"/>
    <w:link w:val="BalloonText"/>
    <w:rsid w:val="00B63C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3C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C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2055</Words>
  <Characters>13031</Characters>
  <Application>Microsoft Office Word</Application>
  <DocSecurity>0</DocSecurity>
  <Lines>465</Lines>
  <Paragraphs>256</Paragraphs>
  <ScaleCrop>false</ScaleCrop>
  <Company>Author-it Software Corporation Ltd.</Company>
  <LinksUpToDate>false</LinksUpToDate>
  <CharactersWithSpaces>15003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CPCCCA3017A Install exterior cladding</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2012-05-26T05:25:00Z</dcterms:created>
  <dcterms:modified xsi:type="dcterms:W3CDTF">2012-05-26T05:25:00Z</dcterms:modified>
</cp:coreProperties>
</file>